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11" w:rsidRPr="00D03794" w:rsidRDefault="002E6A11" w:rsidP="003F1093">
      <w:pPr>
        <w:jc w:val="both"/>
        <w:outlineLvl w:val="0"/>
        <w:rPr>
          <w:b/>
          <w:bCs/>
          <w:caps/>
          <w:sz w:val="18"/>
          <w:szCs w:val="22"/>
          <w:lang w:val="nl-BE"/>
        </w:rPr>
      </w:pPr>
      <w:r>
        <w:rPr>
          <w:b/>
          <w:bCs/>
          <w:caps/>
          <w:sz w:val="18"/>
          <w:szCs w:val="22"/>
          <w:lang w:val="nl-BE"/>
        </w:rPr>
        <w:t>Philippe Muyters</w:t>
      </w:r>
    </w:p>
    <w:p w:rsidR="002E6A11" w:rsidRPr="005628FF" w:rsidRDefault="002E6A11" w:rsidP="003F1093">
      <w:pPr>
        <w:jc w:val="both"/>
        <w:outlineLvl w:val="0"/>
        <w:rPr>
          <w:smallCaps/>
          <w:sz w:val="22"/>
          <w:szCs w:val="22"/>
          <w:lang w:val="nl-BE"/>
        </w:rPr>
      </w:pPr>
      <w:r w:rsidRPr="00D03794">
        <w:rPr>
          <w:caps/>
          <w:sz w:val="18"/>
          <w:szCs w:val="22"/>
          <w:lang w:val="nl-BE"/>
        </w:rPr>
        <w:t>vlaams minister van</w:t>
      </w:r>
      <w:r w:rsidRPr="005628FF">
        <w:rPr>
          <w:smallCaps/>
          <w:sz w:val="22"/>
          <w:szCs w:val="22"/>
          <w:lang w:val="nl-BE"/>
        </w:rPr>
        <w:t xml:space="preserve">  </w:t>
      </w:r>
      <w:r>
        <w:rPr>
          <w:caps/>
          <w:sz w:val="18"/>
          <w:szCs w:val="22"/>
          <w:lang w:val="nl-BE"/>
        </w:rPr>
        <w:t>Financiën, Begroting, Werk, Ruimtelijke Ordening en Sport</w:t>
      </w:r>
    </w:p>
    <w:p w:rsidR="002E6A11" w:rsidRPr="005628FF" w:rsidRDefault="002E6A11" w:rsidP="003F1093">
      <w:pPr>
        <w:pBdr>
          <w:bottom w:val="single" w:sz="4" w:space="1" w:color="auto"/>
        </w:pBdr>
        <w:jc w:val="both"/>
        <w:rPr>
          <w:sz w:val="22"/>
          <w:szCs w:val="22"/>
          <w:lang w:val="nl-BE"/>
        </w:rPr>
      </w:pPr>
    </w:p>
    <w:p w:rsidR="002E6A11" w:rsidRPr="005628FF" w:rsidRDefault="002E6A11" w:rsidP="003F1093">
      <w:pPr>
        <w:jc w:val="both"/>
        <w:rPr>
          <w:sz w:val="22"/>
          <w:szCs w:val="22"/>
        </w:rPr>
      </w:pPr>
    </w:p>
    <w:p w:rsidR="002E6A11" w:rsidRDefault="002E6A11" w:rsidP="003F1093">
      <w:pPr>
        <w:jc w:val="both"/>
        <w:rPr>
          <w:sz w:val="22"/>
          <w:szCs w:val="22"/>
        </w:rPr>
      </w:pPr>
      <w:r>
        <w:rPr>
          <w:b/>
          <w:smallCaps/>
          <w:sz w:val="22"/>
          <w:szCs w:val="22"/>
        </w:rPr>
        <w:t>a</w:t>
      </w:r>
      <w:r w:rsidRPr="005C4A96">
        <w:rPr>
          <w:b/>
          <w:smallCaps/>
          <w:sz w:val="22"/>
          <w:szCs w:val="22"/>
        </w:rPr>
        <w:t>ntwoord</w:t>
      </w:r>
      <w:r w:rsidRPr="005628FF">
        <w:rPr>
          <w:sz w:val="22"/>
          <w:szCs w:val="22"/>
        </w:rPr>
        <w:t xml:space="preserve"> </w:t>
      </w:r>
    </w:p>
    <w:p w:rsidR="002E6A11" w:rsidRPr="005628FF" w:rsidRDefault="002E6A11" w:rsidP="003F1093">
      <w:pPr>
        <w:jc w:val="both"/>
        <w:rPr>
          <w:sz w:val="22"/>
          <w:szCs w:val="22"/>
        </w:rPr>
      </w:pPr>
      <w:r w:rsidRPr="005628FF">
        <w:rPr>
          <w:sz w:val="22"/>
          <w:szCs w:val="22"/>
        </w:rPr>
        <w:t xml:space="preserve">op vraag nr. </w:t>
      </w:r>
      <w:r>
        <w:rPr>
          <w:sz w:val="22"/>
          <w:szCs w:val="22"/>
          <w:lang w:val="nl-BE"/>
        </w:rPr>
        <w:t>614</w:t>
      </w:r>
      <w:r w:rsidRPr="005628FF">
        <w:rPr>
          <w:sz w:val="22"/>
          <w:szCs w:val="22"/>
        </w:rPr>
        <w:t xml:space="preserve"> </w:t>
      </w:r>
      <w:r>
        <w:rPr>
          <w:sz w:val="22"/>
          <w:szCs w:val="22"/>
        </w:rPr>
        <w:t>v</w:t>
      </w:r>
      <w:r w:rsidRPr="005628FF">
        <w:rPr>
          <w:sz w:val="22"/>
          <w:szCs w:val="22"/>
        </w:rPr>
        <w:t xml:space="preserve">an </w:t>
      </w:r>
      <w:r>
        <w:rPr>
          <w:sz w:val="22"/>
          <w:szCs w:val="22"/>
          <w:lang w:val="nl-BE"/>
        </w:rPr>
        <w:t>29 maart 2013</w:t>
      </w:r>
    </w:p>
    <w:p w:rsidR="002E6A11" w:rsidRPr="005628FF" w:rsidRDefault="002E6A11" w:rsidP="003F1093">
      <w:pPr>
        <w:jc w:val="both"/>
        <w:rPr>
          <w:sz w:val="22"/>
          <w:szCs w:val="22"/>
        </w:rPr>
      </w:pPr>
      <w:r>
        <w:rPr>
          <w:sz w:val="22"/>
          <w:szCs w:val="22"/>
        </w:rPr>
        <w:t>v</w:t>
      </w:r>
      <w:r w:rsidRPr="005628FF">
        <w:rPr>
          <w:sz w:val="22"/>
          <w:szCs w:val="22"/>
        </w:rPr>
        <w:t xml:space="preserve">an </w:t>
      </w:r>
      <w:r>
        <w:rPr>
          <w:b/>
          <w:caps/>
          <w:sz w:val="18"/>
          <w:szCs w:val="22"/>
          <w:lang w:val="nl-BE"/>
        </w:rPr>
        <w:t>Robrecht Bothuyne</w:t>
      </w:r>
    </w:p>
    <w:p w:rsidR="002E6A11" w:rsidRPr="005628FF" w:rsidRDefault="002E6A11" w:rsidP="003F1093">
      <w:pPr>
        <w:pBdr>
          <w:bottom w:val="single" w:sz="4" w:space="1" w:color="auto"/>
        </w:pBdr>
        <w:jc w:val="both"/>
        <w:rPr>
          <w:sz w:val="22"/>
          <w:szCs w:val="22"/>
        </w:rPr>
      </w:pPr>
    </w:p>
    <w:p w:rsidR="002E6A11" w:rsidRPr="005628FF" w:rsidRDefault="002E6A11" w:rsidP="003F1093">
      <w:pPr>
        <w:jc w:val="both"/>
        <w:rPr>
          <w:sz w:val="22"/>
          <w:szCs w:val="22"/>
        </w:rPr>
        <w:sectPr w:rsidR="002E6A11" w:rsidRPr="005628FF" w:rsidSect="003759F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rsidR="002E6A11" w:rsidRDefault="002E6A11" w:rsidP="003F1093">
      <w:pPr>
        <w:jc w:val="both"/>
        <w:rPr>
          <w:sz w:val="22"/>
          <w:szCs w:val="22"/>
        </w:rPr>
      </w:pPr>
    </w:p>
    <w:p w:rsidR="002E6A11" w:rsidRPr="005628FF" w:rsidRDefault="002E6A11" w:rsidP="003F1093">
      <w:pPr>
        <w:jc w:val="both"/>
        <w:rPr>
          <w:sz w:val="22"/>
          <w:szCs w:val="22"/>
        </w:rPr>
      </w:pPr>
    </w:p>
    <w:p w:rsidR="002E6A11" w:rsidRDefault="002E6A11" w:rsidP="00524A93">
      <w:pPr>
        <w:pStyle w:val="StandaardSV"/>
        <w:numPr>
          <w:ilvl w:val="0"/>
          <w:numId w:val="14"/>
        </w:numPr>
      </w:pPr>
      <w:r>
        <w:t>Volgende tabel geeft het aantal klachten weer dat SYNTRA Vlaanderen de laatste 5 jaar ontving.</w:t>
      </w:r>
      <w:r w:rsidRPr="00524A93">
        <w:t xml:space="preserve"> </w:t>
      </w:r>
    </w:p>
    <w:p w:rsidR="002E6A11" w:rsidRPr="00CB244B" w:rsidRDefault="002E6A11" w:rsidP="00651886">
      <w:pPr>
        <w:pStyle w:val="StandaardSV"/>
      </w:pP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559"/>
        <w:gridCol w:w="1701"/>
      </w:tblGrid>
      <w:tr w:rsidR="002E6A11" w:rsidRPr="00524A93" w:rsidTr="007E7C79">
        <w:tc>
          <w:tcPr>
            <w:tcW w:w="959" w:type="dxa"/>
          </w:tcPr>
          <w:p w:rsidR="002E6A11" w:rsidRPr="007E7C79" w:rsidRDefault="002E6A11" w:rsidP="00524A93">
            <w:pPr>
              <w:pStyle w:val="StandaardSV"/>
              <w:rPr>
                <w:b/>
              </w:rPr>
            </w:pPr>
            <w:r w:rsidRPr="007E7C79">
              <w:rPr>
                <w:b/>
              </w:rPr>
              <w:t>Jaar</w:t>
            </w:r>
          </w:p>
        </w:tc>
        <w:tc>
          <w:tcPr>
            <w:tcW w:w="1843" w:type="dxa"/>
          </w:tcPr>
          <w:p w:rsidR="002E6A11" w:rsidRPr="007E7C79" w:rsidRDefault="002E6A11" w:rsidP="007E7C79">
            <w:pPr>
              <w:pStyle w:val="StandaardSV"/>
              <w:jc w:val="center"/>
              <w:rPr>
                <w:b/>
              </w:rPr>
            </w:pPr>
            <w:r w:rsidRPr="007E7C79">
              <w:rPr>
                <w:b/>
              </w:rPr>
              <w:t>Aantal klachten</w:t>
            </w:r>
          </w:p>
        </w:tc>
        <w:tc>
          <w:tcPr>
            <w:tcW w:w="1559" w:type="dxa"/>
          </w:tcPr>
          <w:p w:rsidR="002E6A11" w:rsidRPr="007E7C79" w:rsidRDefault="002E6A11" w:rsidP="007E7C79">
            <w:pPr>
              <w:pStyle w:val="StandaardSV"/>
              <w:jc w:val="center"/>
              <w:rPr>
                <w:b/>
              </w:rPr>
            </w:pPr>
            <w:r w:rsidRPr="007E7C79">
              <w:rPr>
                <w:b/>
              </w:rPr>
              <w:t>Ontvankelijk</w:t>
            </w:r>
          </w:p>
        </w:tc>
        <w:tc>
          <w:tcPr>
            <w:tcW w:w="1701" w:type="dxa"/>
          </w:tcPr>
          <w:p w:rsidR="002E6A11" w:rsidRPr="007E7C79" w:rsidRDefault="002E6A11" w:rsidP="007E7C79">
            <w:pPr>
              <w:pStyle w:val="StandaardSV"/>
              <w:jc w:val="center"/>
              <w:rPr>
                <w:b/>
              </w:rPr>
            </w:pPr>
            <w:r w:rsidRPr="007E7C79">
              <w:rPr>
                <w:b/>
              </w:rPr>
              <w:t>Onontvankelijk</w:t>
            </w:r>
          </w:p>
        </w:tc>
      </w:tr>
      <w:tr w:rsidR="002E6A11" w:rsidRPr="00524A93" w:rsidTr="007E7C79">
        <w:tc>
          <w:tcPr>
            <w:tcW w:w="959" w:type="dxa"/>
          </w:tcPr>
          <w:p w:rsidR="002E6A11" w:rsidRPr="007E7C79" w:rsidRDefault="002E6A11" w:rsidP="00524A93">
            <w:pPr>
              <w:pStyle w:val="StandaardSV"/>
            </w:pPr>
            <w:r w:rsidRPr="007E7C79">
              <w:t>2008</w:t>
            </w:r>
          </w:p>
        </w:tc>
        <w:tc>
          <w:tcPr>
            <w:tcW w:w="1843" w:type="dxa"/>
          </w:tcPr>
          <w:p w:rsidR="002E6A11" w:rsidRPr="007E7C79" w:rsidRDefault="002E6A11" w:rsidP="007E7C79">
            <w:pPr>
              <w:pStyle w:val="StandaardSV"/>
              <w:jc w:val="center"/>
            </w:pPr>
            <w:r w:rsidRPr="007E7C79">
              <w:t>25</w:t>
            </w:r>
          </w:p>
        </w:tc>
        <w:tc>
          <w:tcPr>
            <w:tcW w:w="1559" w:type="dxa"/>
          </w:tcPr>
          <w:p w:rsidR="002E6A11" w:rsidRPr="007E7C79" w:rsidRDefault="002E6A11" w:rsidP="007E7C79">
            <w:pPr>
              <w:pStyle w:val="StandaardSV"/>
              <w:jc w:val="center"/>
            </w:pPr>
            <w:r w:rsidRPr="007E7C79">
              <w:t>24</w:t>
            </w:r>
          </w:p>
        </w:tc>
        <w:tc>
          <w:tcPr>
            <w:tcW w:w="1701" w:type="dxa"/>
          </w:tcPr>
          <w:p w:rsidR="002E6A11" w:rsidRPr="007E7C79" w:rsidRDefault="002E6A11" w:rsidP="007E7C79">
            <w:pPr>
              <w:pStyle w:val="StandaardSV"/>
              <w:jc w:val="center"/>
            </w:pPr>
            <w:r w:rsidRPr="007E7C79">
              <w:t>1</w:t>
            </w:r>
          </w:p>
        </w:tc>
      </w:tr>
      <w:tr w:rsidR="002E6A11" w:rsidRPr="00524A93" w:rsidTr="007E7C79">
        <w:tc>
          <w:tcPr>
            <w:tcW w:w="959" w:type="dxa"/>
          </w:tcPr>
          <w:p w:rsidR="002E6A11" w:rsidRPr="007E7C79" w:rsidRDefault="002E6A11" w:rsidP="00524A93">
            <w:pPr>
              <w:pStyle w:val="StandaardSV"/>
            </w:pPr>
            <w:r w:rsidRPr="007E7C79">
              <w:t>2009</w:t>
            </w:r>
          </w:p>
        </w:tc>
        <w:tc>
          <w:tcPr>
            <w:tcW w:w="1843" w:type="dxa"/>
          </w:tcPr>
          <w:p w:rsidR="002E6A11" w:rsidRPr="007E7C79" w:rsidRDefault="002E6A11" w:rsidP="007E7C79">
            <w:pPr>
              <w:pStyle w:val="StandaardSV"/>
              <w:jc w:val="center"/>
            </w:pPr>
            <w:r w:rsidRPr="007E7C79">
              <w:t>36</w:t>
            </w:r>
          </w:p>
        </w:tc>
        <w:tc>
          <w:tcPr>
            <w:tcW w:w="1559" w:type="dxa"/>
          </w:tcPr>
          <w:p w:rsidR="002E6A11" w:rsidRPr="007E7C79" w:rsidRDefault="002E6A11" w:rsidP="007E7C79">
            <w:pPr>
              <w:pStyle w:val="StandaardSV"/>
              <w:jc w:val="center"/>
            </w:pPr>
            <w:r w:rsidRPr="007E7C79">
              <w:t>36</w:t>
            </w:r>
          </w:p>
        </w:tc>
        <w:tc>
          <w:tcPr>
            <w:tcW w:w="1701" w:type="dxa"/>
          </w:tcPr>
          <w:p w:rsidR="002E6A11" w:rsidRPr="007E7C79" w:rsidRDefault="002E6A11" w:rsidP="007E7C79">
            <w:pPr>
              <w:pStyle w:val="StandaardSV"/>
              <w:jc w:val="center"/>
            </w:pPr>
            <w:r w:rsidRPr="007E7C79">
              <w:t>0</w:t>
            </w:r>
          </w:p>
        </w:tc>
      </w:tr>
      <w:tr w:rsidR="002E6A11" w:rsidRPr="00524A93" w:rsidTr="007E7C79">
        <w:tc>
          <w:tcPr>
            <w:tcW w:w="959" w:type="dxa"/>
          </w:tcPr>
          <w:p w:rsidR="002E6A11" w:rsidRPr="007E7C79" w:rsidRDefault="002E6A11" w:rsidP="00524A93">
            <w:pPr>
              <w:pStyle w:val="StandaardSV"/>
            </w:pPr>
            <w:r w:rsidRPr="007E7C79">
              <w:t>2010</w:t>
            </w:r>
          </w:p>
        </w:tc>
        <w:tc>
          <w:tcPr>
            <w:tcW w:w="1843" w:type="dxa"/>
          </w:tcPr>
          <w:p w:rsidR="002E6A11" w:rsidRPr="007E7C79" w:rsidRDefault="002E6A11" w:rsidP="007E7C79">
            <w:pPr>
              <w:pStyle w:val="StandaardSV"/>
              <w:jc w:val="center"/>
            </w:pPr>
            <w:r w:rsidRPr="007E7C79">
              <w:t>15</w:t>
            </w:r>
          </w:p>
        </w:tc>
        <w:tc>
          <w:tcPr>
            <w:tcW w:w="1559" w:type="dxa"/>
          </w:tcPr>
          <w:p w:rsidR="002E6A11" w:rsidRPr="007E7C79" w:rsidRDefault="002E6A11" w:rsidP="007E7C79">
            <w:pPr>
              <w:pStyle w:val="StandaardSV"/>
              <w:jc w:val="center"/>
            </w:pPr>
            <w:r w:rsidRPr="007E7C79">
              <w:t>15</w:t>
            </w:r>
          </w:p>
        </w:tc>
        <w:tc>
          <w:tcPr>
            <w:tcW w:w="1701" w:type="dxa"/>
          </w:tcPr>
          <w:p w:rsidR="002E6A11" w:rsidRPr="007E7C79" w:rsidRDefault="002E6A11" w:rsidP="007E7C79">
            <w:pPr>
              <w:pStyle w:val="StandaardSV"/>
              <w:jc w:val="center"/>
            </w:pPr>
            <w:r w:rsidRPr="007E7C79">
              <w:t>0</w:t>
            </w:r>
          </w:p>
        </w:tc>
      </w:tr>
      <w:tr w:rsidR="002E6A11" w:rsidRPr="00524A93" w:rsidTr="007E7C79">
        <w:tc>
          <w:tcPr>
            <w:tcW w:w="959" w:type="dxa"/>
          </w:tcPr>
          <w:p w:rsidR="002E6A11" w:rsidRPr="007E7C79" w:rsidRDefault="002E6A11" w:rsidP="00524A93">
            <w:pPr>
              <w:pStyle w:val="StandaardSV"/>
            </w:pPr>
            <w:r w:rsidRPr="007E7C79">
              <w:t>2011</w:t>
            </w:r>
          </w:p>
        </w:tc>
        <w:tc>
          <w:tcPr>
            <w:tcW w:w="1843" w:type="dxa"/>
          </w:tcPr>
          <w:p w:rsidR="002E6A11" w:rsidRPr="007E7C79" w:rsidRDefault="002E6A11" w:rsidP="007E7C79">
            <w:pPr>
              <w:pStyle w:val="StandaardSV"/>
              <w:jc w:val="center"/>
            </w:pPr>
            <w:r w:rsidRPr="007E7C79">
              <w:t>7</w:t>
            </w:r>
          </w:p>
        </w:tc>
        <w:tc>
          <w:tcPr>
            <w:tcW w:w="1559" w:type="dxa"/>
          </w:tcPr>
          <w:p w:rsidR="002E6A11" w:rsidRPr="007E7C79" w:rsidRDefault="002E6A11" w:rsidP="007E7C79">
            <w:pPr>
              <w:pStyle w:val="StandaardSV"/>
              <w:jc w:val="center"/>
            </w:pPr>
            <w:r w:rsidRPr="007E7C79">
              <w:t>5</w:t>
            </w:r>
          </w:p>
        </w:tc>
        <w:tc>
          <w:tcPr>
            <w:tcW w:w="1701" w:type="dxa"/>
          </w:tcPr>
          <w:p w:rsidR="002E6A11" w:rsidRPr="007E7C79" w:rsidRDefault="002E6A11" w:rsidP="007E7C79">
            <w:pPr>
              <w:pStyle w:val="StandaardSV"/>
              <w:jc w:val="center"/>
            </w:pPr>
            <w:r w:rsidRPr="007E7C79">
              <w:t>2</w:t>
            </w:r>
          </w:p>
        </w:tc>
      </w:tr>
      <w:tr w:rsidR="002E6A11" w:rsidRPr="00524A93" w:rsidTr="007E7C79">
        <w:tc>
          <w:tcPr>
            <w:tcW w:w="959" w:type="dxa"/>
          </w:tcPr>
          <w:p w:rsidR="002E6A11" w:rsidRPr="007E7C79" w:rsidRDefault="002E6A11" w:rsidP="00524A93">
            <w:pPr>
              <w:pStyle w:val="StandaardSV"/>
            </w:pPr>
            <w:r w:rsidRPr="007E7C79">
              <w:t>2012</w:t>
            </w:r>
          </w:p>
        </w:tc>
        <w:tc>
          <w:tcPr>
            <w:tcW w:w="1843" w:type="dxa"/>
          </w:tcPr>
          <w:p w:rsidR="002E6A11" w:rsidRPr="007E7C79" w:rsidRDefault="002E6A11" w:rsidP="007E7C79">
            <w:pPr>
              <w:pStyle w:val="StandaardSV"/>
              <w:jc w:val="center"/>
            </w:pPr>
            <w:r w:rsidRPr="007E7C79">
              <w:t>35</w:t>
            </w:r>
          </w:p>
        </w:tc>
        <w:tc>
          <w:tcPr>
            <w:tcW w:w="1559" w:type="dxa"/>
          </w:tcPr>
          <w:p w:rsidR="002E6A11" w:rsidRPr="007E7C79" w:rsidRDefault="002E6A11" w:rsidP="007E7C79">
            <w:pPr>
              <w:pStyle w:val="StandaardSV"/>
              <w:jc w:val="center"/>
            </w:pPr>
            <w:r w:rsidRPr="007E7C79">
              <w:t>31</w:t>
            </w:r>
          </w:p>
        </w:tc>
        <w:tc>
          <w:tcPr>
            <w:tcW w:w="1701" w:type="dxa"/>
          </w:tcPr>
          <w:p w:rsidR="002E6A11" w:rsidRPr="007E7C79" w:rsidRDefault="002E6A11" w:rsidP="007E7C79">
            <w:pPr>
              <w:pStyle w:val="StandaardSV"/>
              <w:jc w:val="center"/>
            </w:pPr>
            <w:r w:rsidRPr="007E7C79">
              <w:t>4</w:t>
            </w:r>
          </w:p>
        </w:tc>
      </w:tr>
    </w:tbl>
    <w:p w:rsidR="002E6A11" w:rsidRDefault="002E6A11" w:rsidP="00524A93">
      <w:pPr>
        <w:pStyle w:val="StandaardSV"/>
      </w:pPr>
    </w:p>
    <w:p w:rsidR="002E6A11" w:rsidRDefault="002E6A11" w:rsidP="003759F7">
      <w:pPr>
        <w:pStyle w:val="StandaardSV"/>
        <w:ind w:left="360"/>
      </w:pPr>
      <w:r>
        <w:t xml:space="preserve">Binnen het klachtenmanagement van </w:t>
      </w:r>
      <w:proofErr w:type="spellStart"/>
      <w:r>
        <w:t>Syntra</w:t>
      </w:r>
      <w:proofErr w:type="spellEnd"/>
      <w:r>
        <w:t xml:space="preserve"> Vlaanderen wordt echter geen opdeling per </w:t>
      </w:r>
      <w:proofErr w:type="spellStart"/>
      <w:r>
        <w:t>Syntra</w:t>
      </w:r>
      <w:proofErr w:type="spellEnd"/>
      <w:r>
        <w:t xml:space="preserve">-campus gemaakt. De rapportering gebeurt overeenkomstig het stramien dat voorgeschreven is door de Vlaamse </w:t>
      </w:r>
      <w:proofErr w:type="spellStart"/>
      <w:r>
        <w:t>Ombudsdienst</w:t>
      </w:r>
      <w:proofErr w:type="spellEnd"/>
      <w:r>
        <w:t xml:space="preserve">. De archivering gebeurt dossier per dossier en op naam van de klager. Behoudens de gegevens die door de Vlaamse </w:t>
      </w:r>
      <w:proofErr w:type="spellStart"/>
      <w:r>
        <w:t>Ombudsdienst</w:t>
      </w:r>
      <w:proofErr w:type="spellEnd"/>
      <w:r>
        <w:t xml:space="preserve"> worden gevraagd, worden geen andere gegevens bewaard.</w:t>
      </w:r>
    </w:p>
    <w:p w:rsidR="002E6A11" w:rsidRDefault="002E6A11" w:rsidP="00524A93">
      <w:pPr>
        <w:pStyle w:val="StandaardSV"/>
      </w:pPr>
    </w:p>
    <w:p w:rsidR="002E6A11" w:rsidRDefault="002E6A11" w:rsidP="00524A93">
      <w:pPr>
        <w:pStyle w:val="StandaardSV"/>
        <w:numPr>
          <w:ilvl w:val="0"/>
          <w:numId w:val="14"/>
        </w:numPr>
      </w:pPr>
      <w:r>
        <w:t>Volgende tabel geeft de belangrijkste topics binnen deze klachten weer per jaar.</w:t>
      </w:r>
      <w:r w:rsidRPr="00524A93">
        <w:t xml:space="preserve"> </w:t>
      </w:r>
      <w:r>
        <w:t xml:space="preserve">Een opdeling per </w:t>
      </w:r>
      <w:proofErr w:type="spellStart"/>
      <w:r>
        <w:t>Syntra</w:t>
      </w:r>
      <w:proofErr w:type="spellEnd"/>
      <w:r>
        <w:t>-campus is niet mogelijk (</w:t>
      </w:r>
      <w:proofErr w:type="spellStart"/>
      <w:r>
        <w:t>cfr</w:t>
      </w:r>
      <w:proofErr w:type="spellEnd"/>
      <w:r>
        <w:t>. vraag 1).</w:t>
      </w:r>
    </w:p>
    <w:p w:rsidR="002E6A11" w:rsidRDefault="002E6A11" w:rsidP="00524A93">
      <w:pPr>
        <w:pStyle w:val="StandaardSV"/>
      </w:pPr>
    </w:p>
    <w:tbl>
      <w:tblPr>
        <w:tblW w:w="921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53"/>
      </w:tblGrid>
      <w:tr w:rsidR="002E6A11" w:rsidRPr="00524A93" w:rsidTr="007E7C79">
        <w:tc>
          <w:tcPr>
            <w:tcW w:w="959" w:type="dxa"/>
          </w:tcPr>
          <w:p w:rsidR="002E6A11" w:rsidRPr="007E7C79" w:rsidRDefault="002E6A11" w:rsidP="00524A93">
            <w:pPr>
              <w:pStyle w:val="StandaardSV"/>
              <w:rPr>
                <w:b/>
              </w:rPr>
            </w:pPr>
            <w:r w:rsidRPr="007E7C79">
              <w:rPr>
                <w:b/>
              </w:rPr>
              <w:t>Jaar</w:t>
            </w:r>
          </w:p>
        </w:tc>
        <w:tc>
          <w:tcPr>
            <w:tcW w:w="8253" w:type="dxa"/>
          </w:tcPr>
          <w:p w:rsidR="002E6A11" w:rsidRPr="007E7C79" w:rsidRDefault="002E6A11" w:rsidP="00524A93">
            <w:pPr>
              <w:pStyle w:val="StandaardSV"/>
              <w:rPr>
                <w:b/>
              </w:rPr>
            </w:pPr>
            <w:r w:rsidRPr="007E7C79">
              <w:rPr>
                <w:b/>
              </w:rPr>
              <w:t>Topics</w:t>
            </w:r>
          </w:p>
        </w:tc>
      </w:tr>
      <w:tr w:rsidR="002E6A11" w:rsidRPr="00524A93" w:rsidTr="007E7C79">
        <w:tc>
          <w:tcPr>
            <w:tcW w:w="959" w:type="dxa"/>
          </w:tcPr>
          <w:p w:rsidR="002E6A11" w:rsidRPr="007E7C79" w:rsidRDefault="002E6A11" w:rsidP="00524A93">
            <w:pPr>
              <w:pStyle w:val="StandaardSV"/>
            </w:pPr>
            <w:r w:rsidRPr="007E7C79">
              <w:t>2008</w:t>
            </w:r>
          </w:p>
        </w:tc>
        <w:tc>
          <w:tcPr>
            <w:tcW w:w="8253" w:type="dxa"/>
          </w:tcPr>
          <w:p w:rsidR="002E6A11" w:rsidRPr="007E7C79" w:rsidRDefault="002E6A11" w:rsidP="00524A93">
            <w:pPr>
              <w:pStyle w:val="StandaardSV"/>
            </w:pPr>
            <w:r w:rsidRPr="007E7C79">
              <w:t xml:space="preserve">Administratieve werking </w:t>
            </w:r>
            <w:proofErr w:type="spellStart"/>
            <w:r w:rsidRPr="007E7C79">
              <w:t>Syntra</w:t>
            </w:r>
            <w:proofErr w:type="spellEnd"/>
          </w:p>
          <w:p w:rsidR="002E6A11" w:rsidRPr="007E7C79" w:rsidRDefault="002E6A11" w:rsidP="00524A93">
            <w:pPr>
              <w:pStyle w:val="StandaardSV"/>
            </w:pPr>
            <w:r w:rsidRPr="007E7C79">
              <w:t xml:space="preserve">Uitrusting ateliers </w:t>
            </w:r>
            <w:proofErr w:type="spellStart"/>
            <w:r w:rsidRPr="007E7C79">
              <w:t>Syntra</w:t>
            </w:r>
            <w:proofErr w:type="spellEnd"/>
          </w:p>
          <w:p w:rsidR="002E6A11" w:rsidRPr="007E7C79" w:rsidRDefault="002E6A11" w:rsidP="00524A93">
            <w:pPr>
              <w:pStyle w:val="StandaardSV"/>
            </w:pPr>
            <w:r w:rsidRPr="007E7C79">
              <w:t xml:space="preserve">Niet-terugbetaling inschrijvingsgelden </w:t>
            </w:r>
            <w:proofErr w:type="spellStart"/>
            <w:r w:rsidRPr="007E7C79">
              <w:t>Syntra</w:t>
            </w:r>
            <w:proofErr w:type="spellEnd"/>
            <w:r w:rsidRPr="007E7C79">
              <w:t xml:space="preserve"> + inschakeling incassobureaus</w:t>
            </w:r>
          </w:p>
          <w:p w:rsidR="002E6A11" w:rsidRPr="007E7C79" w:rsidRDefault="002E6A11" w:rsidP="00524A93">
            <w:pPr>
              <w:pStyle w:val="StandaardSV"/>
            </w:pPr>
            <w:r w:rsidRPr="007E7C79">
              <w:t xml:space="preserve">Niet-erkenning van het </w:t>
            </w:r>
            <w:proofErr w:type="spellStart"/>
            <w:r w:rsidRPr="007E7C79">
              <w:t>Syntra</w:t>
            </w:r>
            <w:proofErr w:type="spellEnd"/>
            <w:r w:rsidRPr="007E7C79">
              <w:t>-getuigschrift bij aanwerving door de overheid</w:t>
            </w:r>
          </w:p>
        </w:tc>
      </w:tr>
      <w:tr w:rsidR="002E6A11" w:rsidRPr="00524A93" w:rsidTr="007E7C79">
        <w:tc>
          <w:tcPr>
            <w:tcW w:w="959" w:type="dxa"/>
          </w:tcPr>
          <w:p w:rsidR="002E6A11" w:rsidRPr="007E7C79" w:rsidRDefault="002E6A11" w:rsidP="00524A93">
            <w:pPr>
              <w:pStyle w:val="StandaardSV"/>
            </w:pPr>
            <w:r w:rsidRPr="007E7C79">
              <w:t>2009</w:t>
            </w:r>
          </w:p>
        </w:tc>
        <w:tc>
          <w:tcPr>
            <w:tcW w:w="8253" w:type="dxa"/>
          </w:tcPr>
          <w:p w:rsidR="002E6A11" w:rsidRPr="007E7C79" w:rsidRDefault="002E6A11" w:rsidP="00524A93">
            <w:pPr>
              <w:pStyle w:val="StandaardSV"/>
            </w:pPr>
            <w:r w:rsidRPr="007E7C79">
              <w:t>Administratieve procedures: toelatingsvoorwaarden, verloop van cursussen, examens gecertificeerd aanbod + C-proeven</w:t>
            </w:r>
          </w:p>
          <w:p w:rsidR="002E6A11" w:rsidRPr="007E7C79" w:rsidRDefault="002E6A11" w:rsidP="00524A93">
            <w:pPr>
              <w:pStyle w:val="StandaardSV"/>
            </w:pPr>
            <w:r w:rsidRPr="007E7C79">
              <w:t>Andere: privacy</w:t>
            </w:r>
          </w:p>
        </w:tc>
      </w:tr>
      <w:tr w:rsidR="002E6A11" w:rsidRPr="00524A93" w:rsidTr="007E7C79">
        <w:tc>
          <w:tcPr>
            <w:tcW w:w="959" w:type="dxa"/>
          </w:tcPr>
          <w:p w:rsidR="002E6A11" w:rsidRPr="007E7C79" w:rsidRDefault="002E6A11" w:rsidP="00524A93">
            <w:pPr>
              <w:pStyle w:val="StandaardSV"/>
            </w:pPr>
            <w:r w:rsidRPr="007E7C79">
              <w:t>2010</w:t>
            </w:r>
          </w:p>
        </w:tc>
        <w:tc>
          <w:tcPr>
            <w:tcW w:w="8253" w:type="dxa"/>
          </w:tcPr>
          <w:p w:rsidR="002E6A11" w:rsidRPr="007E7C79" w:rsidRDefault="002E6A11" w:rsidP="00524A93">
            <w:pPr>
              <w:pStyle w:val="StandaardSV"/>
            </w:pPr>
            <w:r w:rsidRPr="007E7C79">
              <w:t>Administratieve procedures: toelatingsvoorwaarden, verloop van cursussen, examens gecertificeerd aanbod + C-proeven</w:t>
            </w:r>
          </w:p>
          <w:p w:rsidR="002E6A11" w:rsidRPr="007E7C79" w:rsidRDefault="002E6A11" w:rsidP="00524A93">
            <w:pPr>
              <w:pStyle w:val="StandaardSV"/>
            </w:pPr>
            <w:r w:rsidRPr="007E7C79">
              <w:t>Andere: administratieve en juridische problemen, kwaliteit</w:t>
            </w:r>
          </w:p>
        </w:tc>
      </w:tr>
      <w:tr w:rsidR="002E6A11" w:rsidRPr="00524A93" w:rsidTr="007E7C79">
        <w:tc>
          <w:tcPr>
            <w:tcW w:w="959" w:type="dxa"/>
          </w:tcPr>
          <w:p w:rsidR="002E6A11" w:rsidRPr="007E7C79" w:rsidRDefault="002E6A11" w:rsidP="00524A93">
            <w:pPr>
              <w:pStyle w:val="StandaardSV"/>
            </w:pPr>
            <w:r w:rsidRPr="007E7C79">
              <w:t>2011</w:t>
            </w:r>
          </w:p>
        </w:tc>
        <w:tc>
          <w:tcPr>
            <w:tcW w:w="8253" w:type="dxa"/>
          </w:tcPr>
          <w:p w:rsidR="002E6A11" w:rsidRPr="007E7C79" w:rsidRDefault="002E6A11" w:rsidP="00524A93">
            <w:pPr>
              <w:pStyle w:val="StandaardSV"/>
            </w:pPr>
            <w:r w:rsidRPr="007E7C79">
              <w:t>Administratieve procedures: toelatingsvoorwaarden, verloop van cursussen, examens gecertificeerd aanbod + C-proeven</w:t>
            </w:r>
          </w:p>
          <w:p w:rsidR="002E6A11" w:rsidRPr="007E7C79" w:rsidRDefault="002E6A11" w:rsidP="00524A93">
            <w:pPr>
              <w:pStyle w:val="StandaardSV"/>
            </w:pPr>
            <w:r w:rsidRPr="007E7C79">
              <w:t xml:space="preserve">Andere: administratieve en juridische problemen, kwaliteit docenten en inhoud cursus, voorinformatie door </w:t>
            </w:r>
            <w:proofErr w:type="spellStart"/>
            <w:r w:rsidRPr="007E7C79">
              <w:t>Syntra</w:t>
            </w:r>
            <w:proofErr w:type="spellEnd"/>
          </w:p>
        </w:tc>
      </w:tr>
      <w:tr w:rsidR="002E6A11" w:rsidRPr="00524A93" w:rsidTr="007E7C79">
        <w:tc>
          <w:tcPr>
            <w:tcW w:w="959" w:type="dxa"/>
          </w:tcPr>
          <w:p w:rsidR="002E6A11" w:rsidRPr="007E7C79" w:rsidRDefault="002E6A11" w:rsidP="00524A93">
            <w:pPr>
              <w:pStyle w:val="StandaardSV"/>
            </w:pPr>
            <w:r w:rsidRPr="007E7C79">
              <w:t>2012</w:t>
            </w:r>
          </w:p>
        </w:tc>
        <w:tc>
          <w:tcPr>
            <w:tcW w:w="8253" w:type="dxa"/>
          </w:tcPr>
          <w:p w:rsidR="002E6A11" w:rsidRPr="007E7C79" w:rsidRDefault="002E6A11" w:rsidP="00524A93">
            <w:pPr>
              <w:pStyle w:val="StandaardSV"/>
            </w:pPr>
            <w:r w:rsidRPr="007E7C79">
              <w:t>Administratieve procedures: toelatingsvoorwaarden, verloop van cursussen, examens gecertificeerd aanbod + C-proeven</w:t>
            </w:r>
          </w:p>
          <w:p w:rsidR="002E6A11" w:rsidRPr="007E7C79" w:rsidRDefault="002E6A11" w:rsidP="00524A93">
            <w:pPr>
              <w:pStyle w:val="StandaardSV"/>
            </w:pPr>
            <w:r w:rsidRPr="007E7C79">
              <w:t xml:space="preserve">Andere: administratieve tekortkomingen (online inschrijving, zoekgeraakte attesten, facturen, terugname opleidingscheques), kwaliteit docenten, verplaatsen van cursussen, stopzetten of niet organiseren van een cursus, omkadering, getuigschriften, ontoereikende informatie </w:t>
            </w:r>
            <w:proofErr w:type="spellStart"/>
            <w:r w:rsidRPr="007E7C79">
              <w:t>Syntra</w:t>
            </w:r>
            <w:proofErr w:type="spellEnd"/>
          </w:p>
        </w:tc>
      </w:tr>
    </w:tbl>
    <w:p w:rsidR="002E6A11" w:rsidRDefault="002E6A11" w:rsidP="00524A93">
      <w:pPr>
        <w:pStyle w:val="StandaardSV"/>
      </w:pPr>
    </w:p>
    <w:p w:rsidR="002E6A11" w:rsidRDefault="002E6A11" w:rsidP="00524A93">
      <w:pPr>
        <w:pStyle w:val="StandaardSV"/>
        <w:numPr>
          <w:ilvl w:val="0"/>
          <w:numId w:val="14"/>
        </w:numPr>
      </w:pPr>
      <w:r>
        <w:t xml:space="preserve">De rapportering binnen </w:t>
      </w:r>
      <w:proofErr w:type="spellStart"/>
      <w:r>
        <w:t>Syntra</w:t>
      </w:r>
      <w:proofErr w:type="spellEnd"/>
      <w:r>
        <w:t xml:space="preserve"> Vlaanderen gebeurt overeenkomstig het stramien dat voorgeschreven is door de Vlaamse </w:t>
      </w:r>
      <w:proofErr w:type="spellStart"/>
      <w:r>
        <w:t>Ombudsdienst</w:t>
      </w:r>
      <w:proofErr w:type="spellEnd"/>
      <w:r>
        <w:t xml:space="preserve">. Daar wordt een onderscheid gemaakt tussen de afhandeling van klachten binnen de 45 dagen na ontvangst en de afhandeling van klachten die </w:t>
      </w:r>
      <w:r>
        <w:lastRenderedPageBreak/>
        <w:t xml:space="preserve">langer duren dan 45 dagen. De behandeltermijn van 2 maanden voor een klacht wordt daardoor niet geregistreerd. Een opdeling per </w:t>
      </w:r>
      <w:proofErr w:type="spellStart"/>
      <w:r>
        <w:t>Syntra</w:t>
      </w:r>
      <w:proofErr w:type="spellEnd"/>
      <w:r>
        <w:t>-campus is niet mogelijk (</w:t>
      </w:r>
      <w:proofErr w:type="spellStart"/>
      <w:r>
        <w:t>cfr</w:t>
      </w:r>
      <w:proofErr w:type="spellEnd"/>
      <w:r>
        <w:t>. vraag 1).</w:t>
      </w:r>
    </w:p>
    <w:p w:rsidR="002E6A11" w:rsidRDefault="002E6A11" w:rsidP="00524A93">
      <w:pPr>
        <w:pStyle w:val="StandaardSV"/>
        <w:ind w:left="720"/>
      </w:pP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961"/>
      </w:tblGrid>
      <w:tr w:rsidR="002E6A11" w:rsidRPr="000E43DD" w:rsidTr="007E7C79">
        <w:tc>
          <w:tcPr>
            <w:tcW w:w="959" w:type="dxa"/>
          </w:tcPr>
          <w:p w:rsidR="002E6A11" w:rsidRPr="007E7C79" w:rsidRDefault="002E6A11" w:rsidP="00524A93">
            <w:pPr>
              <w:pStyle w:val="StandaardSV"/>
              <w:rPr>
                <w:b/>
              </w:rPr>
            </w:pPr>
            <w:r w:rsidRPr="007E7C79">
              <w:rPr>
                <w:b/>
              </w:rPr>
              <w:t>Jaar</w:t>
            </w:r>
          </w:p>
        </w:tc>
        <w:tc>
          <w:tcPr>
            <w:tcW w:w="4961" w:type="dxa"/>
          </w:tcPr>
          <w:p w:rsidR="002E6A11" w:rsidRPr="007E7C79" w:rsidRDefault="002E6A11" w:rsidP="007E7C79">
            <w:pPr>
              <w:pStyle w:val="StandaardSV"/>
              <w:jc w:val="center"/>
              <w:rPr>
                <w:b/>
              </w:rPr>
            </w:pPr>
            <w:r w:rsidRPr="007E7C79">
              <w:rPr>
                <w:b/>
              </w:rPr>
              <w:t>Aantal klachten afgehandeld binnen de 45 dagen</w:t>
            </w:r>
          </w:p>
        </w:tc>
      </w:tr>
      <w:tr w:rsidR="002E6A11" w:rsidRPr="000E43DD" w:rsidTr="007E7C79">
        <w:tc>
          <w:tcPr>
            <w:tcW w:w="959" w:type="dxa"/>
          </w:tcPr>
          <w:p w:rsidR="002E6A11" w:rsidRPr="007E7C79" w:rsidRDefault="002E6A11" w:rsidP="00524A93">
            <w:pPr>
              <w:pStyle w:val="StandaardSV"/>
            </w:pPr>
            <w:r w:rsidRPr="007E7C79">
              <w:t>2008</w:t>
            </w:r>
          </w:p>
        </w:tc>
        <w:tc>
          <w:tcPr>
            <w:tcW w:w="4961" w:type="dxa"/>
          </w:tcPr>
          <w:p w:rsidR="002E6A11" w:rsidRPr="007E7C79" w:rsidRDefault="002E6A11" w:rsidP="007E7C79">
            <w:pPr>
              <w:pStyle w:val="StandaardSV"/>
              <w:jc w:val="center"/>
            </w:pPr>
            <w:r w:rsidRPr="007E7C79">
              <w:t>11</w:t>
            </w:r>
          </w:p>
        </w:tc>
      </w:tr>
      <w:tr w:rsidR="002E6A11" w:rsidRPr="000E43DD" w:rsidTr="007E7C79">
        <w:tc>
          <w:tcPr>
            <w:tcW w:w="959" w:type="dxa"/>
          </w:tcPr>
          <w:p w:rsidR="002E6A11" w:rsidRPr="007E7C79" w:rsidRDefault="002E6A11" w:rsidP="00524A93">
            <w:pPr>
              <w:pStyle w:val="StandaardSV"/>
            </w:pPr>
            <w:r w:rsidRPr="007E7C79">
              <w:t>2009</w:t>
            </w:r>
          </w:p>
        </w:tc>
        <w:tc>
          <w:tcPr>
            <w:tcW w:w="4961" w:type="dxa"/>
          </w:tcPr>
          <w:p w:rsidR="002E6A11" w:rsidRPr="007E7C79" w:rsidRDefault="002E6A11" w:rsidP="007E7C79">
            <w:pPr>
              <w:pStyle w:val="StandaardSV"/>
              <w:jc w:val="center"/>
            </w:pPr>
            <w:r w:rsidRPr="007E7C79">
              <w:t>22</w:t>
            </w:r>
          </w:p>
        </w:tc>
      </w:tr>
      <w:tr w:rsidR="002E6A11" w:rsidRPr="000E43DD" w:rsidTr="007E7C79">
        <w:tc>
          <w:tcPr>
            <w:tcW w:w="959" w:type="dxa"/>
          </w:tcPr>
          <w:p w:rsidR="002E6A11" w:rsidRPr="007E7C79" w:rsidRDefault="002E6A11" w:rsidP="00524A93">
            <w:pPr>
              <w:pStyle w:val="StandaardSV"/>
            </w:pPr>
            <w:r w:rsidRPr="007E7C79">
              <w:t>2010</w:t>
            </w:r>
          </w:p>
        </w:tc>
        <w:tc>
          <w:tcPr>
            <w:tcW w:w="4961" w:type="dxa"/>
          </w:tcPr>
          <w:p w:rsidR="002E6A11" w:rsidRPr="007E7C79" w:rsidRDefault="002E6A11" w:rsidP="007E7C79">
            <w:pPr>
              <w:pStyle w:val="StandaardSV"/>
              <w:jc w:val="center"/>
            </w:pPr>
            <w:r w:rsidRPr="007E7C79">
              <w:t>12</w:t>
            </w:r>
          </w:p>
        </w:tc>
      </w:tr>
      <w:tr w:rsidR="002E6A11" w:rsidRPr="000E43DD" w:rsidTr="007E7C79">
        <w:tc>
          <w:tcPr>
            <w:tcW w:w="959" w:type="dxa"/>
          </w:tcPr>
          <w:p w:rsidR="002E6A11" w:rsidRPr="007E7C79" w:rsidRDefault="002E6A11" w:rsidP="00524A93">
            <w:pPr>
              <w:pStyle w:val="StandaardSV"/>
            </w:pPr>
            <w:r w:rsidRPr="007E7C79">
              <w:t>2011</w:t>
            </w:r>
          </w:p>
        </w:tc>
        <w:tc>
          <w:tcPr>
            <w:tcW w:w="4961" w:type="dxa"/>
          </w:tcPr>
          <w:p w:rsidR="002E6A11" w:rsidRPr="007E7C79" w:rsidRDefault="002E6A11" w:rsidP="007E7C79">
            <w:pPr>
              <w:pStyle w:val="StandaardSV"/>
              <w:jc w:val="center"/>
            </w:pPr>
            <w:r w:rsidRPr="007E7C79">
              <w:t>7</w:t>
            </w:r>
          </w:p>
        </w:tc>
      </w:tr>
      <w:tr w:rsidR="002E6A11" w:rsidRPr="000E43DD" w:rsidTr="007E7C79">
        <w:tc>
          <w:tcPr>
            <w:tcW w:w="959" w:type="dxa"/>
          </w:tcPr>
          <w:p w:rsidR="002E6A11" w:rsidRPr="007E7C79" w:rsidRDefault="002E6A11" w:rsidP="00524A93">
            <w:pPr>
              <w:pStyle w:val="StandaardSV"/>
            </w:pPr>
            <w:r w:rsidRPr="007E7C79">
              <w:t>2012</w:t>
            </w:r>
          </w:p>
        </w:tc>
        <w:tc>
          <w:tcPr>
            <w:tcW w:w="4961" w:type="dxa"/>
          </w:tcPr>
          <w:p w:rsidR="002E6A11" w:rsidRPr="007E7C79" w:rsidRDefault="002E6A11" w:rsidP="007E7C79">
            <w:pPr>
              <w:pStyle w:val="StandaardSV"/>
              <w:jc w:val="center"/>
            </w:pPr>
            <w:r w:rsidRPr="007E7C79">
              <w:t>25</w:t>
            </w:r>
          </w:p>
        </w:tc>
      </w:tr>
    </w:tbl>
    <w:p w:rsidR="002E6A11" w:rsidRDefault="002E6A11" w:rsidP="00524A93">
      <w:pPr>
        <w:pStyle w:val="StandaardSV"/>
        <w:ind w:left="720"/>
      </w:pPr>
    </w:p>
    <w:p w:rsidR="002E6A11" w:rsidRDefault="002E6A11" w:rsidP="000E43DD">
      <w:pPr>
        <w:pStyle w:val="StandaardSV"/>
        <w:numPr>
          <w:ilvl w:val="0"/>
          <w:numId w:val="14"/>
        </w:numPr>
      </w:pPr>
      <w:r>
        <w:t xml:space="preserve">De rapportering gebeurt overeenkomstig het stramien dat voorgeschreven is door de Vlaamse </w:t>
      </w:r>
      <w:proofErr w:type="spellStart"/>
      <w:r>
        <w:t>Ombudsdienst</w:t>
      </w:r>
      <w:proofErr w:type="spellEnd"/>
      <w:r>
        <w:t>. Daar wordt een onderscheid gemaakt tussen de afhandeling van klachten binnen de 45 dagen na ontvangst en diegene die langer duren.</w:t>
      </w:r>
      <w:r w:rsidRPr="000E43DD">
        <w:t xml:space="preserve"> </w:t>
      </w:r>
      <w:r>
        <w:t xml:space="preserve">De behandeltermijn van 2 maanden voor een klacht wordt daardoor niet geregistreerd. Een opdeling per </w:t>
      </w:r>
      <w:proofErr w:type="spellStart"/>
      <w:r>
        <w:t>Syntra</w:t>
      </w:r>
      <w:proofErr w:type="spellEnd"/>
      <w:r>
        <w:t>-campus is niet mogelijk (</w:t>
      </w:r>
      <w:proofErr w:type="spellStart"/>
      <w:r>
        <w:t>cfr</w:t>
      </w:r>
      <w:proofErr w:type="spellEnd"/>
      <w:r>
        <w:t>. vraag 1).</w:t>
      </w:r>
    </w:p>
    <w:p w:rsidR="002E6A11" w:rsidRDefault="002E6A11" w:rsidP="000E43DD">
      <w:pPr>
        <w:pStyle w:val="StandaardSV"/>
        <w:ind w:left="720"/>
      </w:pP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1783"/>
        <w:gridCol w:w="5813"/>
      </w:tblGrid>
      <w:tr w:rsidR="002E6A11" w:rsidRPr="000E43DD" w:rsidTr="004019D9">
        <w:tc>
          <w:tcPr>
            <w:tcW w:w="959" w:type="dxa"/>
          </w:tcPr>
          <w:p w:rsidR="002E6A11" w:rsidRPr="007E7C79" w:rsidRDefault="002E6A11" w:rsidP="000E43DD">
            <w:pPr>
              <w:pStyle w:val="StandaardSV"/>
              <w:rPr>
                <w:b/>
              </w:rPr>
            </w:pPr>
            <w:r w:rsidRPr="007E7C79">
              <w:rPr>
                <w:b/>
              </w:rPr>
              <w:t>Jaar</w:t>
            </w:r>
          </w:p>
        </w:tc>
        <w:tc>
          <w:tcPr>
            <w:tcW w:w="1812" w:type="dxa"/>
          </w:tcPr>
          <w:p w:rsidR="002E6A11" w:rsidRDefault="002E6A11" w:rsidP="004019D9">
            <w:pPr>
              <w:pStyle w:val="StandaardSV"/>
              <w:jc w:val="left"/>
              <w:rPr>
                <w:b/>
              </w:rPr>
            </w:pPr>
            <w:r w:rsidRPr="007E7C79">
              <w:rPr>
                <w:b/>
              </w:rPr>
              <w:t xml:space="preserve">Aantal niet </w:t>
            </w:r>
          </w:p>
          <w:p w:rsidR="002E6A11" w:rsidRPr="007E7C79" w:rsidRDefault="002E6A11" w:rsidP="004019D9">
            <w:pPr>
              <w:pStyle w:val="StandaardSV"/>
              <w:jc w:val="left"/>
              <w:rPr>
                <w:b/>
              </w:rPr>
            </w:pPr>
            <w:r w:rsidRPr="007E7C79">
              <w:rPr>
                <w:b/>
              </w:rPr>
              <w:t>afgehandelde</w:t>
            </w:r>
          </w:p>
          <w:p w:rsidR="002E6A11" w:rsidRDefault="002E6A11" w:rsidP="004019D9">
            <w:pPr>
              <w:pStyle w:val="StandaardSV"/>
              <w:jc w:val="left"/>
              <w:rPr>
                <w:b/>
              </w:rPr>
            </w:pPr>
            <w:r w:rsidRPr="007E7C79">
              <w:rPr>
                <w:b/>
              </w:rPr>
              <w:t xml:space="preserve">klachten binnen </w:t>
            </w:r>
          </w:p>
          <w:p w:rsidR="002E6A11" w:rsidRPr="007E7C79" w:rsidRDefault="002E6A11" w:rsidP="004019D9">
            <w:pPr>
              <w:pStyle w:val="StandaardSV"/>
              <w:jc w:val="left"/>
              <w:rPr>
                <w:b/>
              </w:rPr>
            </w:pPr>
            <w:r w:rsidRPr="007E7C79">
              <w:rPr>
                <w:b/>
              </w:rPr>
              <w:t>de 45 dagen</w:t>
            </w:r>
          </w:p>
        </w:tc>
        <w:tc>
          <w:tcPr>
            <w:tcW w:w="6140" w:type="dxa"/>
          </w:tcPr>
          <w:p w:rsidR="002E6A11" w:rsidRPr="007E7C79" w:rsidRDefault="002E6A11" w:rsidP="000E43DD">
            <w:pPr>
              <w:pStyle w:val="StandaardSV"/>
              <w:rPr>
                <w:b/>
              </w:rPr>
            </w:pPr>
            <w:r w:rsidRPr="007E7C79">
              <w:rPr>
                <w:b/>
              </w:rPr>
              <w:t>Reden</w:t>
            </w:r>
          </w:p>
          <w:p w:rsidR="002E6A11" w:rsidRPr="007E7C79" w:rsidRDefault="002E6A11" w:rsidP="000E43DD">
            <w:pPr>
              <w:pStyle w:val="StandaardSV"/>
              <w:rPr>
                <w:b/>
              </w:rPr>
            </w:pPr>
          </w:p>
        </w:tc>
      </w:tr>
      <w:tr w:rsidR="002E6A11" w:rsidRPr="000E43DD" w:rsidTr="004019D9">
        <w:tc>
          <w:tcPr>
            <w:tcW w:w="959" w:type="dxa"/>
          </w:tcPr>
          <w:p w:rsidR="002E6A11" w:rsidRPr="007E7C79" w:rsidRDefault="002E6A11" w:rsidP="000E43DD">
            <w:pPr>
              <w:pStyle w:val="StandaardSV"/>
            </w:pPr>
            <w:r w:rsidRPr="007E7C79">
              <w:t>2008</w:t>
            </w:r>
          </w:p>
        </w:tc>
        <w:tc>
          <w:tcPr>
            <w:tcW w:w="1812" w:type="dxa"/>
          </w:tcPr>
          <w:p w:rsidR="002E6A11" w:rsidRPr="007E7C79" w:rsidRDefault="002E6A11" w:rsidP="007E7C79">
            <w:pPr>
              <w:pStyle w:val="StandaardSV"/>
              <w:jc w:val="center"/>
            </w:pPr>
            <w:r w:rsidRPr="007E7C79">
              <w:t>13</w:t>
            </w:r>
          </w:p>
        </w:tc>
        <w:tc>
          <w:tcPr>
            <w:tcW w:w="6140" w:type="dxa"/>
          </w:tcPr>
          <w:p w:rsidR="002E6A11" w:rsidRDefault="002E6A11" w:rsidP="000E43DD">
            <w:pPr>
              <w:pStyle w:val="StandaardSV"/>
            </w:pPr>
            <w:r>
              <w:t>De klachten betroffen o.a.:</w:t>
            </w:r>
          </w:p>
          <w:p w:rsidR="002E6A11" w:rsidRDefault="002E6A11" w:rsidP="000E43DD">
            <w:pPr>
              <w:pStyle w:val="StandaardSV"/>
            </w:pPr>
            <w:r>
              <w:t xml:space="preserve">- het niet toekennen van een </w:t>
            </w:r>
            <w:proofErr w:type="spellStart"/>
            <w:r>
              <w:t>stagebonus</w:t>
            </w:r>
            <w:proofErr w:type="spellEnd"/>
            <w:r>
              <w:t xml:space="preserve"> aan een leerjongen (niet ontvangen, verkeerdelijk toegestuurd); </w:t>
            </w:r>
          </w:p>
          <w:p w:rsidR="002E6A11" w:rsidRDefault="002E6A11" w:rsidP="000E43DD">
            <w:pPr>
              <w:pStyle w:val="StandaardSV"/>
            </w:pPr>
            <w:r>
              <w:t>- het inschakelen van een incassobureau bij het niet betalen van cursusmateriaal;</w:t>
            </w:r>
          </w:p>
          <w:p w:rsidR="002E6A11" w:rsidRDefault="002E6A11" w:rsidP="000E43DD">
            <w:pPr>
              <w:pStyle w:val="StandaardSV"/>
            </w:pPr>
            <w:r>
              <w:t xml:space="preserve">- slechte organisatie en voorbereiding C-proef (opnieuw in vraag gesteld na beslissing van de raad van bestuur); </w:t>
            </w:r>
          </w:p>
          <w:p w:rsidR="002E6A11" w:rsidRDefault="002E6A11" w:rsidP="000E43DD">
            <w:pPr>
              <w:pStyle w:val="StandaardSV"/>
            </w:pPr>
            <w:r>
              <w:t xml:space="preserve">- </w:t>
            </w:r>
            <w:proofErr w:type="spellStart"/>
            <w:r>
              <w:t>kwotering</w:t>
            </w:r>
            <w:proofErr w:type="spellEnd"/>
            <w:r>
              <w:t xml:space="preserve"> en verloop van de C-proef;</w:t>
            </w:r>
          </w:p>
          <w:p w:rsidR="002E6A11" w:rsidRDefault="002E6A11" w:rsidP="000E43DD">
            <w:pPr>
              <w:pStyle w:val="StandaardSV"/>
            </w:pPr>
            <w:r>
              <w:t>- bezwaar inzake verloop van de examens en voorbereiding van het examen (opnieuw in vraag gesteld na beslissing van de raad van bestuur);</w:t>
            </w:r>
          </w:p>
          <w:p w:rsidR="002E6A11" w:rsidRPr="007E7C79" w:rsidRDefault="002E6A11" w:rsidP="00710F46">
            <w:pPr>
              <w:pStyle w:val="StandaardSV"/>
            </w:pPr>
            <w:r>
              <w:t>- gedeeltelijke vrijstelling van inschrijvingsgeld, onduidelijkheid  over de inhoud van de klacht.</w:t>
            </w:r>
          </w:p>
        </w:tc>
      </w:tr>
      <w:tr w:rsidR="002E6A11" w:rsidRPr="000E43DD" w:rsidTr="004019D9">
        <w:tc>
          <w:tcPr>
            <w:tcW w:w="959" w:type="dxa"/>
          </w:tcPr>
          <w:p w:rsidR="002E6A11" w:rsidRPr="007E7C79" w:rsidRDefault="002E6A11" w:rsidP="000E43DD">
            <w:pPr>
              <w:pStyle w:val="StandaardSV"/>
            </w:pPr>
            <w:r w:rsidRPr="007E7C79">
              <w:t>2009</w:t>
            </w:r>
          </w:p>
        </w:tc>
        <w:tc>
          <w:tcPr>
            <w:tcW w:w="1812" w:type="dxa"/>
          </w:tcPr>
          <w:p w:rsidR="002E6A11" w:rsidRPr="007E7C79" w:rsidRDefault="002E6A11" w:rsidP="007E7C79">
            <w:pPr>
              <w:pStyle w:val="StandaardSV"/>
              <w:jc w:val="center"/>
            </w:pPr>
            <w:r w:rsidRPr="007E7C79">
              <w:t>14</w:t>
            </w:r>
          </w:p>
        </w:tc>
        <w:tc>
          <w:tcPr>
            <w:tcW w:w="6140" w:type="dxa"/>
          </w:tcPr>
          <w:p w:rsidR="002E6A11" w:rsidRDefault="002E6A11" w:rsidP="000E43DD">
            <w:pPr>
              <w:pStyle w:val="StandaardSV"/>
            </w:pPr>
            <w:r>
              <w:t>De klachten betroffen o.a.:</w:t>
            </w:r>
          </w:p>
          <w:p w:rsidR="002E6A11" w:rsidRDefault="002E6A11" w:rsidP="000E43DD">
            <w:pPr>
              <w:pStyle w:val="StandaardSV"/>
            </w:pPr>
            <w:r>
              <w:t>- kritiek op de jury bij de C-proef. De jury was niet reglementair samengesteld. De cursiste kreeg hier een nieuwe kans van de C-proef, met een reglementaire jury;</w:t>
            </w:r>
          </w:p>
          <w:p w:rsidR="002E6A11" w:rsidRDefault="002E6A11" w:rsidP="000E43DD">
            <w:pPr>
              <w:pStyle w:val="StandaardSV"/>
            </w:pPr>
            <w:r>
              <w:t>- klachten over cursus; er wordt geen (goede) les meer gegeven;</w:t>
            </w:r>
          </w:p>
          <w:p w:rsidR="002E6A11" w:rsidRDefault="002E6A11" w:rsidP="000E43DD">
            <w:pPr>
              <w:pStyle w:val="StandaardSV"/>
            </w:pPr>
            <w:r>
              <w:t xml:space="preserve">oneerlijke behandeling bij </w:t>
            </w:r>
            <w:proofErr w:type="spellStart"/>
            <w:r>
              <w:t>kwotering</w:t>
            </w:r>
            <w:proofErr w:type="spellEnd"/>
            <w:r>
              <w:t xml:space="preserve"> van eindwerk;</w:t>
            </w:r>
          </w:p>
          <w:p w:rsidR="002E6A11" w:rsidRDefault="002E6A11" w:rsidP="00EF4FFB">
            <w:pPr>
              <w:pStyle w:val="StandaardSV"/>
            </w:pPr>
            <w:r>
              <w:t xml:space="preserve">- klacht omtrent het bewijs van elders behaalde getuigschriften in  het opleidingssysteem van </w:t>
            </w:r>
            <w:proofErr w:type="spellStart"/>
            <w:r>
              <w:t>Syntra</w:t>
            </w:r>
            <w:proofErr w:type="spellEnd"/>
            <w:r>
              <w:t>;</w:t>
            </w:r>
          </w:p>
          <w:p w:rsidR="002E6A11" w:rsidRDefault="002E6A11" w:rsidP="00EF4FFB">
            <w:pPr>
              <w:pStyle w:val="StandaardSV"/>
            </w:pPr>
            <w:r>
              <w:t>- discussie rond een openstaande factuur en aanvechten beslissing examenjury en bijkomend probleem na herexamen;</w:t>
            </w:r>
          </w:p>
          <w:p w:rsidR="002E6A11" w:rsidRDefault="002E6A11" w:rsidP="00EF4FFB">
            <w:pPr>
              <w:pStyle w:val="StandaardSV"/>
            </w:pPr>
            <w:r>
              <w:t>- niet slagen in het examen praktijk, maar kans op een nieuw examen wordt geweigerd;</w:t>
            </w:r>
          </w:p>
          <w:p w:rsidR="002E6A11" w:rsidRDefault="002E6A11" w:rsidP="00EF4FFB">
            <w:pPr>
              <w:pStyle w:val="StandaardSV"/>
            </w:pPr>
            <w:r>
              <w:t>- niet slagen in het examen van het 3</w:t>
            </w:r>
            <w:r w:rsidRPr="00A37ECD">
              <w:rPr>
                <w:vertAlign w:val="superscript"/>
              </w:rPr>
              <w:t>de</w:t>
            </w:r>
            <w:r>
              <w:t xml:space="preserve"> jaar; en bij herkansing ook niet geslaagd.</w:t>
            </w:r>
          </w:p>
          <w:p w:rsidR="002E6A11" w:rsidRPr="007E7C79" w:rsidRDefault="002E6A11" w:rsidP="00710F46">
            <w:pPr>
              <w:pStyle w:val="StandaardSV"/>
            </w:pPr>
          </w:p>
        </w:tc>
      </w:tr>
      <w:tr w:rsidR="002E6A11" w:rsidRPr="000E43DD" w:rsidTr="004019D9">
        <w:tc>
          <w:tcPr>
            <w:tcW w:w="959" w:type="dxa"/>
          </w:tcPr>
          <w:p w:rsidR="002E6A11" w:rsidRPr="007E7C79" w:rsidRDefault="002E6A11" w:rsidP="000E43DD">
            <w:pPr>
              <w:pStyle w:val="StandaardSV"/>
            </w:pPr>
            <w:r w:rsidRPr="007E7C79">
              <w:t>2010</w:t>
            </w:r>
          </w:p>
        </w:tc>
        <w:tc>
          <w:tcPr>
            <w:tcW w:w="1812" w:type="dxa"/>
          </w:tcPr>
          <w:p w:rsidR="002E6A11" w:rsidRPr="007E7C79" w:rsidRDefault="002E6A11" w:rsidP="007E7C79">
            <w:pPr>
              <w:pStyle w:val="StandaardSV"/>
              <w:jc w:val="center"/>
            </w:pPr>
            <w:r w:rsidRPr="007E7C79">
              <w:t>3</w:t>
            </w:r>
          </w:p>
        </w:tc>
        <w:tc>
          <w:tcPr>
            <w:tcW w:w="6140" w:type="dxa"/>
          </w:tcPr>
          <w:p w:rsidR="002E6A11" w:rsidRDefault="002E6A11" w:rsidP="00A46047">
            <w:pPr>
              <w:pStyle w:val="StandaardSV"/>
            </w:pPr>
            <w:r>
              <w:t>De klachten betroffen:</w:t>
            </w:r>
          </w:p>
          <w:p w:rsidR="002E6A11" w:rsidRDefault="002E6A11" w:rsidP="00A46047">
            <w:pPr>
              <w:pStyle w:val="StandaardSV"/>
            </w:pPr>
            <w:r>
              <w:t>- geen voortzetting van de opleiding;</w:t>
            </w:r>
          </w:p>
          <w:p w:rsidR="002E6A11" w:rsidRDefault="002E6A11" w:rsidP="00A46047">
            <w:pPr>
              <w:pStyle w:val="StandaardSV"/>
            </w:pPr>
            <w:r>
              <w:t>- foutieve informatieverstrekking over de inhoud van een cursus;</w:t>
            </w:r>
          </w:p>
          <w:p w:rsidR="002E6A11" w:rsidRPr="007E7C79" w:rsidRDefault="002E6A11" w:rsidP="00710F46">
            <w:pPr>
              <w:pStyle w:val="StandaardSV"/>
            </w:pPr>
            <w:r>
              <w:t>- cursist krijgt zijn punten niet van leerkracht.</w:t>
            </w:r>
          </w:p>
        </w:tc>
      </w:tr>
      <w:tr w:rsidR="002E6A11" w:rsidRPr="000E43DD" w:rsidTr="004019D9">
        <w:tc>
          <w:tcPr>
            <w:tcW w:w="959" w:type="dxa"/>
          </w:tcPr>
          <w:p w:rsidR="002E6A11" w:rsidRPr="007E7C79" w:rsidRDefault="002E6A11" w:rsidP="000E43DD">
            <w:pPr>
              <w:pStyle w:val="StandaardSV"/>
            </w:pPr>
            <w:r w:rsidRPr="007E7C79">
              <w:lastRenderedPageBreak/>
              <w:t>2011</w:t>
            </w:r>
          </w:p>
        </w:tc>
        <w:tc>
          <w:tcPr>
            <w:tcW w:w="1812" w:type="dxa"/>
          </w:tcPr>
          <w:p w:rsidR="002E6A11" w:rsidRPr="007E7C79" w:rsidRDefault="002E6A11" w:rsidP="007E7C79">
            <w:pPr>
              <w:pStyle w:val="StandaardSV"/>
              <w:jc w:val="center"/>
            </w:pPr>
            <w:r w:rsidRPr="007E7C79">
              <w:t>0</w:t>
            </w:r>
          </w:p>
        </w:tc>
        <w:tc>
          <w:tcPr>
            <w:tcW w:w="6140" w:type="dxa"/>
          </w:tcPr>
          <w:p w:rsidR="002E6A11" w:rsidRPr="007E7C79" w:rsidRDefault="002E6A11" w:rsidP="000E43DD">
            <w:pPr>
              <w:pStyle w:val="StandaardSV"/>
            </w:pPr>
            <w:r w:rsidRPr="007E7C79">
              <w:t>/</w:t>
            </w:r>
          </w:p>
        </w:tc>
      </w:tr>
      <w:tr w:rsidR="002E6A11" w:rsidRPr="000E43DD" w:rsidTr="004019D9">
        <w:tc>
          <w:tcPr>
            <w:tcW w:w="959" w:type="dxa"/>
          </w:tcPr>
          <w:p w:rsidR="002E6A11" w:rsidRPr="007E7C79" w:rsidRDefault="002E6A11" w:rsidP="000E43DD">
            <w:pPr>
              <w:pStyle w:val="StandaardSV"/>
            </w:pPr>
            <w:r w:rsidRPr="007E7C79">
              <w:t>2012</w:t>
            </w:r>
          </w:p>
        </w:tc>
        <w:tc>
          <w:tcPr>
            <w:tcW w:w="1812" w:type="dxa"/>
          </w:tcPr>
          <w:p w:rsidR="002E6A11" w:rsidRPr="007E7C79" w:rsidRDefault="002E6A11" w:rsidP="007E7C79">
            <w:pPr>
              <w:pStyle w:val="StandaardSV"/>
              <w:jc w:val="center"/>
            </w:pPr>
            <w:r w:rsidRPr="007E7C79">
              <w:t>10</w:t>
            </w:r>
          </w:p>
        </w:tc>
        <w:tc>
          <w:tcPr>
            <w:tcW w:w="6140" w:type="dxa"/>
          </w:tcPr>
          <w:p w:rsidR="002E6A11" w:rsidRDefault="002E6A11" w:rsidP="000E43DD">
            <w:pPr>
              <w:pStyle w:val="StandaardSV"/>
            </w:pPr>
            <w:r>
              <w:t>De klachten betroffen o.a.:</w:t>
            </w:r>
          </w:p>
          <w:p w:rsidR="002E6A11" w:rsidRDefault="002E6A11" w:rsidP="000E43DD">
            <w:pPr>
              <w:pStyle w:val="StandaardSV"/>
            </w:pPr>
            <w:r>
              <w:t>- klacht over het niet verderzetten van een opleiding;</w:t>
            </w:r>
          </w:p>
          <w:p w:rsidR="002E6A11" w:rsidRDefault="002E6A11" w:rsidP="000E43DD">
            <w:pPr>
              <w:pStyle w:val="StandaardSV"/>
            </w:pPr>
            <w:r>
              <w:t>- cursus krijgt een bijkomend jaar (van 2 naar 3), maar het programma wordt niet echt verzwaard;</w:t>
            </w:r>
          </w:p>
          <w:p w:rsidR="002E6A11" w:rsidRDefault="002E6A11" w:rsidP="000E43DD">
            <w:pPr>
              <w:pStyle w:val="StandaardSV"/>
            </w:pPr>
            <w:r>
              <w:t>- getuigschrift i.p.v. diploma technisch tekenaar;</w:t>
            </w:r>
          </w:p>
          <w:p w:rsidR="002E6A11" w:rsidRDefault="002E6A11" w:rsidP="000E43DD">
            <w:pPr>
              <w:pStyle w:val="StandaardSV"/>
            </w:pPr>
            <w:r>
              <w:t>- slechte kwaliteit van de opleiding en enkel attest maar geen diploma;</w:t>
            </w:r>
          </w:p>
          <w:p w:rsidR="002E6A11" w:rsidRDefault="002E6A11" w:rsidP="000E43DD">
            <w:pPr>
              <w:pStyle w:val="StandaardSV"/>
            </w:pPr>
            <w:r>
              <w:t>- cursus wordt verplaatst en de kwaliteit van de docenten is ondermaats;</w:t>
            </w:r>
          </w:p>
          <w:p w:rsidR="002E6A11" w:rsidRDefault="002E6A11" w:rsidP="000E43DD">
            <w:pPr>
              <w:pStyle w:val="StandaardSV"/>
            </w:pPr>
            <w:r>
              <w:t xml:space="preserve">- cursist is geslaagd, maar </w:t>
            </w:r>
            <w:proofErr w:type="spellStart"/>
            <w:r>
              <w:t>Syntra</w:t>
            </w:r>
            <w:proofErr w:type="spellEnd"/>
            <w:r>
              <w:t xml:space="preserve"> is zijn C-proef kwijt.</w:t>
            </w:r>
          </w:p>
          <w:p w:rsidR="002E6A11" w:rsidRPr="007E7C79" w:rsidRDefault="002E6A11" w:rsidP="00710F46">
            <w:pPr>
              <w:pStyle w:val="StandaardSV"/>
            </w:pPr>
          </w:p>
        </w:tc>
      </w:tr>
    </w:tbl>
    <w:p w:rsidR="00710F46" w:rsidRDefault="00710F46" w:rsidP="00710F46">
      <w:pPr>
        <w:pStyle w:val="StandaardSV"/>
      </w:pPr>
    </w:p>
    <w:p w:rsidR="00710F46" w:rsidRDefault="00710F46" w:rsidP="003759F7">
      <w:pPr>
        <w:pStyle w:val="StandaardSV"/>
        <w:ind w:left="360"/>
      </w:pPr>
      <w:r w:rsidRPr="007E7C79">
        <w:t>Alle klachten worden grondig onderzocht door de decentrale dienst of de bevoegde adviseur. Dit vraagt tijd. De klager is – terecht of niet – niet steeds met het antwoord tevreden. Dit geeft dan weer aanleiding tot bijkomend onderzoek. Vandaar dat ook de gemiddelde doorlooptijd van een klacht stijgt</w:t>
      </w:r>
      <w:r>
        <w:t xml:space="preserve"> (uittreksel uit het jaarverslag aan de Vlaamse </w:t>
      </w:r>
      <w:proofErr w:type="spellStart"/>
      <w:r>
        <w:t>Ombudsdienst</w:t>
      </w:r>
      <w:proofErr w:type="spellEnd"/>
      <w:r>
        <w:t>).</w:t>
      </w:r>
    </w:p>
    <w:p w:rsidR="00710F46" w:rsidRDefault="00710F46" w:rsidP="000E43DD">
      <w:pPr>
        <w:pStyle w:val="StandaardSV"/>
      </w:pPr>
    </w:p>
    <w:p w:rsidR="002E6A11" w:rsidRDefault="002E6A11" w:rsidP="002500B7">
      <w:pPr>
        <w:pStyle w:val="StandaardSV"/>
        <w:numPr>
          <w:ilvl w:val="0"/>
          <w:numId w:val="14"/>
        </w:numPr>
      </w:pPr>
      <w:r>
        <w:t xml:space="preserve">Een klacht wordt vaak via verschillende kanalen tegelijk ingediend, bv. zowel bij SYNTRA Vlaanderen als bij de Vlaamse </w:t>
      </w:r>
      <w:proofErr w:type="spellStart"/>
      <w:r>
        <w:t>Ombudsdienst</w:t>
      </w:r>
      <w:proofErr w:type="spellEnd"/>
      <w:r>
        <w:t xml:space="preserve">. Het aantal klachten die eerst bij </w:t>
      </w:r>
      <w:proofErr w:type="spellStart"/>
      <w:r w:rsidRPr="000E43DD">
        <w:t>Syntra</w:t>
      </w:r>
      <w:proofErr w:type="spellEnd"/>
      <w:r w:rsidRPr="000E43DD">
        <w:t xml:space="preserve"> Vlaanderen</w:t>
      </w:r>
      <w:r>
        <w:t xml:space="preserve"> worden ingediend en waarvoor later een tussenkomst van de</w:t>
      </w:r>
      <w:r w:rsidRPr="00C65646">
        <w:t xml:space="preserve"> </w:t>
      </w:r>
      <w:r>
        <w:t xml:space="preserve">Vlaamse </w:t>
      </w:r>
      <w:proofErr w:type="spellStart"/>
      <w:r>
        <w:t>Ombudsdienst</w:t>
      </w:r>
      <w:proofErr w:type="spellEnd"/>
      <w:r>
        <w:t xml:space="preserve"> nodig is, wordt niet geregistreerd. Hierover kan ik dus geen cijfers geven. </w:t>
      </w:r>
      <w:r w:rsidRPr="000E43DD">
        <w:t xml:space="preserve">Er zijn enkel cijfers bekend van het aantal klachten die via doorverwijzing door de Vlaamse </w:t>
      </w:r>
      <w:proofErr w:type="spellStart"/>
      <w:r w:rsidRPr="000E43DD">
        <w:t>Ombudsdienst</w:t>
      </w:r>
      <w:proofErr w:type="spellEnd"/>
      <w:r w:rsidRPr="000E43DD">
        <w:t xml:space="preserve"> bij </w:t>
      </w:r>
      <w:proofErr w:type="spellStart"/>
      <w:r w:rsidRPr="000E43DD">
        <w:t>Syntra</w:t>
      </w:r>
      <w:proofErr w:type="spellEnd"/>
      <w:r w:rsidRPr="000E43DD">
        <w:t xml:space="preserve"> Vlaanderen worden ingediend.</w:t>
      </w:r>
      <w:r>
        <w:t xml:space="preserve"> </w:t>
      </w:r>
    </w:p>
    <w:p w:rsidR="002E6A11" w:rsidRDefault="002E6A11" w:rsidP="00C65646">
      <w:pPr>
        <w:pStyle w:val="StandaardSV"/>
        <w:ind w:left="720"/>
      </w:pPr>
    </w:p>
    <w:p w:rsidR="002E6A11" w:rsidRDefault="002E6A11" w:rsidP="003F7FD2">
      <w:pPr>
        <w:pStyle w:val="StandaardSV"/>
        <w:numPr>
          <w:ilvl w:val="0"/>
          <w:numId w:val="14"/>
        </w:numPr>
      </w:pPr>
      <w:r>
        <w:t xml:space="preserve">Ik verwijs naar het antwoord op vraag 5. Hier wordt geen bestand van bijgehouden. </w:t>
      </w:r>
    </w:p>
    <w:p w:rsidR="002E6A11" w:rsidRDefault="002E6A11" w:rsidP="002500B7">
      <w:pPr>
        <w:pStyle w:val="Lijstalinea"/>
      </w:pPr>
    </w:p>
    <w:p w:rsidR="002E6A11" w:rsidRDefault="002E6A11" w:rsidP="003759F7">
      <w:pPr>
        <w:pStyle w:val="StandaardSV"/>
        <w:ind w:left="360"/>
      </w:pPr>
      <w:r>
        <w:t>Het antwoord op de vraag of een bevredigende oplossing wordt gevonden, hangt meestal af van de positieve of negatieve beslissing als gevolg op een klacht.</w:t>
      </w:r>
    </w:p>
    <w:p w:rsidR="002E6A11" w:rsidRDefault="002E6A11" w:rsidP="003F7FD2">
      <w:pPr>
        <w:pStyle w:val="StandaardSV"/>
        <w:ind w:left="720"/>
      </w:pPr>
    </w:p>
    <w:p w:rsidR="002E6A11" w:rsidRDefault="002E6A11" w:rsidP="003F7FD2">
      <w:pPr>
        <w:pStyle w:val="StandaardSV"/>
        <w:numPr>
          <w:ilvl w:val="0"/>
          <w:numId w:val="14"/>
        </w:numPr>
      </w:pPr>
      <w:r>
        <w:t>Voor het antwoord op deze vraag verwijs ik naar het antwoord op vraag 6.</w:t>
      </w:r>
    </w:p>
    <w:p w:rsidR="002E6A11" w:rsidRDefault="002E6A11" w:rsidP="003F7FD2">
      <w:pPr>
        <w:pStyle w:val="Lijstalinea"/>
      </w:pPr>
    </w:p>
    <w:p w:rsidR="002E6A11" w:rsidRDefault="002E6A11" w:rsidP="003F7FD2">
      <w:pPr>
        <w:pStyle w:val="StandaardSV"/>
        <w:numPr>
          <w:ilvl w:val="0"/>
          <w:numId w:val="14"/>
        </w:numPr>
      </w:pPr>
      <w:r w:rsidRPr="003F7FD2">
        <w:t xml:space="preserve">Bij de hertekening van het klachtenmanagement, zal de opdeling per </w:t>
      </w:r>
      <w:proofErr w:type="spellStart"/>
      <w:r w:rsidRPr="003F7FD2">
        <w:t>Syntra</w:t>
      </w:r>
      <w:proofErr w:type="spellEnd"/>
      <w:r w:rsidRPr="003F7FD2">
        <w:t xml:space="preserve">-campus en een rapportering </w:t>
      </w:r>
      <w:proofErr w:type="spellStart"/>
      <w:r w:rsidRPr="003F7FD2">
        <w:t>Syntra</w:t>
      </w:r>
      <w:proofErr w:type="spellEnd"/>
      <w:r w:rsidRPr="003F7FD2">
        <w:t xml:space="preserve"> – </w:t>
      </w:r>
      <w:proofErr w:type="spellStart"/>
      <w:r w:rsidRPr="003F7FD2">
        <w:t>Syntra</w:t>
      </w:r>
      <w:proofErr w:type="spellEnd"/>
      <w:r w:rsidRPr="003F7FD2">
        <w:t xml:space="preserve"> Vlaanderen als voorstel worden meegenomen</w:t>
      </w:r>
      <w:r>
        <w:t>.</w:t>
      </w:r>
      <w:r w:rsidRPr="003F7FD2">
        <w:t xml:space="preserve"> </w:t>
      </w:r>
      <w:r>
        <w:t xml:space="preserve">Tevens </w:t>
      </w:r>
      <w:r w:rsidRPr="003F7FD2">
        <w:t xml:space="preserve">zal overwogen worden of een call center of onafhankelijk extern bureau kan peilen naar de tevredenheid van de klachtenbehandeling binnen het </w:t>
      </w:r>
      <w:proofErr w:type="spellStart"/>
      <w:r w:rsidRPr="003F7FD2">
        <w:t>Syntra</w:t>
      </w:r>
      <w:proofErr w:type="spellEnd"/>
      <w:r w:rsidRPr="003F7FD2">
        <w:t>-netwerk</w:t>
      </w:r>
      <w:r>
        <w:t>. Aanvullend verwijs ik naar het antwoord op vraag 9.</w:t>
      </w:r>
    </w:p>
    <w:p w:rsidR="002E6A11" w:rsidRDefault="002E6A11" w:rsidP="003F7FD2">
      <w:pPr>
        <w:pStyle w:val="Lijstalinea"/>
      </w:pPr>
    </w:p>
    <w:p w:rsidR="002E6A11" w:rsidRPr="003F7FD2" w:rsidRDefault="002E6A11" w:rsidP="003F7FD2">
      <w:pPr>
        <w:pStyle w:val="StandaardSV"/>
        <w:numPr>
          <w:ilvl w:val="0"/>
          <w:numId w:val="14"/>
        </w:numPr>
      </w:pPr>
      <w:r w:rsidRPr="003F7FD2">
        <w:rPr>
          <w:szCs w:val="22"/>
        </w:rPr>
        <w:t xml:space="preserve">Actie 46 van het ondernemingsplan 2013 van </w:t>
      </w:r>
      <w:proofErr w:type="spellStart"/>
      <w:r w:rsidRPr="003F7FD2">
        <w:rPr>
          <w:szCs w:val="22"/>
        </w:rPr>
        <w:t>Syntra</w:t>
      </w:r>
      <w:proofErr w:type="spellEnd"/>
      <w:r w:rsidRPr="003F7FD2">
        <w:rPr>
          <w:szCs w:val="22"/>
        </w:rPr>
        <w:t xml:space="preserve"> Vlaanderen stelt: “</w:t>
      </w:r>
      <w:proofErr w:type="spellStart"/>
      <w:r w:rsidRPr="003F7FD2">
        <w:rPr>
          <w:szCs w:val="22"/>
        </w:rPr>
        <w:t>Syntra</w:t>
      </w:r>
      <w:proofErr w:type="spellEnd"/>
      <w:r w:rsidRPr="003F7FD2">
        <w:rPr>
          <w:szCs w:val="22"/>
        </w:rPr>
        <w:t xml:space="preserve"> Vlaanderen investeert zowel in de eigen organisatie als naar het SYNTRA-netwerk toe in de verdere uitbouw van de klachtenbehandeling als onderdeel van een naar effectiviteit en efficiëntie strevende kwalitatieve aanpak”. </w:t>
      </w:r>
    </w:p>
    <w:p w:rsidR="002E6A11" w:rsidRPr="003F7FD2" w:rsidRDefault="002E6A11" w:rsidP="003F7FD2">
      <w:pPr>
        <w:tabs>
          <w:tab w:val="left" w:pos="6636"/>
        </w:tabs>
        <w:rPr>
          <w:sz w:val="22"/>
          <w:szCs w:val="22"/>
        </w:rPr>
      </w:pPr>
    </w:p>
    <w:p w:rsidR="002E6A11" w:rsidRDefault="002E6A11" w:rsidP="003759F7">
      <w:pPr>
        <w:tabs>
          <w:tab w:val="left" w:pos="6636"/>
        </w:tabs>
        <w:ind w:left="360"/>
        <w:jc w:val="both"/>
        <w:rPr>
          <w:sz w:val="22"/>
          <w:szCs w:val="22"/>
        </w:rPr>
      </w:pPr>
      <w:r w:rsidRPr="003F7FD2">
        <w:rPr>
          <w:sz w:val="22"/>
          <w:szCs w:val="22"/>
        </w:rPr>
        <w:t>Naar realisatiegraad, huidig behaald resultaat (2011-2012) en te behalen resultaat eind 2013, wordt toegelicht da</w:t>
      </w:r>
      <w:r>
        <w:rPr>
          <w:sz w:val="22"/>
          <w:szCs w:val="22"/>
        </w:rPr>
        <w:t>t d</w:t>
      </w:r>
      <w:r w:rsidRPr="003F7FD2">
        <w:rPr>
          <w:sz w:val="22"/>
          <w:szCs w:val="22"/>
        </w:rPr>
        <w:t>e opvolging van de klachten in tweede lijn sedert het najaar 2012 een opdracht van de afdeling Regie</w:t>
      </w:r>
      <w:r>
        <w:rPr>
          <w:sz w:val="22"/>
          <w:szCs w:val="22"/>
        </w:rPr>
        <w:t xml:space="preserve"> is</w:t>
      </w:r>
      <w:r w:rsidRPr="003F7FD2">
        <w:rPr>
          <w:sz w:val="22"/>
          <w:szCs w:val="22"/>
        </w:rPr>
        <w:t>. De Regie bemiddelt en zoekt naar oplossingen voor de klachten die ten aanzien van de werking van het SYNTRA-netwerk worden gedeponeerd. Er wordt een registratie bijgehouden van de aard van de klachten, de wijze van opvolging en het resultaat.</w:t>
      </w:r>
      <w:r>
        <w:rPr>
          <w:sz w:val="22"/>
          <w:szCs w:val="22"/>
        </w:rPr>
        <w:t xml:space="preserve"> </w:t>
      </w:r>
      <w:r w:rsidRPr="003F7FD2">
        <w:rPr>
          <w:sz w:val="22"/>
          <w:szCs w:val="22"/>
        </w:rPr>
        <w:t>Klachten die voor de betrokken</w:t>
      </w:r>
      <w:r>
        <w:rPr>
          <w:sz w:val="22"/>
          <w:szCs w:val="22"/>
        </w:rPr>
        <w:t>e</w:t>
      </w:r>
      <w:r w:rsidRPr="003F7FD2">
        <w:rPr>
          <w:sz w:val="22"/>
          <w:szCs w:val="22"/>
        </w:rPr>
        <w:t xml:space="preserve"> niet tot een gewenst resultaat leiden worden finaal toch behandeld via de klachtencoördinator door de commissie klachten van de raad van bestuur en beslist door de raad van bestuur. De registratie van de gedeponeerde klachten dient ook te leiden tot structurele oplossingen voor weerkerende problemen.  </w:t>
      </w:r>
    </w:p>
    <w:p w:rsidR="002E6A11" w:rsidRPr="003F7FD2" w:rsidRDefault="002E6A11" w:rsidP="003F7FD2">
      <w:pPr>
        <w:tabs>
          <w:tab w:val="left" w:pos="6636"/>
        </w:tabs>
        <w:ind w:left="708"/>
        <w:rPr>
          <w:sz w:val="22"/>
          <w:szCs w:val="22"/>
        </w:rPr>
      </w:pPr>
    </w:p>
    <w:p w:rsidR="002E6A11" w:rsidRPr="003F7FD2" w:rsidRDefault="002E6A11" w:rsidP="003759F7">
      <w:pPr>
        <w:tabs>
          <w:tab w:val="num" w:pos="1428"/>
          <w:tab w:val="left" w:pos="6636"/>
        </w:tabs>
        <w:ind w:left="360"/>
        <w:jc w:val="both"/>
        <w:rPr>
          <w:sz w:val="22"/>
          <w:szCs w:val="22"/>
        </w:rPr>
      </w:pPr>
      <w:r w:rsidRPr="003F4F34">
        <w:rPr>
          <w:sz w:val="22"/>
          <w:szCs w:val="22"/>
        </w:rPr>
        <w:t>Uiterlijk tegen het einde van 2013</w:t>
      </w:r>
      <w:r>
        <w:rPr>
          <w:sz w:val="22"/>
          <w:szCs w:val="22"/>
        </w:rPr>
        <w:t xml:space="preserve"> wordt toegewerkt naar het u</w:t>
      </w:r>
      <w:r w:rsidRPr="003F7FD2">
        <w:rPr>
          <w:sz w:val="22"/>
          <w:szCs w:val="22"/>
        </w:rPr>
        <w:t>itwerken van een voorstel tot uitbouw van de klachtenb</w:t>
      </w:r>
      <w:r>
        <w:rPr>
          <w:sz w:val="22"/>
          <w:szCs w:val="22"/>
        </w:rPr>
        <w:t xml:space="preserve">ehandeling. </w:t>
      </w:r>
      <w:r w:rsidRPr="003F7FD2">
        <w:rPr>
          <w:sz w:val="22"/>
          <w:szCs w:val="22"/>
        </w:rPr>
        <w:t xml:space="preserve">Hoe het vernieuwde klachtenmanagement er zal uitzien ligt </w:t>
      </w:r>
      <w:r w:rsidRPr="003F7FD2">
        <w:rPr>
          <w:sz w:val="22"/>
          <w:szCs w:val="22"/>
        </w:rPr>
        <w:lastRenderedPageBreak/>
        <w:t xml:space="preserve">nu nog niet vast. Wel zal de nieuw ingevoerde scheiding actor-regisseur binnen </w:t>
      </w:r>
      <w:proofErr w:type="spellStart"/>
      <w:r w:rsidRPr="003F7FD2">
        <w:rPr>
          <w:sz w:val="22"/>
          <w:szCs w:val="22"/>
        </w:rPr>
        <w:t>Syntra</w:t>
      </w:r>
      <w:proofErr w:type="spellEnd"/>
      <w:r w:rsidRPr="003F7FD2">
        <w:rPr>
          <w:sz w:val="22"/>
          <w:szCs w:val="22"/>
        </w:rPr>
        <w:t xml:space="preserve"> Vlaanderen worden doorgetrokken naar het klachtenmanagement.  Verder zal onderzocht worden of de </w:t>
      </w:r>
      <w:proofErr w:type="spellStart"/>
      <w:r w:rsidRPr="003F7FD2">
        <w:rPr>
          <w:sz w:val="22"/>
          <w:szCs w:val="22"/>
        </w:rPr>
        <w:t>good</w:t>
      </w:r>
      <w:proofErr w:type="spellEnd"/>
      <w:r w:rsidRPr="003F7FD2">
        <w:rPr>
          <w:sz w:val="22"/>
          <w:szCs w:val="22"/>
        </w:rPr>
        <w:t xml:space="preserve"> </w:t>
      </w:r>
      <w:proofErr w:type="spellStart"/>
      <w:r w:rsidRPr="003F7FD2">
        <w:rPr>
          <w:sz w:val="22"/>
          <w:szCs w:val="22"/>
        </w:rPr>
        <w:t>practice</w:t>
      </w:r>
      <w:proofErr w:type="spellEnd"/>
      <w:r w:rsidRPr="003F7FD2">
        <w:rPr>
          <w:sz w:val="22"/>
          <w:szCs w:val="22"/>
        </w:rPr>
        <w:t xml:space="preserve"> van het GO kan worden toegepast binnen </w:t>
      </w:r>
      <w:proofErr w:type="spellStart"/>
      <w:r w:rsidRPr="003F7FD2">
        <w:rPr>
          <w:sz w:val="22"/>
          <w:szCs w:val="22"/>
        </w:rPr>
        <w:t>Syntra</w:t>
      </w:r>
      <w:proofErr w:type="spellEnd"/>
      <w:r w:rsidRPr="003F7FD2">
        <w:rPr>
          <w:sz w:val="22"/>
          <w:szCs w:val="22"/>
        </w:rPr>
        <w:t xml:space="preserve"> Vlaanderen.</w:t>
      </w:r>
    </w:p>
    <w:p w:rsidR="002E6A11" w:rsidRPr="003F7FD2" w:rsidRDefault="002E6A11" w:rsidP="003F7FD2">
      <w:pPr>
        <w:ind w:left="708"/>
        <w:rPr>
          <w:sz w:val="22"/>
          <w:szCs w:val="22"/>
        </w:rPr>
      </w:pPr>
    </w:p>
    <w:p w:rsidR="002E6A11" w:rsidRPr="003F7FD2" w:rsidRDefault="002E6A11" w:rsidP="003759F7">
      <w:pPr>
        <w:ind w:left="360"/>
        <w:jc w:val="both"/>
        <w:rPr>
          <w:sz w:val="22"/>
          <w:szCs w:val="22"/>
        </w:rPr>
      </w:pPr>
      <w:r w:rsidRPr="003F7FD2">
        <w:rPr>
          <w:sz w:val="22"/>
          <w:szCs w:val="22"/>
        </w:rPr>
        <w:t>Indien ook een ambtelijk en financieel draagvlak aanwezig is, zal het klachtenmanagement meer netwerkgericht worden uitgebouwd, met daarin een belangrijke rol voor een voltijds klachtencoördinator die:</w:t>
      </w:r>
    </w:p>
    <w:p w:rsidR="002E6A11" w:rsidRPr="003F7FD2" w:rsidRDefault="002E6A11" w:rsidP="003759F7">
      <w:pPr>
        <w:pStyle w:val="Lijstalinea"/>
        <w:numPr>
          <w:ilvl w:val="0"/>
          <w:numId w:val="15"/>
        </w:numPr>
        <w:tabs>
          <w:tab w:val="num" w:pos="1068"/>
        </w:tabs>
        <w:ind w:left="1068"/>
        <w:jc w:val="both"/>
        <w:rPr>
          <w:rFonts w:ascii="Times New Roman" w:hAnsi="Times New Roman"/>
        </w:rPr>
      </w:pPr>
      <w:r w:rsidRPr="003F7FD2">
        <w:rPr>
          <w:rFonts w:ascii="Times New Roman" w:hAnsi="Times New Roman"/>
        </w:rPr>
        <w:t>samen met de Commissie Klachten van de raad van bestuur de stuwende kracht is voor de klachtenbehandeling in zowel administratieve procedures als met betrekking tot andere klachten;</w:t>
      </w:r>
    </w:p>
    <w:p w:rsidR="002E6A11" w:rsidRPr="003F7FD2" w:rsidRDefault="002E6A11" w:rsidP="003759F7">
      <w:pPr>
        <w:pStyle w:val="Lijstalinea"/>
        <w:numPr>
          <w:ilvl w:val="0"/>
          <w:numId w:val="15"/>
        </w:numPr>
        <w:tabs>
          <w:tab w:val="num" w:pos="1068"/>
        </w:tabs>
        <w:ind w:left="1068"/>
        <w:jc w:val="both"/>
        <w:rPr>
          <w:rFonts w:ascii="Times New Roman" w:hAnsi="Times New Roman"/>
        </w:rPr>
      </w:pPr>
      <w:r w:rsidRPr="003F7FD2">
        <w:rPr>
          <w:rFonts w:ascii="Times New Roman" w:hAnsi="Times New Roman"/>
        </w:rPr>
        <w:t xml:space="preserve">het </w:t>
      </w:r>
      <w:proofErr w:type="spellStart"/>
      <w:r w:rsidRPr="003F7FD2">
        <w:rPr>
          <w:rFonts w:ascii="Times New Roman" w:hAnsi="Times New Roman"/>
        </w:rPr>
        <w:t>Syntra</w:t>
      </w:r>
      <w:proofErr w:type="spellEnd"/>
      <w:r w:rsidRPr="003F7FD2">
        <w:rPr>
          <w:rFonts w:ascii="Times New Roman" w:hAnsi="Times New Roman"/>
        </w:rPr>
        <w:t>-netwerk voorziet van informatie, en er ook zitdagen organiseert;</w:t>
      </w:r>
    </w:p>
    <w:p w:rsidR="002E6A11" w:rsidRPr="003F7FD2" w:rsidRDefault="002E6A11" w:rsidP="003759F7">
      <w:pPr>
        <w:pStyle w:val="Lijstalinea"/>
        <w:numPr>
          <w:ilvl w:val="0"/>
          <w:numId w:val="15"/>
        </w:numPr>
        <w:tabs>
          <w:tab w:val="num" w:pos="1068"/>
        </w:tabs>
        <w:ind w:left="1068"/>
        <w:jc w:val="both"/>
        <w:rPr>
          <w:rFonts w:ascii="Times New Roman" w:hAnsi="Times New Roman"/>
        </w:rPr>
      </w:pPr>
      <w:r w:rsidRPr="003F7FD2">
        <w:rPr>
          <w:rFonts w:ascii="Times New Roman" w:hAnsi="Times New Roman"/>
        </w:rPr>
        <w:t xml:space="preserve">de registratie en opvolging van de klachten samen met het </w:t>
      </w:r>
      <w:proofErr w:type="spellStart"/>
      <w:r w:rsidRPr="003F7FD2">
        <w:rPr>
          <w:rFonts w:ascii="Times New Roman" w:hAnsi="Times New Roman"/>
        </w:rPr>
        <w:t>Syntra</w:t>
      </w:r>
      <w:proofErr w:type="spellEnd"/>
      <w:r w:rsidRPr="003F7FD2">
        <w:rPr>
          <w:rFonts w:ascii="Times New Roman" w:hAnsi="Times New Roman"/>
        </w:rPr>
        <w:t>-netwerk verder uitbouwt;</w:t>
      </w:r>
    </w:p>
    <w:p w:rsidR="002E6A11" w:rsidRPr="003F7FD2" w:rsidRDefault="002E6A11" w:rsidP="003759F7">
      <w:pPr>
        <w:pStyle w:val="Lijstalinea"/>
        <w:numPr>
          <w:ilvl w:val="0"/>
          <w:numId w:val="15"/>
        </w:numPr>
        <w:tabs>
          <w:tab w:val="num" w:pos="1068"/>
        </w:tabs>
        <w:ind w:left="1068"/>
        <w:jc w:val="both"/>
        <w:rPr>
          <w:rFonts w:ascii="Times New Roman" w:hAnsi="Times New Roman"/>
        </w:rPr>
      </w:pPr>
      <w:r w:rsidRPr="003F7FD2">
        <w:rPr>
          <w:rFonts w:ascii="Times New Roman" w:hAnsi="Times New Roman"/>
        </w:rPr>
        <w:t>fungeert als onafhankelijke “coördinator”;</w:t>
      </w:r>
      <w:bookmarkStart w:id="0" w:name="_GoBack"/>
      <w:bookmarkEnd w:id="0"/>
    </w:p>
    <w:sectPr w:rsidR="002E6A11" w:rsidRPr="003F7FD2" w:rsidSect="003759F7">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33" w:rsidRDefault="00BC2733" w:rsidP="00464A7A">
      <w:r>
        <w:separator/>
      </w:r>
    </w:p>
  </w:endnote>
  <w:endnote w:type="continuationSeparator" w:id="0">
    <w:p w:rsidR="00BC2733" w:rsidRDefault="00BC2733"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11" w:rsidRDefault="002E6A1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11" w:rsidRDefault="002E6A1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11" w:rsidRDefault="002E6A1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33" w:rsidRDefault="00BC2733" w:rsidP="00464A7A">
      <w:r>
        <w:separator/>
      </w:r>
    </w:p>
  </w:footnote>
  <w:footnote w:type="continuationSeparator" w:id="0">
    <w:p w:rsidR="00BC2733" w:rsidRDefault="00BC2733"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11" w:rsidRDefault="002E6A1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11" w:rsidRDefault="002E6A1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11" w:rsidRDefault="002E6A1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35004EB"/>
    <w:multiLevelType w:val="hybridMultilevel"/>
    <w:tmpl w:val="2DA0B8D6"/>
    <w:lvl w:ilvl="0" w:tplc="072694DA">
      <w:start w:val="1"/>
      <w:numFmt w:val="decimal"/>
      <w:lvlText w:val="%1."/>
      <w:lvlJc w:val="left"/>
      <w:pPr>
        <w:ind w:left="425" w:hanging="425"/>
      </w:pPr>
      <w:rPr>
        <w:rFonts w:cs="Times New Roman"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22C50D87"/>
    <w:multiLevelType w:val="multilevel"/>
    <w:tmpl w:val="030E9A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rFonts w:cs="Times New Roman"/>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rPr>
        <w:rFonts w:cs="Times New Roman"/>
      </w:rPr>
    </w:lvl>
    <w:lvl w:ilvl="1" w:tplc="08130019">
      <w:start w:val="1"/>
      <w:numFmt w:val="lowerLetter"/>
      <w:lvlText w:val="%2."/>
      <w:lvlJc w:val="left"/>
      <w:pPr>
        <w:ind w:left="1800" w:hanging="360"/>
      </w:pPr>
      <w:rPr>
        <w:rFonts w:cs="Times New Roman"/>
      </w:rPr>
    </w:lvl>
    <w:lvl w:ilvl="2" w:tplc="0813001B">
      <w:start w:val="1"/>
      <w:numFmt w:val="lowerRoman"/>
      <w:lvlText w:val="%3."/>
      <w:lvlJc w:val="right"/>
      <w:pPr>
        <w:ind w:left="2520" w:hanging="180"/>
      </w:pPr>
      <w:rPr>
        <w:rFonts w:cs="Times New Roman"/>
      </w:rPr>
    </w:lvl>
    <w:lvl w:ilvl="3" w:tplc="0813000F">
      <w:start w:val="1"/>
      <w:numFmt w:val="decimal"/>
      <w:lvlText w:val="%4."/>
      <w:lvlJc w:val="left"/>
      <w:pPr>
        <w:ind w:left="3240" w:hanging="360"/>
      </w:pPr>
      <w:rPr>
        <w:rFonts w:cs="Times New Roman"/>
      </w:rPr>
    </w:lvl>
    <w:lvl w:ilvl="4" w:tplc="08130019">
      <w:start w:val="1"/>
      <w:numFmt w:val="lowerLetter"/>
      <w:lvlText w:val="%5."/>
      <w:lvlJc w:val="left"/>
      <w:pPr>
        <w:ind w:left="3960" w:hanging="360"/>
      </w:pPr>
      <w:rPr>
        <w:rFonts w:cs="Times New Roman"/>
      </w:rPr>
    </w:lvl>
    <w:lvl w:ilvl="5" w:tplc="0813001B">
      <w:start w:val="1"/>
      <w:numFmt w:val="lowerRoman"/>
      <w:lvlText w:val="%6."/>
      <w:lvlJc w:val="right"/>
      <w:pPr>
        <w:ind w:left="4680" w:hanging="180"/>
      </w:pPr>
      <w:rPr>
        <w:rFonts w:cs="Times New Roman"/>
      </w:rPr>
    </w:lvl>
    <w:lvl w:ilvl="6" w:tplc="0813000F">
      <w:start w:val="1"/>
      <w:numFmt w:val="decimal"/>
      <w:lvlText w:val="%7."/>
      <w:lvlJc w:val="left"/>
      <w:pPr>
        <w:ind w:left="5400" w:hanging="360"/>
      </w:pPr>
      <w:rPr>
        <w:rFonts w:cs="Times New Roman"/>
      </w:rPr>
    </w:lvl>
    <w:lvl w:ilvl="7" w:tplc="08130019">
      <w:start w:val="1"/>
      <w:numFmt w:val="lowerLetter"/>
      <w:lvlText w:val="%8."/>
      <w:lvlJc w:val="left"/>
      <w:pPr>
        <w:ind w:left="6120" w:hanging="360"/>
      </w:pPr>
      <w:rPr>
        <w:rFonts w:cs="Times New Roman"/>
      </w:rPr>
    </w:lvl>
    <w:lvl w:ilvl="8" w:tplc="0813001B">
      <w:start w:val="1"/>
      <w:numFmt w:val="lowerRoman"/>
      <w:lvlText w:val="%9."/>
      <w:lvlJc w:val="right"/>
      <w:pPr>
        <w:ind w:left="6840" w:hanging="180"/>
      </w:pPr>
      <w:rPr>
        <w:rFonts w:cs="Times New Roman"/>
      </w:rPr>
    </w:lvl>
  </w:abstractNum>
  <w:abstractNum w:abstractNumId="9">
    <w:nsid w:val="478D3F2C"/>
    <w:multiLevelType w:val="hybridMultilevel"/>
    <w:tmpl w:val="EB8634D4"/>
    <w:lvl w:ilvl="0" w:tplc="9878C80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233365B"/>
    <w:multiLevelType w:val="hybridMultilevel"/>
    <w:tmpl w:val="4B845E9C"/>
    <w:lvl w:ilvl="0" w:tplc="D4266A08">
      <w:numFmt w:val="bullet"/>
      <w:lvlText w:val="-"/>
      <w:lvlJc w:val="left"/>
      <w:pPr>
        <w:tabs>
          <w:tab w:val="num" w:pos="-684"/>
        </w:tabs>
        <w:ind w:left="-684" w:hanging="360"/>
      </w:pPr>
      <w:rPr>
        <w:rFonts w:ascii="Arial" w:eastAsia="Times New Roman" w:hAnsi="Arial" w:hint="default"/>
      </w:rPr>
    </w:lvl>
    <w:lvl w:ilvl="1" w:tplc="04130003" w:tentative="1">
      <w:start w:val="1"/>
      <w:numFmt w:val="bullet"/>
      <w:lvlText w:val="o"/>
      <w:lvlJc w:val="left"/>
      <w:pPr>
        <w:tabs>
          <w:tab w:val="num" w:pos="36"/>
        </w:tabs>
        <w:ind w:left="36" w:hanging="360"/>
      </w:pPr>
      <w:rPr>
        <w:rFonts w:ascii="Courier New" w:hAnsi="Courier New" w:hint="default"/>
      </w:rPr>
    </w:lvl>
    <w:lvl w:ilvl="2" w:tplc="04130005" w:tentative="1">
      <w:start w:val="1"/>
      <w:numFmt w:val="bullet"/>
      <w:lvlText w:val=""/>
      <w:lvlJc w:val="left"/>
      <w:pPr>
        <w:tabs>
          <w:tab w:val="num" w:pos="756"/>
        </w:tabs>
        <w:ind w:left="756" w:hanging="360"/>
      </w:pPr>
      <w:rPr>
        <w:rFonts w:ascii="Wingdings" w:hAnsi="Wingdings" w:hint="default"/>
      </w:rPr>
    </w:lvl>
    <w:lvl w:ilvl="3" w:tplc="04130001" w:tentative="1">
      <w:start w:val="1"/>
      <w:numFmt w:val="bullet"/>
      <w:lvlText w:val=""/>
      <w:lvlJc w:val="left"/>
      <w:pPr>
        <w:tabs>
          <w:tab w:val="num" w:pos="1476"/>
        </w:tabs>
        <w:ind w:left="1476" w:hanging="360"/>
      </w:pPr>
      <w:rPr>
        <w:rFonts w:ascii="Symbol" w:hAnsi="Symbol" w:hint="default"/>
      </w:rPr>
    </w:lvl>
    <w:lvl w:ilvl="4" w:tplc="04130003" w:tentative="1">
      <w:start w:val="1"/>
      <w:numFmt w:val="bullet"/>
      <w:lvlText w:val="o"/>
      <w:lvlJc w:val="left"/>
      <w:pPr>
        <w:tabs>
          <w:tab w:val="num" w:pos="2196"/>
        </w:tabs>
        <w:ind w:left="2196" w:hanging="360"/>
      </w:pPr>
      <w:rPr>
        <w:rFonts w:ascii="Courier New" w:hAnsi="Courier New" w:hint="default"/>
      </w:rPr>
    </w:lvl>
    <w:lvl w:ilvl="5" w:tplc="04130005" w:tentative="1">
      <w:start w:val="1"/>
      <w:numFmt w:val="bullet"/>
      <w:lvlText w:val=""/>
      <w:lvlJc w:val="left"/>
      <w:pPr>
        <w:tabs>
          <w:tab w:val="num" w:pos="2916"/>
        </w:tabs>
        <w:ind w:left="2916" w:hanging="360"/>
      </w:pPr>
      <w:rPr>
        <w:rFonts w:ascii="Wingdings" w:hAnsi="Wingdings" w:hint="default"/>
      </w:rPr>
    </w:lvl>
    <w:lvl w:ilvl="6" w:tplc="04130001" w:tentative="1">
      <w:start w:val="1"/>
      <w:numFmt w:val="bullet"/>
      <w:lvlText w:val=""/>
      <w:lvlJc w:val="left"/>
      <w:pPr>
        <w:tabs>
          <w:tab w:val="num" w:pos="3636"/>
        </w:tabs>
        <w:ind w:left="3636" w:hanging="360"/>
      </w:pPr>
      <w:rPr>
        <w:rFonts w:ascii="Symbol" w:hAnsi="Symbol" w:hint="default"/>
      </w:rPr>
    </w:lvl>
    <w:lvl w:ilvl="7" w:tplc="04130003" w:tentative="1">
      <w:start w:val="1"/>
      <w:numFmt w:val="bullet"/>
      <w:lvlText w:val="o"/>
      <w:lvlJc w:val="left"/>
      <w:pPr>
        <w:tabs>
          <w:tab w:val="num" w:pos="4356"/>
        </w:tabs>
        <w:ind w:left="4356" w:hanging="360"/>
      </w:pPr>
      <w:rPr>
        <w:rFonts w:ascii="Courier New" w:hAnsi="Courier New" w:hint="default"/>
      </w:rPr>
    </w:lvl>
    <w:lvl w:ilvl="8" w:tplc="04130005" w:tentative="1">
      <w:start w:val="1"/>
      <w:numFmt w:val="bullet"/>
      <w:lvlText w:val=""/>
      <w:lvlJc w:val="left"/>
      <w:pPr>
        <w:tabs>
          <w:tab w:val="num" w:pos="5076"/>
        </w:tabs>
        <w:ind w:left="5076" w:hanging="360"/>
      </w:pPr>
      <w:rPr>
        <w:rFonts w:ascii="Wingdings" w:hAnsi="Wingdings" w:hint="default"/>
      </w:rPr>
    </w:lvl>
  </w:abstractNum>
  <w:abstractNum w:abstractNumId="11">
    <w:nsid w:val="55A31EB7"/>
    <w:multiLevelType w:val="hybridMultilevel"/>
    <w:tmpl w:val="B8A63BD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5EFA6738"/>
    <w:multiLevelType w:val="hybridMultilevel"/>
    <w:tmpl w:val="030E9A5A"/>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62E07A2A"/>
    <w:multiLevelType w:val="hybridMultilevel"/>
    <w:tmpl w:val="870E8B96"/>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11"/>
  </w:num>
  <w:num w:numId="2">
    <w:abstractNumId w:val="0"/>
  </w:num>
  <w:num w:numId="3">
    <w:abstractNumId w:val="1"/>
  </w:num>
  <w:num w:numId="4">
    <w:abstractNumId w:val="2"/>
  </w:num>
  <w:num w:numId="5">
    <w:abstractNumId w:val="12"/>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0A0C45"/>
    <w:rsid w:val="000E43DD"/>
    <w:rsid w:val="00132BD7"/>
    <w:rsid w:val="001418EC"/>
    <w:rsid w:val="00165725"/>
    <w:rsid w:val="00190439"/>
    <w:rsid w:val="001A5B8A"/>
    <w:rsid w:val="001B3585"/>
    <w:rsid w:val="002173F0"/>
    <w:rsid w:val="002277F6"/>
    <w:rsid w:val="00232BC7"/>
    <w:rsid w:val="002500B7"/>
    <w:rsid w:val="002740F4"/>
    <w:rsid w:val="00275808"/>
    <w:rsid w:val="002775A9"/>
    <w:rsid w:val="00291A76"/>
    <w:rsid w:val="002B353C"/>
    <w:rsid w:val="002C779D"/>
    <w:rsid w:val="002D27F6"/>
    <w:rsid w:val="002D4643"/>
    <w:rsid w:val="002E6A11"/>
    <w:rsid w:val="00313C88"/>
    <w:rsid w:val="00321752"/>
    <w:rsid w:val="003317FE"/>
    <w:rsid w:val="00342E5D"/>
    <w:rsid w:val="0036230E"/>
    <w:rsid w:val="003759F7"/>
    <w:rsid w:val="003A0170"/>
    <w:rsid w:val="003A4CDF"/>
    <w:rsid w:val="003D36CF"/>
    <w:rsid w:val="003F1093"/>
    <w:rsid w:val="003F4F34"/>
    <w:rsid w:val="003F7FD2"/>
    <w:rsid w:val="004019D9"/>
    <w:rsid w:val="00410225"/>
    <w:rsid w:val="00415488"/>
    <w:rsid w:val="00436835"/>
    <w:rsid w:val="00451B13"/>
    <w:rsid w:val="00462E13"/>
    <w:rsid w:val="00463D2B"/>
    <w:rsid w:val="00464A7A"/>
    <w:rsid w:val="00482870"/>
    <w:rsid w:val="00484404"/>
    <w:rsid w:val="00492D21"/>
    <w:rsid w:val="00495CB1"/>
    <w:rsid w:val="00496B5B"/>
    <w:rsid w:val="004B1659"/>
    <w:rsid w:val="004B1911"/>
    <w:rsid w:val="004E29C6"/>
    <w:rsid w:val="00524A93"/>
    <w:rsid w:val="005628FF"/>
    <w:rsid w:val="00572E3E"/>
    <w:rsid w:val="005B0CF8"/>
    <w:rsid w:val="005C4A96"/>
    <w:rsid w:val="005F2C80"/>
    <w:rsid w:val="0063517B"/>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10F46"/>
    <w:rsid w:val="00712256"/>
    <w:rsid w:val="00717730"/>
    <w:rsid w:val="00721A3A"/>
    <w:rsid w:val="00734FDE"/>
    <w:rsid w:val="00753CC6"/>
    <w:rsid w:val="007613B5"/>
    <w:rsid w:val="007771C0"/>
    <w:rsid w:val="007B35E6"/>
    <w:rsid w:val="007E2BCE"/>
    <w:rsid w:val="007E7C79"/>
    <w:rsid w:val="008906D6"/>
    <w:rsid w:val="008E02B5"/>
    <w:rsid w:val="008E60A9"/>
    <w:rsid w:val="008F18E6"/>
    <w:rsid w:val="00913EAB"/>
    <w:rsid w:val="009373D7"/>
    <w:rsid w:val="009A3970"/>
    <w:rsid w:val="009C0FF4"/>
    <w:rsid w:val="009D7514"/>
    <w:rsid w:val="00A248DF"/>
    <w:rsid w:val="00A27757"/>
    <w:rsid w:val="00A37ECD"/>
    <w:rsid w:val="00A46047"/>
    <w:rsid w:val="00A75778"/>
    <w:rsid w:val="00A76C9C"/>
    <w:rsid w:val="00AA4E03"/>
    <w:rsid w:val="00AB563F"/>
    <w:rsid w:val="00AE6A03"/>
    <w:rsid w:val="00B27878"/>
    <w:rsid w:val="00B33C6C"/>
    <w:rsid w:val="00B373A0"/>
    <w:rsid w:val="00B846A3"/>
    <w:rsid w:val="00B97686"/>
    <w:rsid w:val="00BC2733"/>
    <w:rsid w:val="00BE4E09"/>
    <w:rsid w:val="00BE6E81"/>
    <w:rsid w:val="00BF75AA"/>
    <w:rsid w:val="00C579CC"/>
    <w:rsid w:val="00C65646"/>
    <w:rsid w:val="00C8152C"/>
    <w:rsid w:val="00CB244B"/>
    <w:rsid w:val="00CB3A85"/>
    <w:rsid w:val="00D03794"/>
    <w:rsid w:val="00D0429D"/>
    <w:rsid w:val="00D06542"/>
    <w:rsid w:val="00D15FE9"/>
    <w:rsid w:val="00D169B0"/>
    <w:rsid w:val="00D6129C"/>
    <w:rsid w:val="00D71834"/>
    <w:rsid w:val="00D844CB"/>
    <w:rsid w:val="00DF0323"/>
    <w:rsid w:val="00DF0EAA"/>
    <w:rsid w:val="00DF38FD"/>
    <w:rsid w:val="00E135AC"/>
    <w:rsid w:val="00E13E2E"/>
    <w:rsid w:val="00E22548"/>
    <w:rsid w:val="00E37C52"/>
    <w:rsid w:val="00E7231E"/>
    <w:rsid w:val="00E901DF"/>
    <w:rsid w:val="00EB1EE1"/>
    <w:rsid w:val="00EC7346"/>
    <w:rsid w:val="00ED0183"/>
    <w:rsid w:val="00ED7FBB"/>
    <w:rsid w:val="00EE0092"/>
    <w:rsid w:val="00EF4FFB"/>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3EAB"/>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uiPriority w:val="99"/>
    <w:rsid w:val="00D06542"/>
    <w:pPr>
      <w:jc w:val="both"/>
    </w:pPr>
    <w:rPr>
      <w:i/>
      <w:sz w:val="22"/>
      <w:szCs w:val="20"/>
    </w:rPr>
  </w:style>
  <w:style w:type="paragraph" w:customStyle="1" w:styleId="StandaardSV">
    <w:name w:val="Standaard SV"/>
    <w:basedOn w:val="Standaard"/>
    <w:uiPriority w:val="99"/>
    <w:rsid w:val="00D06542"/>
    <w:pPr>
      <w:jc w:val="both"/>
    </w:pPr>
    <w:rPr>
      <w:sz w:val="22"/>
      <w:szCs w:val="20"/>
    </w:rPr>
  </w:style>
  <w:style w:type="paragraph" w:styleId="Voettekst">
    <w:name w:val="footer"/>
    <w:basedOn w:val="Standaard"/>
    <w:link w:val="VoettekstChar"/>
    <w:uiPriority w:val="99"/>
    <w:rsid w:val="00A75778"/>
    <w:pPr>
      <w:tabs>
        <w:tab w:val="center" w:pos="4819"/>
        <w:tab w:val="right" w:pos="9071"/>
      </w:tabs>
    </w:pPr>
    <w:rPr>
      <w:sz w:val="20"/>
      <w:szCs w:val="20"/>
      <w:lang w:eastAsia="en-US"/>
    </w:rPr>
  </w:style>
  <w:style w:type="character" w:customStyle="1" w:styleId="VoettekstChar">
    <w:name w:val="Voettekst Char"/>
    <w:basedOn w:val="Standaardalinea-lettertype"/>
    <w:link w:val="Voettekst"/>
    <w:uiPriority w:val="99"/>
    <w:semiHidden/>
    <w:locked/>
    <w:rsid w:val="000A0C45"/>
    <w:rPr>
      <w:rFonts w:cs="Times New Roman"/>
      <w:sz w:val="24"/>
      <w:szCs w:val="24"/>
      <w:lang w:val="nl-NL" w:eastAsia="nl-NL"/>
    </w:rPr>
  </w:style>
  <w:style w:type="paragraph" w:customStyle="1" w:styleId="SVVlaamsParlement">
    <w:name w:val="SV Vlaams Parlement"/>
    <w:basedOn w:val="Standaard"/>
    <w:uiPriority w:val="99"/>
    <w:rsid w:val="00CB3A85"/>
    <w:pPr>
      <w:jc w:val="both"/>
    </w:pPr>
    <w:rPr>
      <w:b/>
      <w:smallCaps/>
      <w:sz w:val="22"/>
      <w:szCs w:val="20"/>
    </w:rPr>
  </w:style>
  <w:style w:type="character" w:styleId="Tekstvantijdelijkeaanduiding">
    <w:name w:val="Placeholder Text"/>
    <w:basedOn w:val="Standaardalinea-lettertype"/>
    <w:uiPriority w:val="99"/>
    <w:semiHidden/>
    <w:rsid w:val="00462E13"/>
    <w:rPr>
      <w:rFonts w:cs="Times New Roman"/>
      <w:color w:val="808080"/>
    </w:rPr>
  </w:style>
  <w:style w:type="paragraph" w:styleId="Ballontekst">
    <w:name w:val="Balloon Text"/>
    <w:basedOn w:val="Standaard"/>
    <w:link w:val="BallontekstChar"/>
    <w:uiPriority w:val="99"/>
    <w:rsid w:val="00462E13"/>
    <w:rPr>
      <w:rFonts w:ascii="Tahoma" w:hAnsi="Tahoma" w:cs="Tahoma"/>
      <w:sz w:val="16"/>
      <w:szCs w:val="16"/>
    </w:rPr>
  </w:style>
  <w:style w:type="character" w:customStyle="1" w:styleId="BallontekstChar">
    <w:name w:val="Ballontekst Char"/>
    <w:basedOn w:val="Standaardalinea-lettertype"/>
    <w:link w:val="Ballontekst"/>
    <w:uiPriority w:val="99"/>
    <w:locked/>
    <w:rsid w:val="00462E13"/>
    <w:rPr>
      <w:rFonts w:ascii="Tahoma" w:hAnsi="Tahoma" w:cs="Tahoma"/>
      <w:sz w:val="16"/>
      <w:szCs w:val="16"/>
      <w:lang w:val="nl-NL" w:eastAsia="nl-NL"/>
    </w:rPr>
  </w:style>
  <w:style w:type="paragraph" w:styleId="Lijstalinea">
    <w:name w:val="List Paragraph"/>
    <w:basedOn w:val="Standaard"/>
    <w:uiPriority w:val="99"/>
    <w:qFormat/>
    <w:rsid w:val="006F7827"/>
    <w:pPr>
      <w:ind w:left="720"/>
    </w:pPr>
    <w:rPr>
      <w:rFonts w:ascii="Calibri" w:hAnsi="Calibri"/>
      <w:sz w:val="22"/>
      <w:szCs w:val="22"/>
      <w:lang w:val="nl-BE" w:eastAsia="en-US"/>
    </w:rPr>
  </w:style>
  <w:style w:type="paragraph" w:styleId="Koptekst">
    <w:name w:val="header"/>
    <w:basedOn w:val="Standaard"/>
    <w:link w:val="KoptekstChar"/>
    <w:uiPriority w:val="99"/>
    <w:rsid w:val="00464A7A"/>
    <w:pPr>
      <w:tabs>
        <w:tab w:val="center" w:pos="4536"/>
        <w:tab w:val="right" w:pos="9072"/>
      </w:tabs>
    </w:pPr>
  </w:style>
  <w:style w:type="character" w:customStyle="1" w:styleId="KoptekstChar">
    <w:name w:val="Koptekst Char"/>
    <w:basedOn w:val="Standaardalinea-lettertype"/>
    <w:link w:val="Koptekst"/>
    <w:uiPriority w:val="99"/>
    <w:locked/>
    <w:rsid w:val="00464A7A"/>
    <w:rPr>
      <w:rFonts w:cs="Times New Roman"/>
      <w:sz w:val="24"/>
      <w:szCs w:val="24"/>
      <w:lang w:val="nl-NL" w:eastAsia="nl-NL"/>
    </w:rPr>
  </w:style>
  <w:style w:type="table" w:styleId="Tabelraster">
    <w:name w:val="Table Grid"/>
    <w:basedOn w:val="Standaardtabel"/>
    <w:uiPriority w:val="99"/>
    <w:rsid w:val="00524A93"/>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rsid w:val="003F7FD2"/>
    <w:rPr>
      <w:rFonts w:cs="Times New Roman"/>
      <w:sz w:val="16"/>
      <w:szCs w:val="16"/>
    </w:rPr>
  </w:style>
  <w:style w:type="paragraph" w:styleId="Tekstopmerking">
    <w:name w:val="annotation text"/>
    <w:basedOn w:val="Standaard"/>
    <w:link w:val="TekstopmerkingChar"/>
    <w:uiPriority w:val="99"/>
    <w:semiHidden/>
    <w:rsid w:val="003F7FD2"/>
    <w:rPr>
      <w:sz w:val="20"/>
      <w:szCs w:val="20"/>
    </w:rPr>
  </w:style>
  <w:style w:type="character" w:customStyle="1" w:styleId="TekstopmerkingChar">
    <w:name w:val="Tekst opmerking Char"/>
    <w:basedOn w:val="Standaardalinea-lettertype"/>
    <w:link w:val="Tekstopmerking"/>
    <w:uiPriority w:val="99"/>
    <w:semiHidden/>
    <w:locked/>
    <w:rsid w:val="003F7FD2"/>
    <w:rPr>
      <w:rFonts w:cs="Times New Roman"/>
      <w:lang w:val="nl-NL" w:eastAsia="nl-NL"/>
    </w:rPr>
  </w:style>
  <w:style w:type="paragraph" w:styleId="Onderwerpvanopmerking">
    <w:name w:val="annotation subject"/>
    <w:basedOn w:val="Tekstopmerking"/>
    <w:next w:val="Tekstopmerking"/>
    <w:link w:val="OnderwerpvanopmerkingChar"/>
    <w:uiPriority w:val="99"/>
    <w:semiHidden/>
    <w:rsid w:val="003F7FD2"/>
    <w:rPr>
      <w:b/>
      <w:bCs/>
    </w:rPr>
  </w:style>
  <w:style w:type="character" w:customStyle="1" w:styleId="OnderwerpvanopmerkingChar">
    <w:name w:val="Onderwerp van opmerking Char"/>
    <w:basedOn w:val="TekstopmerkingChar"/>
    <w:link w:val="Onderwerpvanopmerking"/>
    <w:uiPriority w:val="99"/>
    <w:semiHidden/>
    <w:locked/>
    <w:rsid w:val="003F7FD2"/>
    <w:rPr>
      <w:rFonts w:cs="Times New Roman"/>
      <w:b/>
      <w:bCs/>
      <w:lang w:val="nl-NL" w:eastAsia="nl-NL"/>
    </w:rPr>
  </w:style>
  <w:style w:type="paragraph" w:styleId="Documentstructuur">
    <w:name w:val="Document Map"/>
    <w:basedOn w:val="Standaard"/>
    <w:link w:val="DocumentstructuurChar"/>
    <w:uiPriority w:val="99"/>
    <w:semiHidden/>
    <w:rsid w:val="003A0170"/>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0A0C45"/>
    <w:rPr>
      <w:rFonts w:cs="Times New Roman"/>
      <w:sz w:val="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3EAB"/>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uiPriority w:val="99"/>
    <w:rsid w:val="00D06542"/>
    <w:pPr>
      <w:jc w:val="both"/>
    </w:pPr>
    <w:rPr>
      <w:i/>
      <w:sz w:val="22"/>
      <w:szCs w:val="20"/>
    </w:rPr>
  </w:style>
  <w:style w:type="paragraph" w:customStyle="1" w:styleId="StandaardSV">
    <w:name w:val="Standaard SV"/>
    <w:basedOn w:val="Standaard"/>
    <w:uiPriority w:val="99"/>
    <w:rsid w:val="00D06542"/>
    <w:pPr>
      <w:jc w:val="both"/>
    </w:pPr>
    <w:rPr>
      <w:sz w:val="22"/>
      <w:szCs w:val="20"/>
    </w:rPr>
  </w:style>
  <w:style w:type="paragraph" w:styleId="Voettekst">
    <w:name w:val="footer"/>
    <w:basedOn w:val="Standaard"/>
    <w:link w:val="VoettekstChar"/>
    <w:uiPriority w:val="99"/>
    <w:rsid w:val="00A75778"/>
    <w:pPr>
      <w:tabs>
        <w:tab w:val="center" w:pos="4819"/>
        <w:tab w:val="right" w:pos="9071"/>
      </w:tabs>
    </w:pPr>
    <w:rPr>
      <w:sz w:val="20"/>
      <w:szCs w:val="20"/>
      <w:lang w:eastAsia="en-US"/>
    </w:rPr>
  </w:style>
  <w:style w:type="character" w:customStyle="1" w:styleId="VoettekstChar">
    <w:name w:val="Voettekst Char"/>
    <w:basedOn w:val="Standaardalinea-lettertype"/>
    <w:link w:val="Voettekst"/>
    <w:uiPriority w:val="99"/>
    <w:semiHidden/>
    <w:locked/>
    <w:rsid w:val="000A0C45"/>
    <w:rPr>
      <w:rFonts w:cs="Times New Roman"/>
      <w:sz w:val="24"/>
      <w:szCs w:val="24"/>
      <w:lang w:val="nl-NL" w:eastAsia="nl-NL"/>
    </w:rPr>
  </w:style>
  <w:style w:type="paragraph" w:customStyle="1" w:styleId="SVVlaamsParlement">
    <w:name w:val="SV Vlaams Parlement"/>
    <w:basedOn w:val="Standaard"/>
    <w:uiPriority w:val="99"/>
    <w:rsid w:val="00CB3A85"/>
    <w:pPr>
      <w:jc w:val="both"/>
    </w:pPr>
    <w:rPr>
      <w:b/>
      <w:smallCaps/>
      <w:sz w:val="22"/>
      <w:szCs w:val="20"/>
    </w:rPr>
  </w:style>
  <w:style w:type="character" w:styleId="Tekstvantijdelijkeaanduiding">
    <w:name w:val="Placeholder Text"/>
    <w:basedOn w:val="Standaardalinea-lettertype"/>
    <w:uiPriority w:val="99"/>
    <w:semiHidden/>
    <w:rsid w:val="00462E13"/>
    <w:rPr>
      <w:rFonts w:cs="Times New Roman"/>
      <w:color w:val="808080"/>
    </w:rPr>
  </w:style>
  <w:style w:type="paragraph" w:styleId="Ballontekst">
    <w:name w:val="Balloon Text"/>
    <w:basedOn w:val="Standaard"/>
    <w:link w:val="BallontekstChar"/>
    <w:uiPriority w:val="99"/>
    <w:rsid w:val="00462E13"/>
    <w:rPr>
      <w:rFonts w:ascii="Tahoma" w:hAnsi="Tahoma" w:cs="Tahoma"/>
      <w:sz w:val="16"/>
      <w:szCs w:val="16"/>
    </w:rPr>
  </w:style>
  <w:style w:type="character" w:customStyle="1" w:styleId="BallontekstChar">
    <w:name w:val="Ballontekst Char"/>
    <w:basedOn w:val="Standaardalinea-lettertype"/>
    <w:link w:val="Ballontekst"/>
    <w:uiPriority w:val="99"/>
    <w:locked/>
    <w:rsid w:val="00462E13"/>
    <w:rPr>
      <w:rFonts w:ascii="Tahoma" w:hAnsi="Tahoma" w:cs="Tahoma"/>
      <w:sz w:val="16"/>
      <w:szCs w:val="16"/>
      <w:lang w:val="nl-NL" w:eastAsia="nl-NL"/>
    </w:rPr>
  </w:style>
  <w:style w:type="paragraph" w:styleId="Lijstalinea">
    <w:name w:val="List Paragraph"/>
    <w:basedOn w:val="Standaard"/>
    <w:uiPriority w:val="99"/>
    <w:qFormat/>
    <w:rsid w:val="006F7827"/>
    <w:pPr>
      <w:ind w:left="720"/>
    </w:pPr>
    <w:rPr>
      <w:rFonts w:ascii="Calibri" w:hAnsi="Calibri"/>
      <w:sz w:val="22"/>
      <w:szCs w:val="22"/>
      <w:lang w:val="nl-BE" w:eastAsia="en-US"/>
    </w:rPr>
  </w:style>
  <w:style w:type="paragraph" w:styleId="Koptekst">
    <w:name w:val="header"/>
    <w:basedOn w:val="Standaard"/>
    <w:link w:val="KoptekstChar"/>
    <w:uiPriority w:val="99"/>
    <w:rsid w:val="00464A7A"/>
    <w:pPr>
      <w:tabs>
        <w:tab w:val="center" w:pos="4536"/>
        <w:tab w:val="right" w:pos="9072"/>
      </w:tabs>
    </w:pPr>
  </w:style>
  <w:style w:type="character" w:customStyle="1" w:styleId="KoptekstChar">
    <w:name w:val="Koptekst Char"/>
    <w:basedOn w:val="Standaardalinea-lettertype"/>
    <w:link w:val="Koptekst"/>
    <w:uiPriority w:val="99"/>
    <w:locked/>
    <w:rsid w:val="00464A7A"/>
    <w:rPr>
      <w:rFonts w:cs="Times New Roman"/>
      <w:sz w:val="24"/>
      <w:szCs w:val="24"/>
      <w:lang w:val="nl-NL" w:eastAsia="nl-NL"/>
    </w:rPr>
  </w:style>
  <w:style w:type="table" w:styleId="Tabelraster">
    <w:name w:val="Table Grid"/>
    <w:basedOn w:val="Standaardtabel"/>
    <w:uiPriority w:val="99"/>
    <w:rsid w:val="00524A93"/>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rsid w:val="003F7FD2"/>
    <w:rPr>
      <w:rFonts w:cs="Times New Roman"/>
      <w:sz w:val="16"/>
      <w:szCs w:val="16"/>
    </w:rPr>
  </w:style>
  <w:style w:type="paragraph" w:styleId="Tekstopmerking">
    <w:name w:val="annotation text"/>
    <w:basedOn w:val="Standaard"/>
    <w:link w:val="TekstopmerkingChar"/>
    <w:uiPriority w:val="99"/>
    <w:semiHidden/>
    <w:rsid w:val="003F7FD2"/>
    <w:rPr>
      <w:sz w:val="20"/>
      <w:szCs w:val="20"/>
    </w:rPr>
  </w:style>
  <w:style w:type="character" w:customStyle="1" w:styleId="TekstopmerkingChar">
    <w:name w:val="Tekst opmerking Char"/>
    <w:basedOn w:val="Standaardalinea-lettertype"/>
    <w:link w:val="Tekstopmerking"/>
    <w:uiPriority w:val="99"/>
    <w:semiHidden/>
    <w:locked/>
    <w:rsid w:val="003F7FD2"/>
    <w:rPr>
      <w:rFonts w:cs="Times New Roman"/>
      <w:lang w:val="nl-NL" w:eastAsia="nl-NL"/>
    </w:rPr>
  </w:style>
  <w:style w:type="paragraph" w:styleId="Onderwerpvanopmerking">
    <w:name w:val="annotation subject"/>
    <w:basedOn w:val="Tekstopmerking"/>
    <w:next w:val="Tekstopmerking"/>
    <w:link w:val="OnderwerpvanopmerkingChar"/>
    <w:uiPriority w:val="99"/>
    <w:semiHidden/>
    <w:rsid w:val="003F7FD2"/>
    <w:rPr>
      <w:b/>
      <w:bCs/>
    </w:rPr>
  </w:style>
  <w:style w:type="character" w:customStyle="1" w:styleId="OnderwerpvanopmerkingChar">
    <w:name w:val="Onderwerp van opmerking Char"/>
    <w:basedOn w:val="TekstopmerkingChar"/>
    <w:link w:val="Onderwerpvanopmerking"/>
    <w:uiPriority w:val="99"/>
    <w:semiHidden/>
    <w:locked/>
    <w:rsid w:val="003F7FD2"/>
    <w:rPr>
      <w:rFonts w:cs="Times New Roman"/>
      <w:b/>
      <w:bCs/>
      <w:lang w:val="nl-NL" w:eastAsia="nl-NL"/>
    </w:rPr>
  </w:style>
  <w:style w:type="paragraph" w:styleId="Documentstructuur">
    <w:name w:val="Document Map"/>
    <w:basedOn w:val="Standaard"/>
    <w:link w:val="DocumentstructuurChar"/>
    <w:uiPriority w:val="99"/>
    <w:semiHidden/>
    <w:rsid w:val="003A0170"/>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0A0C45"/>
    <w:rPr>
      <w:rFonts w:cs="Times New Roman"/>
      <w:sz w:val="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53248">
      <w:marLeft w:val="0"/>
      <w:marRight w:val="0"/>
      <w:marTop w:val="0"/>
      <w:marBottom w:val="0"/>
      <w:divBdr>
        <w:top w:val="none" w:sz="0" w:space="0" w:color="auto"/>
        <w:left w:val="none" w:sz="0" w:space="0" w:color="auto"/>
        <w:bottom w:val="none" w:sz="0" w:space="0" w:color="auto"/>
        <w:right w:val="none" w:sz="0" w:space="0" w:color="auto"/>
      </w:divBdr>
    </w:div>
    <w:div w:id="1882353249">
      <w:marLeft w:val="0"/>
      <w:marRight w:val="0"/>
      <w:marTop w:val="0"/>
      <w:marBottom w:val="0"/>
      <w:divBdr>
        <w:top w:val="none" w:sz="0" w:space="0" w:color="auto"/>
        <w:left w:val="none" w:sz="0" w:space="0" w:color="auto"/>
        <w:bottom w:val="none" w:sz="0" w:space="0" w:color="auto"/>
        <w:right w:val="none" w:sz="0" w:space="0" w:color="auto"/>
      </w:divBdr>
    </w:div>
    <w:div w:id="1882353250">
      <w:marLeft w:val="0"/>
      <w:marRight w:val="0"/>
      <w:marTop w:val="0"/>
      <w:marBottom w:val="0"/>
      <w:divBdr>
        <w:top w:val="none" w:sz="0" w:space="0" w:color="auto"/>
        <w:left w:val="none" w:sz="0" w:space="0" w:color="auto"/>
        <w:bottom w:val="none" w:sz="0" w:space="0" w:color="auto"/>
        <w:right w:val="none" w:sz="0" w:space="0" w:color="auto"/>
      </w:divBdr>
    </w:div>
    <w:div w:id="1882353251">
      <w:marLeft w:val="0"/>
      <w:marRight w:val="0"/>
      <w:marTop w:val="0"/>
      <w:marBottom w:val="0"/>
      <w:divBdr>
        <w:top w:val="none" w:sz="0" w:space="0" w:color="auto"/>
        <w:left w:val="none" w:sz="0" w:space="0" w:color="auto"/>
        <w:bottom w:val="none" w:sz="0" w:space="0" w:color="auto"/>
        <w:right w:val="none" w:sz="0" w:space="0" w:color="auto"/>
      </w:divBdr>
    </w:div>
    <w:div w:id="1882353252">
      <w:marLeft w:val="0"/>
      <w:marRight w:val="0"/>
      <w:marTop w:val="0"/>
      <w:marBottom w:val="0"/>
      <w:divBdr>
        <w:top w:val="none" w:sz="0" w:space="0" w:color="auto"/>
        <w:left w:val="none" w:sz="0" w:space="0" w:color="auto"/>
        <w:bottom w:val="none" w:sz="0" w:space="0" w:color="auto"/>
        <w:right w:val="none" w:sz="0" w:space="0" w:color="auto"/>
      </w:divBdr>
    </w:div>
    <w:div w:id="1882353253">
      <w:marLeft w:val="0"/>
      <w:marRight w:val="0"/>
      <w:marTop w:val="0"/>
      <w:marBottom w:val="0"/>
      <w:divBdr>
        <w:top w:val="none" w:sz="0" w:space="0" w:color="auto"/>
        <w:left w:val="none" w:sz="0" w:space="0" w:color="auto"/>
        <w:bottom w:val="none" w:sz="0" w:space="0" w:color="auto"/>
        <w:right w:val="none" w:sz="0" w:space="0" w:color="auto"/>
      </w:divBdr>
    </w:div>
    <w:div w:id="1882353254">
      <w:marLeft w:val="0"/>
      <w:marRight w:val="0"/>
      <w:marTop w:val="0"/>
      <w:marBottom w:val="0"/>
      <w:divBdr>
        <w:top w:val="none" w:sz="0" w:space="0" w:color="auto"/>
        <w:left w:val="none" w:sz="0" w:space="0" w:color="auto"/>
        <w:bottom w:val="none" w:sz="0" w:space="0" w:color="auto"/>
        <w:right w:val="none" w:sz="0" w:space="0" w:color="auto"/>
      </w:divBdr>
    </w:div>
    <w:div w:id="1882353255">
      <w:marLeft w:val="0"/>
      <w:marRight w:val="0"/>
      <w:marTop w:val="0"/>
      <w:marBottom w:val="0"/>
      <w:divBdr>
        <w:top w:val="none" w:sz="0" w:space="0" w:color="auto"/>
        <w:left w:val="none" w:sz="0" w:space="0" w:color="auto"/>
        <w:bottom w:val="none" w:sz="0" w:space="0" w:color="auto"/>
        <w:right w:val="none" w:sz="0" w:space="0" w:color="auto"/>
      </w:divBdr>
    </w:div>
    <w:div w:id="1882353256">
      <w:marLeft w:val="0"/>
      <w:marRight w:val="0"/>
      <w:marTop w:val="0"/>
      <w:marBottom w:val="0"/>
      <w:divBdr>
        <w:top w:val="none" w:sz="0" w:space="0" w:color="auto"/>
        <w:left w:val="none" w:sz="0" w:space="0" w:color="auto"/>
        <w:bottom w:val="none" w:sz="0" w:space="0" w:color="auto"/>
        <w:right w:val="none" w:sz="0" w:space="0" w:color="auto"/>
      </w:divBdr>
    </w:div>
    <w:div w:id="1882353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7462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Syntra  Klachten</vt:lpstr>
    </vt:vector>
  </TitlesOfParts>
  <Company>MVG</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Syntra  Klachten</dc:title>
  <dc:creator>Croenen, Sofie</dc:creator>
  <cp:lastModifiedBy>Nathalie De Keyzer</cp:lastModifiedBy>
  <cp:revision>3</cp:revision>
  <cp:lastPrinted>2013-05-02T18:27:00Z</cp:lastPrinted>
  <dcterms:created xsi:type="dcterms:W3CDTF">2013-05-03T12:18:00Z</dcterms:created>
  <dcterms:modified xsi:type="dcterms:W3CDTF">2013-05-08T15:30:00Z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1.85165974409044E-302</vt:r8>
  </property>
  <property fmtid="{D5CDD505-2E9C-101B-9397-08002B2CF9AE}" pid="5" name="_docset_NoMedatataSyncRequired">
    <vt:lpwstr>False</vt:lpwstr>
  </property>
  <property fmtid="{D5CDD505-2E9C-101B-9397-08002B2CF9AE}" pid="6" name="GUID">
    <vt:lpwstr>21ea819e-d42d-407b-a962-5995045abf02</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ecm_ItemDeleteBlockHolders">
    <vt:lpwstr>ecm_InPlaceRecordLock</vt:lpwstr>
  </property>
  <property fmtid="{D5CDD505-2E9C-101B-9397-08002B2CF9AE}" pid="12" name="_vti_ItemHoldRecordStatus">
    <vt:i4>273</vt:i4>
  </property>
  <property fmtid="{D5CDD505-2E9C-101B-9397-08002B2CF9AE}" pid="13" name="IconOverlay">
    <vt:lpwstr>|docx|lockoverlay.png</vt:lpwstr>
  </property>
  <property fmtid="{D5CDD505-2E9C-101B-9397-08002B2CF9AE}" pid="14" name="ecm_RecordRestrictions">
    <vt:lpwstr>BlockDelete, BlockEdit</vt:lpwstr>
  </property>
  <property fmtid="{D5CDD505-2E9C-101B-9397-08002B2CF9AE}" pid="15" name="ecm_ItemLockHolders">
    <vt:lpwstr>ecm_InPlaceRecordLock</vt:lpwstr>
  </property>
  <property fmtid="{D5CDD505-2E9C-101B-9397-08002B2CF9AE}" pid="16" name="Titel vraag">
    <vt:lpwstr>614 Syntra - Klachten betreffende dienstverlening</vt:lpwstr>
  </property>
  <property fmtid="{D5CDD505-2E9C-101B-9397-08002B2CF9AE}" pid="17" name="Vraagnummer">
    <vt:lpwstr>614</vt:lpwstr>
  </property>
  <property fmtid="{D5CDD505-2E9C-101B-9397-08002B2CF9AE}" pid="18" name="DatumVraag">
    <vt:lpwstr>2013-03-29T01:00:00Z</vt:lpwstr>
  </property>
  <property fmtid="{D5CDD505-2E9C-101B-9397-08002B2CF9AE}" pid="19" name="DocumentSetDescription">
    <vt:lpwstr/>
  </property>
  <property fmtid="{D5CDD505-2E9C-101B-9397-08002B2CF9AE}" pid="20" name="Antwoord vereist">
    <vt:lpwstr>2013-04-23T00:00:00Z</vt:lpwstr>
  </property>
  <property fmtid="{D5CDD505-2E9C-101B-9397-08002B2CF9AE}" pid="21" name="Onderwerp vraag">
    <vt:lpwstr>Syntra - Klachten betreffende dienstverlening</vt:lpwstr>
  </property>
  <property fmtid="{D5CDD505-2E9C-101B-9397-08002B2CF9AE}" pid="22" name="TaxCatchAll">
    <vt:lpwstr/>
  </property>
  <property fmtid="{D5CDD505-2E9C-101B-9397-08002B2CF9AE}" pid="23" name="Antwoordnummer">
    <vt:lpwstr>614</vt:lpwstr>
  </property>
  <property fmtid="{D5CDD505-2E9C-101B-9397-08002B2CF9AE}" pid="24" name="Extra Behandelaars">
    <vt:lpwstr/>
  </property>
  <property fmtid="{D5CDD505-2E9C-101B-9397-08002B2CF9AE}" pid="25" name="Parlementair">
    <vt:lpwstr>Robrecht Bothuyne</vt:lpwstr>
  </property>
  <property fmtid="{D5CDD505-2E9C-101B-9397-08002B2CF9AE}" pid="26" name="Doorloopstatus">
    <vt:lpwstr>Beantwoord</vt:lpwstr>
  </property>
  <property fmtid="{D5CDD505-2E9C-101B-9397-08002B2CF9AE}" pid="27" name="Behandelaar">
    <vt:lpwstr>129;#Heyman, Ryfka</vt:lpwstr>
  </property>
  <property fmtid="{D5CDD505-2E9C-101B-9397-08002B2CF9AE}" pid="28" name="Vraag beantwoord">
    <vt:lpwstr>2013-04-17T10:32:33Z</vt:lpwstr>
  </property>
  <property fmtid="{D5CDD505-2E9C-101B-9397-08002B2CF9AE}" pid="29" name="TypeVraag">
    <vt:lpwstr>Schriftelijke Vraag</vt:lpwstr>
  </property>
  <property fmtid="{D5CDD505-2E9C-101B-9397-08002B2CF9AE}" pid="30" name="MinisterDomein">
    <vt:lpwstr>Werk</vt:lpwstr>
  </property>
  <property fmtid="{D5CDD505-2E9C-101B-9397-08002B2CF9AE}" pid="31" name="Minister">
    <vt:lpwstr>1</vt:lpwstr>
  </property>
  <property fmtid="{D5CDD505-2E9C-101B-9397-08002B2CF9AE}" pid="32" name="PVAfdeling">
    <vt:lpwstr>Beleidsafdeling</vt:lpwstr>
  </property>
  <property fmtid="{D5CDD505-2E9C-101B-9397-08002B2CF9AE}" pid="33" name="PVTeam">
    <vt:lpwstr>Competentiebeleid</vt:lpwstr>
  </property>
  <property fmtid="{D5CDD505-2E9C-101B-9397-08002B2CF9AE}" pid="34" name="Historiek">
    <vt:lpwstr>""</vt:lpwstr>
  </property>
  <property fmtid="{D5CDD505-2E9C-101B-9397-08002B2CF9AE}" pid="35" name="MinisterAlleDomeinen">
    <vt:lpwstr>Financiën, Begroting, Werk, Ruimtelijke Ordening en Sport</vt:lpwstr>
  </property>
  <property fmtid="{D5CDD505-2E9C-101B-9397-08002B2CF9AE}" pid="36" name="p19bb4db8f234648b3e23803b44e1a22">
    <vt:lpwstr/>
  </property>
  <property fmtid="{D5CDD505-2E9C-101B-9397-08002B2CF9AE}" pid="37" name="i65be3971a7447f690f0cd0953123e0a">
    <vt:lpwstr/>
  </property>
  <property fmtid="{D5CDD505-2E9C-101B-9397-08002B2CF9AE}" pid="38" name="DocSetId">
    <vt:lpwstr>524</vt:lpwstr>
  </property>
  <property fmtid="{D5CDD505-2E9C-101B-9397-08002B2CF9AE}" pid="39" name="Extern Agentschap">
    <vt:lpwstr>4</vt:lpwstr>
  </property>
</Properties>
</file>