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4719E"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4719E"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4719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4719E" w:rsidRPr="00326A58">
        <w:rPr>
          <w:b w:val="0"/>
        </w:rPr>
      </w:r>
      <w:r w:rsidR="00D4719E" w:rsidRPr="00326A58">
        <w:rPr>
          <w:b w:val="0"/>
        </w:rPr>
        <w:fldChar w:fldCharType="separate"/>
      </w:r>
      <w:r w:rsidR="0083645A">
        <w:rPr>
          <w:b w:val="0"/>
        </w:rPr>
        <w:t>598</w:t>
      </w:r>
      <w:r w:rsidR="00D4719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4719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4719E">
        <w:rPr>
          <w:b w:val="0"/>
        </w:rPr>
      </w:r>
      <w:r w:rsidR="00D4719E">
        <w:rPr>
          <w:b w:val="0"/>
        </w:rPr>
        <w:fldChar w:fldCharType="separate"/>
      </w:r>
      <w:r w:rsidR="00FD3C19">
        <w:rPr>
          <w:b w:val="0"/>
        </w:rPr>
        <w:t>26</w:t>
      </w:r>
      <w:r w:rsidR="00D4719E">
        <w:rPr>
          <w:b w:val="0"/>
        </w:rPr>
        <w:fldChar w:fldCharType="end"/>
      </w:r>
      <w:bookmarkEnd w:id="3"/>
      <w:r w:rsidRPr="00326A58">
        <w:rPr>
          <w:b w:val="0"/>
        </w:rPr>
        <w:t xml:space="preserve"> </w:t>
      </w:r>
      <w:bookmarkStart w:id="4" w:name="Dropdown2"/>
      <w:r w:rsidR="00D4719E">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4719E">
        <w:rPr>
          <w:b w:val="0"/>
        </w:rPr>
      </w:r>
      <w:r w:rsidR="00D4719E">
        <w:rPr>
          <w:b w:val="0"/>
        </w:rPr>
        <w:fldChar w:fldCharType="end"/>
      </w:r>
      <w:bookmarkEnd w:id="4"/>
      <w:r w:rsidRPr="00326A58">
        <w:rPr>
          <w:b w:val="0"/>
        </w:rPr>
        <w:t xml:space="preserve"> </w:t>
      </w:r>
      <w:bookmarkStart w:id="5" w:name="Dropdown3"/>
      <w:r w:rsidR="00D4719E">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4719E">
        <w:rPr>
          <w:b w:val="0"/>
        </w:rPr>
      </w:r>
      <w:r w:rsidR="00D4719E">
        <w:rPr>
          <w:b w:val="0"/>
        </w:rPr>
        <w:fldChar w:fldCharType="end"/>
      </w:r>
      <w:bookmarkEnd w:id="5"/>
    </w:p>
    <w:p w:rsidR="000976E9" w:rsidRDefault="000976E9" w:rsidP="000976E9">
      <w:pPr>
        <w:rPr>
          <w:szCs w:val="22"/>
        </w:rPr>
      </w:pPr>
      <w:r>
        <w:rPr>
          <w:szCs w:val="22"/>
        </w:rPr>
        <w:t xml:space="preserve">van </w:t>
      </w:r>
      <w:r w:rsidR="00D4719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4719E" w:rsidRPr="009D7043">
        <w:rPr>
          <w:rStyle w:val="AntwoordNaamMinisterChar"/>
        </w:rPr>
      </w:r>
      <w:r w:rsidR="00D4719E" w:rsidRPr="009D7043">
        <w:rPr>
          <w:rStyle w:val="AntwoordNaamMinisterChar"/>
        </w:rPr>
        <w:fldChar w:fldCharType="separate"/>
      </w:r>
      <w:r w:rsidR="00805BA5">
        <w:rPr>
          <w:rStyle w:val="AntwoordNaamMinisterChar"/>
        </w:rPr>
        <w:t>s</w:t>
      </w:r>
      <w:r w:rsidR="00FD3C19">
        <w:rPr>
          <w:rStyle w:val="AntwoordNaamMinisterChar"/>
        </w:rPr>
        <w:t xml:space="preserve">as </w:t>
      </w:r>
      <w:r w:rsidR="00805BA5">
        <w:rPr>
          <w:rStyle w:val="AntwoordNaamMinisterChar"/>
        </w:rPr>
        <w:t>v</w:t>
      </w:r>
      <w:r w:rsidR="00FD3C19">
        <w:rPr>
          <w:rStyle w:val="AntwoordNaamMinisterChar"/>
        </w:rPr>
        <w:t xml:space="preserve">an </w:t>
      </w:r>
      <w:r w:rsidR="00805BA5">
        <w:rPr>
          <w:rStyle w:val="AntwoordNaamMinisterChar"/>
        </w:rPr>
        <w:t>r</w:t>
      </w:r>
      <w:r w:rsidR="00FD3C19">
        <w:rPr>
          <w:rStyle w:val="AntwoordNaamMinisterChar"/>
        </w:rPr>
        <w:t>ouveroij</w:t>
      </w:r>
      <w:r w:rsidR="00D4719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C36CD" w:rsidRDefault="00FC36CD" w:rsidP="001D6EBF">
      <w:pPr>
        <w:pStyle w:val="Lijstalinea"/>
        <w:numPr>
          <w:ilvl w:val="0"/>
          <w:numId w:val="7"/>
        </w:numPr>
        <w:ind w:left="426" w:hanging="426"/>
        <w:jc w:val="both"/>
        <w:rPr>
          <w:szCs w:val="22"/>
        </w:rPr>
      </w:pPr>
      <w:r w:rsidRPr="00805BA5">
        <w:rPr>
          <w:szCs w:val="22"/>
        </w:rPr>
        <w:lastRenderedPageBreak/>
        <w:t xml:space="preserve">In onderstaande tabel </w:t>
      </w:r>
      <w:r w:rsidR="00805BA5">
        <w:rPr>
          <w:szCs w:val="22"/>
        </w:rPr>
        <w:t xml:space="preserve">vindt de Vlaamse volksvertegenwoordiger </w:t>
      </w:r>
      <w:r w:rsidRPr="00805BA5">
        <w:rPr>
          <w:szCs w:val="22"/>
        </w:rPr>
        <w:t>de bedragen van de beschikbaarheidsvergoedingen die zijn opgenomen in de meerjarenraming.</w:t>
      </w:r>
    </w:p>
    <w:p w:rsidR="00805BA5" w:rsidRPr="00805BA5" w:rsidRDefault="00805BA5" w:rsidP="00805BA5">
      <w:pPr>
        <w:pStyle w:val="Lijstalinea"/>
        <w:ind w:left="567"/>
        <w:jc w:val="both"/>
        <w:rPr>
          <w:szCs w:val="22"/>
        </w:rPr>
      </w:pPr>
    </w:p>
    <w:tbl>
      <w:tblPr>
        <w:tblW w:w="8222" w:type="dxa"/>
        <w:tblInd w:w="496" w:type="dxa"/>
        <w:tblCellMar>
          <w:left w:w="70" w:type="dxa"/>
          <w:right w:w="70" w:type="dxa"/>
        </w:tblCellMar>
        <w:tblLook w:val="04A0" w:firstRow="1" w:lastRow="0" w:firstColumn="1" w:lastColumn="0" w:noHBand="0" w:noVBand="1"/>
      </w:tblPr>
      <w:tblGrid>
        <w:gridCol w:w="2142"/>
        <w:gridCol w:w="1280"/>
        <w:gridCol w:w="960"/>
        <w:gridCol w:w="960"/>
        <w:gridCol w:w="960"/>
        <w:gridCol w:w="960"/>
        <w:gridCol w:w="960"/>
      </w:tblGrid>
      <w:tr w:rsidR="00700D10" w:rsidRPr="00700D10" w:rsidTr="001D6EBF">
        <w:trPr>
          <w:trHeight w:val="31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b/>
                <w:bCs/>
                <w:color w:val="000000"/>
                <w:szCs w:val="22"/>
                <w:lang w:val="nl-BE" w:eastAsia="nl-BE"/>
              </w:rPr>
            </w:pPr>
            <w:r w:rsidRPr="00700D10">
              <w:rPr>
                <w:b/>
                <w:bCs/>
                <w:color w:val="000000"/>
                <w:szCs w:val="22"/>
                <w:lang w:eastAsia="nl-BE"/>
              </w:rPr>
              <w:t>Beleidsdomein/Jaar</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i/>
                <w:iCs/>
                <w:color w:val="000000"/>
                <w:szCs w:val="22"/>
                <w:lang w:val="nl-BE" w:eastAsia="nl-BE"/>
              </w:rPr>
            </w:pPr>
            <w:r w:rsidRPr="00700D10">
              <w:rPr>
                <w:i/>
                <w:iCs/>
                <w:color w:val="000000"/>
                <w:szCs w:val="22"/>
                <w:lang w:eastAsia="nl-BE"/>
              </w:rPr>
              <w:t>2018</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Welzijn</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val="nl-BE" w:eastAsia="nl-BE"/>
              </w:rPr>
              <w:t>147,7</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178,2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196,2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196,2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196,2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196,2</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Wonen</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1,2</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Onderwijs</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0,0</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1,3</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24,4</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90,7</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100,0</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100,0</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Sport</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2,4</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3,6</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5,5</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5,9</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7,1</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8,4</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Toerisme</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6,8</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4,6</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0,8</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0,5</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0,0</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0,0</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Openbare werken</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34,6</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48,5</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61,8</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61,9</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61,9</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61,9</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Mobiliteit</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4,5</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4,6</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4,7</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4,8</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4,8</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4,8</w:t>
            </w:r>
          </w:p>
        </w:tc>
      </w:tr>
      <w:tr w:rsidR="00700D10" w:rsidRPr="00700D10" w:rsidTr="001D6EBF">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700D10" w:rsidRPr="00700D10" w:rsidRDefault="00700D10" w:rsidP="00700D10">
            <w:pPr>
              <w:jc w:val="both"/>
              <w:rPr>
                <w:color w:val="000000"/>
                <w:szCs w:val="22"/>
                <w:lang w:val="nl-BE" w:eastAsia="nl-BE"/>
              </w:rPr>
            </w:pPr>
            <w:r w:rsidRPr="00700D10">
              <w:rPr>
                <w:color w:val="000000"/>
                <w:szCs w:val="22"/>
                <w:lang w:eastAsia="nl-BE"/>
              </w:rPr>
              <w:t>Bestuurszaken</w:t>
            </w:r>
          </w:p>
        </w:tc>
        <w:tc>
          <w:tcPr>
            <w:tcW w:w="128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8,1</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14,2</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17,4</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17,4</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17,0</w:t>
            </w:r>
          </w:p>
        </w:tc>
        <w:tc>
          <w:tcPr>
            <w:tcW w:w="960" w:type="dxa"/>
            <w:tcBorders>
              <w:top w:val="nil"/>
              <w:left w:val="nil"/>
              <w:bottom w:val="single" w:sz="8" w:space="0" w:color="auto"/>
              <w:right w:val="single" w:sz="8" w:space="0" w:color="auto"/>
            </w:tcBorders>
            <w:shd w:val="clear" w:color="auto" w:fill="auto"/>
            <w:vAlign w:val="center"/>
            <w:hideMark/>
          </w:tcPr>
          <w:p w:rsidR="00700D10" w:rsidRPr="00700D10" w:rsidRDefault="00700D10" w:rsidP="00700D10">
            <w:pPr>
              <w:jc w:val="center"/>
              <w:rPr>
                <w:color w:val="000000"/>
                <w:szCs w:val="22"/>
                <w:lang w:val="nl-BE" w:eastAsia="nl-BE"/>
              </w:rPr>
            </w:pPr>
            <w:r w:rsidRPr="00700D10">
              <w:rPr>
                <w:color w:val="000000"/>
                <w:szCs w:val="22"/>
                <w:lang w:eastAsia="nl-BE"/>
              </w:rPr>
              <w:t>17,0</w:t>
            </w:r>
          </w:p>
        </w:tc>
      </w:tr>
    </w:tbl>
    <w:p w:rsidR="00AF1FF0" w:rsidRDefault="00FC36CD" w:rsidP="0082117C">
      <w:pPr>
        <w:ind w:firstLine="426"/>
        <w:jc w:val="both"/>
        <w:rPr>
          <w:szCs w:val="22"/>
        </w:rPr>
      </w:pPr>
      <w:r>
        <w:rPr>
          <w:szCs w:val="22"/>
        </w:rPr>
        <w:t>in miljoen euro</w:t>
      </w:r>
    </w:p>
    <w:p w:rsidR="003C78D7" w:rsidRDefault="003C78D7" w:rsidP="005B0743">
      <w:pPr>
        <w:jc w:val="both"/>
        <w:rPr>
          <w:szCs w:val="22"/>
        </w:rPr>
      </w:pPr>
    </w:p>
    <w:p w:rsidR="003C78D7" w:rsidRDefault="003C78D7" w:rsidP="001D6EBF">
      <w:pPr>
        <w:ind w:left="426"/>
        <w:jc w:val="both"/>
        <w:rPr>
          <w:szCs w:val="22"/>
        </w:rPr>
      </w:pPr>
      <w:r>
        <w:rPr>
          <w:szCs w:val="22"/>
        </w:rPr>
        <w:t>Zoals ook vermeld in het antwoord op sc</w:t>
      </w:r>
      <w:r w:rsidR="00805BA5">
        <w:rPr>
          <w:szCs w:val="22"/>
        </w:rPr>
        <w:t>hriftelijke vraag 465 waarnaar de Vlaamse volksvertegenwoordiger</w:t>
      </w:r>
      <w:r>
        <w:rPr>
          <w:szCs w:val="22"/>
        </w:rPr>
        <w:t xml:space="preserve"> verwijst zijn alle gegunde projecten uit de boordtabel voorzien binnen de meerjarenbegroting. Voor niet gegunde projecten is een verhoging voorzien voor zover de Vlaamse Regering hierin voorziet. Het betreft de beleidsdomeinen/-velden Welzijn, Sport en Bestuurszaken, die ook in de toelichting van de meerjarenraming worden vermeld. Wat betreft</w:t>
      </w:r>
      <w:r w:rsidR="00805BA5">
        <w:rPr>
          <w:szCs w:val="22"/>
        </w:rPr>
        <w:t xml:space="preserve"> de passage over Onderwijs die de Vlaamse volksvertegenwoordiger</w:t>
      </w:r>
      <w:r>
        <w:rPr>
          <w:szCs w:val="22"/>
        </w:rPr>
        <w:t xml:space="preserve"> aanhaalt, moet ik opmerken dat de bijkomende middelen die voorzien zijn niet dienen om beschikbaarheidsvergoedingen te betalen, maar om eenmalige vergoedingen die nodig zijn voor de opzet van de PPS-constructie</w:t>
      </w:r>
      <w:r w:rsidR="00700D10">
        <w:rPr>
          <w:szCs w:val="22"/>
        </w:rPr>
        <w:t xml:space="preserve"> te betalen</w:t>
      </w:r>
      <w:r>
        <w:rPr>
          <w:szCs w:val="22"/>
        </w:rPr>
        <w:t>.</w:t>
      </w:r>
    </w:p>
    <w:p w:rsidR="00FC36CD" w:rsidRDefault="00FC36CD" w:rsidP="005B0743">
      <w:pPr>
        <w:jc w:val="both"/>
        <w:rPr>
          <w:szCs w:val="22"/>
        </w:rPr>
      </w:pPr>
    </w:p>
    <w:p w:rsidR="00FC36CD" w:rsidRPr="0067209C" w:rsidRDefault="0067209C" w:rsidP="0067209C">
      <w:pPr>
        <w:pStyle w:val="Lijstalinea"/>
        <w:numPr>
          <w:ilvl w:val="0"/>
          <w:numId w:val="7"/>
        </w:numPr>
        <w:ind w:left="426" w:hanging="426"/>
        <w:jc w:val="both"/>
        <w:rPr>
          <w:szCs w:val="22"/>
        </w:rPr>
      </w:pPr>
      <w:r w:rsidRPr="0067209C">
        <w:rPr>
          <w:szCs w:val="22"/>
        </w:rPr>
        <w:t>De belangrijkste verklaring voor de discrepantie tussen de beschikbaarheidsvergoedingen weergegeven in het rapport alternatieve financiering en deze opgenomen in de meerjarenraming is het feit dat niet gegunde projecten slechts worden opgenomen voor die bedragen, die de Vlaamse Regering reeds expliciet heeft voorzien, als komende boven de normale uitgavenontwikkeling van het beleidsdomein.</w:t>
      </w:r>
      <w:r>
        <w:rPr>
          <w:szCs w:val="22"/>
        </w:rPr>
        <w:t xml:space="preserve"> </w:t>
      </w:r>
      <w:r w:rsidR="00B6130F" w:rsidRPr="0067209C">
        <w:rPr>
          <w:szCs w:val="22"/>
        </w:rPr>
        <w:t>Daarnaast wijs ik er op dat de meerjarenraming een horizon heeft tot 2018. Niet alle beschikbaarheidsvergoedingen zullen in 2018 reeds op kruissnelheid zijn. Het is dan ook niet correct om de kolom ‘op kruissnelheid’ uit</w:t>
      </w:r>
      <w:r w:rsidR="003526B3" w:rsidRPr="0067209C">
        <w:rPr>
          <w:szCs w:val="22"/>
        </w:rPr>
        <w:t xml:space="preserve"> de boordtabel van de PPS rapportering zomaar af te zetten tegen de meerjarenraming.</w:t>
      </w:r>
    </w:p>
    <w:p w:rsidR="003526B3" w:rsidRDefault="003526B3" w:rsidP="001D6EBF">
      <w:pPr>
        <w:ind w:left="426" w:hanging="426"/>
        <w:jc w:val="both"/>
        <w:rPr>
          <w:szCs w:val="22"/>
        </w:rPr>
      </w:pPr>
    </w:p>
    <w:p w:rsidR="0007027F" w:rsidRDefault="003526B3" w:rsidP="001D6EBF">
      <w:pPr>
        <w:ind w:left="426"/>
        <w:jc w:val="both"/>
        <w:rPr>
          <w:szCs w:val="22"/>
        </w:rPr>
      </w:pPr>
      <w:r>
        <w:rPr>
          <w:szCs w:val="22"/>
        </w:rPr>
        <w:t xml:space="preserve">De beschikbaarheidsvergoedingen die niet specifiek opgenomen zijn in de meerjarenraming worden inderdaad geacht gedekt te zijn door de momenteel toegestane kredieten. </w:t>
      </w:r>
      <w:r w:rsidR="000361E6">
        <w:rPr>
          <w:szCs w:val="22"/>
        </w:rPr>
        <w:t>Het is inderdaad zo dat</w:t>
      </w:r>
      <w:r w:rsidR="0007027F">
        <w:rPr>
          <w:szCs w:val="22"/>
        </w:rPr>
        <w:t xml:space="preserve"> dit een </w:t>
      </w:r>
      <w:r w:rsidR="005E0B57">
        <w:rPr>
          <w:szCs w:val="22"/>
        </w:rPr>
        <w:t xml:space="preserve">last op de </w:t>
      </w:r>
      <w:r w:rsidR="000361E6">
        <w:rPr>
          <w:szCs w:val="22"/>
        </w:rPr>
        <w:t xml:space="preserve">reguliere </w:t>
      </w:r>
      <w:r w:rsidR="005E0B57">
        <w:rPr>
          <w:szCs w:val="22"/>
        </w:rPr>
        <w:t>beleidskredieten zou kunnen</w:t>
      </w:r>
      <w:r w:rsidR="00784E51">
        <w:rPr>
          <w:szCs w:val="22"/>
        </w:rPr>
        <w:t xml:space="preserve"> leggen, al moet dit </w:t>
      </w:r>
      <w:r>
        <w:rPr>
          <w:szCs w:val="22"/>
        </w:rPr>
        <w:t xml:space="preserve">genuanceerd worden. </w:t>
      </w:r>
    </w:p>
    <w:p w:rsidR="0007027F" w:rsidRDefault="0007027F" w:rsidP="001D6EBF">
      <w:pPr>
        <w:ind w:left="426" w:hanging="426"/>
        <w:jc w:val="both"/>
        <w:rPr>
          <w:szCs w:val="22"/>
        </w:rPr>
      </w:pPr>
    </w:p>
    <w:p w:rsidR="0007027F" w:rsidRDefault="003526B3" w:rsidP="001D6EBF">
      <w:pPr>
        <w:ind w:left="426"/>
        <w:jc w:val="both"/>
        <w:rPr>
          <w:szCs w:val="22"/>
        </w:rPr>
      </w:pPr>
      <w:r>
        <w:rPr>
          <w:szCs w:val="22"/>
        </w:rPr>
        <w:t xml:space="preserve">In het verleden zijn immers reeds extra middelen toegekend met het oog op het betalen van toekomstige beschikbaarheidsvergoedingen. </w:t>
      </w:r>
      <w:r w:rsidR="005E0B57">
        <w:rPr>
          <w:szCs w:val="22"/>
        </w:rPr>
        <w:t xml:space="preserve">Zo werd bijvoorbeeld aan Onderwijs 75 miljoen euro toegekend voor de PPS-scholenbouw, aan Openbare Werken 66 miljoen euro voor de missing links en aan Mobiliteit 50 miljoen euro voor tramverlengingen, rollend materieel en stelplaatsen. </w:t>
      </w:r>
      <w:r w:rsidR="005E0B57">
        <w:rPr>
          <w:szCs w:val="22"/>
        </w:rPr>
        <w:lastRenderedPageBreak/>
        <w:t>Momenteel worden deze middelen ingezet voor investeringsprojecten die op de klassieke wijze gefinancierd worden. In eerste instantie zal dus het extra beleid dat met deze in het verleden toegekende middelen gevoerd wordt, geschrapt moeten worden.</w:t>
      </w:r>
    </w:p>
    <w:p w:rsidR="0007027F" w:rsidRDefault="0007027F" w:rsidP="001D6EBF">
      <w:pPr>
        <w:ind w:left="426" w:hanging="426"/>
        <w:jc w:val="both"/>
        <w:rPr>
          <w:szCs w:val="22"/>
        </w:rPr>
      </w:pPr>
    </w:p>
    <w:p w:rsidR="003526B3" w:rsidRPr="003526B3" w:rsidRDefault="0007027F" w:rsidP="001D6EBF">
      <w:pPr>
        <w:ind w:left="426"/>
        <w:jc w:val="both"/>
        <w:rPr>
          <w:szCs w:val="22"/>
        </w:rPr>
      </w:pPr>
      <w:r>
        <w:rPr>
          <w:szCs w:val="22"/>
        </w:rPr>
        <w:t xml:space="preserve">Daarnaast is het zo dat de Vlaamse Regering de projecten maar gunt in de mate dat er een sluitend budgettair </w:t>
      </w:r>
      <w:r w:rsidR="0057549B">
        <w:rPr>
          <w:szCs w:val="22"/>
        </w:rPr>
        <w:t xml:space="preserve">kader </w:t>
      </w:r>
      <w:r>
        <w:rPr>
          <w:szCs w:val="22"/>
        </w:rPr>
        <w:t xml:space="preserve">is. Om te bepalen of het budgettair kader al dan niet sluitend is, wordt vanzelfsprekend ook de impact op de </w:t>
      </w:r>
      <w:r w:rsidR="00FE7ADA">
        <w:rPr>
          <w:szCs w:val="22"/>
        </w:rPr>
        <w:t xml:space="preserve">kredieten voor </w:t>
      </w:r>
      <w:r>
        <w:rPr>
          <w:szCs w:val="22"/>
        </w:rPr>
        <w:t>reguliere investeringen in ogenschouw genomen.</w:t>
      </w:r>
      <w:bookmarkStart w:id="6" w:name="_GoBack"/>
      <w:bookmarkEnd w:id="6"/>
    </w:p>
    <w:sectPr w:rsidR="003526B3" w:rsidRPr="003526B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7F" w:rsidRDefault="0007027F">
      <w:r>
        <w:separator/>
      </w:r>
    </w:p>
  </w:endnote>
  <w:endnote w:type="continuationSeparator" w:id="0">
    <w:p w:rsidR="0007027F" w:rsidRDefault="000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7F" w:rsidRDefault="0007027F">
      <w:r>
        <w:separator/>
      </w:r>
    </w:p>
  </w:footnote>
  <w:footnote w:type="continuationSeparator" w:id="0">
    <w:p w:rsidR="0007027F" w:rsidRDefault="0007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05C"/>
    <w:multiLevelType w:val="hybridMultilevel"/>
    <w:tmpl w:val="72C8E8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C02A75"/>
    <w:multiLevelType w:val="hybridMultilevel"/>
    <w:tmpl w:val="B3DEC5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0F253C4"/>
    <w:multiLevelType w:val="hybridMultilevel"/>
    <w:tmpl w:val="3EE08D76"/>
    <w:lvl w:ilvl="0" w:tplc="0813000F">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3"/>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361E6"/>
    <w:rsid w:val="00042574"/>
    <w:rsid w:val="00060CAF"/>
    <w:rsid w:val="0007027F"/>
    <w:rsid w:val="00077CB6"/>
    <w:rsid w:val="00092E90"/>
    <w:rsid w:val="000976E9"/>
    <w:rsid w:val="000C2BF2"/>
    <w:rsid w:val="000C4E8C"/>
    <w:rsid w:val="000F3532"/>
    <w:rsid w:val="00113D30"/>
    <w:rsid w:val="00115A86"/>
    <w:rsid w:val="00117812"/>
    <w:rsid w:val="00162ED2"/>
    <w:rsid w:val="00175898"/>
    <w:rsid w:val="0018437F"/>
    <w:rsid w:val="001C385B"/>
    <w:rsid w:val="001C6D2A"/>
    <w:rsid w:val="001C767D"/>
    <w:rsid w:val="001D41A0"/>
    <w:rsid w:val="001D6EBF"/>
    <w:rsid w:val="00207A16"/>
    <w:rsid w:val="00210C07"/>
    <w:rsid w:val="002200AB"/>
    <w:rsid w:val="0029398C"/>
    <w:rsid w:val="002A7BA2"/>
    <w:rsid w:val="002B5D7E"/>
    <w:rsid w:val="0031095D"/>
    <w:rsid w:val="00326A58"/>
    <w:rsid w:val="003526B3"/>
    <w:rsid w:val="003568BA"/>
    <w:rsid w:val="00357979"/>
    <w:rsid w:val="00365143"/>
    <w:rsid w:val="003750AC"/>
    <w:rsid w:val="003C33C2"/>
    <w:rsid w:val="003C78D7"/>
    <w:rsid w:val="00432AB7"/>
    <w:rsid w:val="00436455"/>
    <w:rsid w:val="004809DA"/>
    <w:rsid w:val="004B2A99"/>
    <w:rsid w:val="004C133F"/>
    <w:rsid w:val="004C1A8D"/>
    <w:rsid w:val="004E548B"/>
    <w:rsid w:val="00542EC1"/>
    <w:rsid w:val="0057549B"/>
    <w:rsid w:val="00586236"/>
    <w:rsid w:val="005B0743"/>
    <w:rsid w:val="005B50D5"/>
    <w:rsid w:val="005B757C"/>
    <w:rsid w:val="005D17E7"/>
    <w:rsid w:val="005E0B57"/>
    <w:rsid w:val="005E38CA"/>
    <w:rsid w:val="005F3B71"/>
    <w:rsid w:val="00601D11"/>
    <w:rsid w:val="006114D8"/>
    <w:rsid w:val="00613AA2"/>
    <w:rsid w:val="006260E2"/>
    <w:rsid w:val="0067209C"/>
    <w:rsid w:val="006B7E6F"/>
    <w:rsid w:val="006C5EEB"/>
    <w:rsid w:val="006E2F76"/>
    <w:rsid w:val="00700D10"/>
    <w:rsid w:val="007103D2"/>
    <w:rsid w:val="0071248C"/>
    <w:rsid w:val="007252C7"/>
    <w:rsid w:val="00747203"/>
    <w:rsid w:val="0078256A"/>
    <w:rsid w:val="00784E51"/>
    <w:rsid w:val="007B21BB"/>
    <w:rsid w:val="007C7B7A"/>
    <w:rsid w:val="007D0E2A"/>
    <w:rsid w:val="007D2CE5"/>
    <w:rsid w:val="007D3128"/>
    <w:rsid w:val="00805BA5"/>
    <w:rsid w:val="008112DC"/>
    <w:rsid w:val="0082117C"/>
    <w:rsid w:val="008241FD"/>
    <w:rsid w:val="00826146"/>
    <w:rsid w:val="0083645A"/>
    <w:rsid w:val="00851FDB"/>
    <w:rsid w:val="00873C65"/>
    <w:rsid w:val="008D5DB4"/>
    <w:rsid w:val="009058B7"/>
    <w:rsid w:val="00924130"/>
    <w:rsid w:val="00941C06"/>
    <w:rsid w:val="00944B1F"/>
    <w:rsid w:val="00947E8A"/>
    <w:rsid w:val="00953DDC"/>
    <w:rsid w:val="00954DC8"/>
    <w:rsid w:val="009663B8"/>
    <w:rsid w:val="00990DDA"/>
    <w:rsid w:val="0099419F"/>
    <w:rsid w:val="00995BF9"/>
    <w:rsid w:val="009C2AA0"/>
    <w:rsid w:val="009D6AD7"/>
    <w:rsid w:val="009D7043"/>
    <w:rsid w:val="009D763F"/>
    <w:rsid w:val="009F5B1B"/>
    <w:rsid w:val="00A075B3"/>
    <w:rsid w:val="00A10835"/>
    <w:rsid w:val="00A21360"/>
    <w:rsid w:val="00A737E8"/>
    <w:rsid w:val="00A81356"/>
    <w:rsid w:val="00A9424B"/>
    <w:rsid w:val="00A947B3"/>
    <w:rsid w:val="00AC572C"/>
    <w:rsid w:val="00AD6E12"/>
    <w:rsid w:val="00AE58C0"/>
    <w:rsid w:val="00AF065D"/>
    <w:rsid w:val="00AF1FF0"/>
    <w:rsid w:val="00B05DD7"/>
    <w:rsid w:val="00B233AB"/>
    <w:rsid w:val="00B23DE4"/>
    <w:rsid w:val="00B4430E"/>
    <w:rsid w:val="00B45EB2"/>
    <w:rsid w:val="00B51A62"/>
    <w:rsid w:val="00B523F1"/>
    <w:rsid w:val="00B6130F"/>
    <w:rsid w:val="00B65213"/>
    <w:rsid w:val="00B65D8D"/>
    <w:rsid w:val="00B750AD"/>
    <w:rsid w:val="00BC4515"/>
    <w:rsid w:val="00BE425A"/>
    <w:rsid w:val="00C12557"/>
    <w:rsid w:val="00C16D61"/>
    <w:rsid w:val="00C23819"/>
    <w:rsid w:val="00C51D62"/>
    <w:rsid w:val="00C94C4A"/>
    <w:rsid w:val="00CA45DB"/>
    <w:rsid w:val="00CC7536"/>
    <w:rsid w:val="00CE1D4A"/>
    <w:rsid w:val="00CE6203"/>
    <w:rsid w:val="00CF525E"/>
    <w:rsid w:val="00CF6877"/>
    <w:rsid w:val="00D03C03"/>
    <w:rsid w:val="00D06C22"/>
    <w:rsid w:val="00D13702"/>
    <w:rsid w:val="00D20DEB"/>
    <w:rsid w:val="00D30EAF"/>
    <w:rsid w:val="00D41ABB"/>
    <w:rsid w:val="00D4719E"/>
    <w:rsid w:val="00D65ABD"/>
    <w:rsid w:val="00D71D99"/>
    <w:rsid w:val="00D754F2"/>
    <w:rsid w:val="00D84C17"/>
    <w:rsid w:val="00D861C5"/>
    <w:rsid w:val="00DB41C0"/>
    <w:rsid w:val="00DC32B0"/>
    <w:rsid w:val="00DC4DB6"/>
    <w:rsid w:val="00DF25FE"/>
    <w:rsid w:val="00E13862"/>
    <w:rsid w:val="00E55200"/>
    <w:rsid w:val="00E663EC"/>
    <w:rsid w:val="00EA0884"/>
    <w:rsid w:val="00EB1AA4"/>
    <w:rsid w:val="00EE566C"/>
    <w:rsid w:val="00F41B70"/>
    <w:rsid w:val="00F50C62"/>
    <w:rsid w:val="00F77692"/>
    <w:rsid w:val="00FA29D6"/>
    <w:rsid w:val="00FC36CD"/>
    <w:rsid w:val="00FD3C19"/>
    <w:rsid w:val="00FD5BF4"/>
    <w:rsid w:val="00FE2F02"/>
    <w:rsid w:val="00FE46C9"/>
    <w:rsid w:val="00FE5406"/>
    <w:rsid w:val="00FE7ADA"/>
    <w:rsid w:val="00FF6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7981">
      <w:bodyDiv w:val="1"/>
      <w:marLeft w:val="0"/>
      <w:marRight w:val="0"/>
      <w:marTop w:val="0"/>
      <w:marBottom w:val="0"/>
      <w:divBdr>
        <w:top w:val="none" w:sz="0" w:space="0" w:color="auto"/>
        <w:left w:val="none" w:sz="0" w:space="0" w:color="auto"/>
        <w:bottom w:val="none" w:sz="0" w:space="0" w:color="auto"/>
        <w:right w:val="none" w:sz="0" w:space="0" w:color="auto"/>
      </w:divBdr>
    </w:div>
    <w:div w:id="1183737582">
      <w:bodyDiv w:val="1"/>
      <w:marLeft w:val="0"/>
      <w:marRight w:val="0"/>
      <w:marTop w:val="0"/>
      <w:marBottom w:val="0"/>
      <w:divBdr>
        <w:top w:val="none" w:sz="0" w:space="0" w:color="auto"/>
        <w:left w:val="none" w:sz="0" w:space="0" w:color="auto"/>
        <w:bottom w:val="none" w:sz="0" w:space="0" w:color="auto"/>
        <w:right w:val="none" w:sz="0" w:space="0" w:color="auto"/>
      </w:divBdr>
    </w:div>
    <w:div w:id="135076430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488</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7</cp:revision>
  <cp:lastPrinted>2006-11-16T09:10:00Z</cp:lastPrinted>
  <dcterms:created xsi:type="dcterms:W3CDTF">2013-04-25T09:35:00Z</dcterms:created>
  <dcterms:modified xsi:type="dcterms:W3CDTF">2013-05-08T14:32:00Z</dcterms:modified>
</cp:coreProperties>
</file>