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F7CA7" w:rsidP="009456B5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96094">
        <w:rPr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F7CA7" w:rsidP="009456B5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2843DB">
        <w:rPr>
          <w:noProof/>
        </w:rPr>
        <w:t xml:space="preserve">vlaams minister van </w:t>
      </w:r>
      <w:r w:rsidR="00996094">
        <w:rPr>
          <w:noProof/>
        </w:rPr>
        <w:t>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9456B5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F7CA7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F7CA7" w:rsidRPr="00326A58">
        <w:rPr>
          <w:b w:val="0"/>
        </w:rPr>
      </w:r>
      <w:r w:rsidR="000F7CA7" w:rsidRPr="00326A58">
        <w:rPr>
          <w:b w:val="0"/>
        </w:rPr>
        <w:fldChar w:fldCharType="separate"/>
      </w:r>
      <w:r w:rsidR="00F909DC">
        <w:rPr>
          <w:b w:val="0"/>
        </w:rPr>
        <w:t>3</w:t>
      </w:r>
      <w:r w:rsidR="001E6F44">
        <w:rPr>
          <w:b w:val="0"/>
        </w:rPr>
        <w:t>87</w:t>
      </w:r>
      <w:r w:rsidR="000F7CA7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r w:rsidR="00D13C6C">
        <w:rPr>
          <w:b w:val="0"/>
        </w:rPr>
        <w:t>29</w:t>
      </w:r>
      <w:r w:rsidRPr="00326A58">
        <w:rPr>
          <w:b w:val="0"/>
        </w:rPr>
        <w:t xml:space="preserve"> </w:t>
      </w:r>
      <w:r w:rsidR="00D13C6C" w:rsidRPr="00D13C6C">
        <w:rPr>
          <w:b w:val="0"/>
          <w:smallCaps w:val="0"/>
        </w:rPr>
        <w:t xml:space="preserve">maart </w:t>
      </w:r>
      <w:bookmarkStart w:id="3" w:name="Dropdown3"/>
      <w:r w:rsidR="000F7CA7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F7CA7">
        <w:rPr>
          <w:b w:val="0"/>
        </w:rPr>
      </w:r>
      <w:r w:rsidR="000F7CA7">
        <w:rPr>
          <w:b w:val="0"/>
        </w:rPr>
        <w:fldChar w:fldCharType="end"/>
      </w:r>
      <w:bookmarkEnd w:id="3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F7CA7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F7CA7" w:rsidRPr="009D7043">
        <w:rPr>
          <w:rStyle w:val="AntwoordNaamMinisterChar"/>
        </w:rPr>
      </w:r>
      <w:r w:rsidR="000F7CA7" w:rsidRPr="009D7043">
        <w:rPr>
          <w:rStyle w:val="AntwoordNaamMinisterChar"/>
        </w:rPr>
        <w:fldChar w:fldCharType="separate"/>
      </w:r>
      <w:r w:rsidR="005339FA">
        <w:rPr>
          <w:rStyle w:val="AntwoordNaamMinisterChar"/>
        </w:rPr>
        <w:t>veli yüksel</w:t>
      </w:r>
      <w:r w:rsidR="000F7CA7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73E1" w:rsidRDefault="001E6F44" w:rsidP="00D13C6C">
      <w:pPr>
        <w:pStyle w:val="Lijstalinea"/>
        <w:numPr>
          <w:ilvl w:val="0"/>
          <w:numId w:val="10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lastRenderedPageBreak/>
        <w:t xml:space="preserve">Een overzicht van de </w:t>
      </w:r>
      <w:r w:rsidR="009D4CDF" w:rsidRPr="00DF6E1E">
        <w:rPr>
          <w:rFonts w:ascii="Times New Roman" w:hAnsi="Times New Roman"/>
          <w:sz w:val="22"/>
          <w:szCs w:val="22"/>
          <w:lang w:val="nl"/>
        </w:rPr>
        <w:t xml:space="preserve">52 </w:t>
      </w:r>
      <w:r w:rsidR="000D3C6A" w:rsidRPr="00DF6E1E">
        <w:rPr>
          <w:rFonts w:ascii="Times New Roman" w:hAnsi="Times New Roman"/>
          <w:sz w:val="22"/>
          <w:szCs w:val="22"/>
          <w:lang w:val="nl"/>
        </w:rPr>
        <w:t>erkende SVK’</w:t>
      </w:r>
      <w:r w:rsidR="00597334" w:rsidRPr="00DF6E1E">
        <w:rPr>
          <w:rFonts w:ascii="Times New Roman" w:hAnsi="Times New Roman"/>
          <w:sz w:val="22"/>
          <w:szCs w:val="22"/>
          <w:lang w:val="nl"/>
        </w:rPr>
        <w:t>s</w:t>
      </w:r>
      <w:r w:rsidRPr="00DF6E1E">
        <w:rPr>
          <w:rFonts w:ascii="Times New Roman" w:hAnsi="Times New Roman"/>
          <w:sz w:val="22"/>
          <w:szCs w:val="22"/>
          <w:lang w:val="nl"/>
        </w:rPr>
        <w:t xml:space="preserve"> die op </w:t>
      </w:r>
      <w:r w:rsidR="0071047E" w:rsidRPr="00DF6E1E">
        <w:rPr>
          <w:rFonts w:ascii="Times New Roman" w:hAnsi="Times New Roman"/>
          <w:sz w:val="22"/>
          <w:szCs w:val="22"/>
          <w:lang w:val="nl"/>
        </w:rPr>
        <w:t>11 april 2013</w:t>
      </w:r>
      <w:r w:rsidRPr="00DF6E1E">
        <w:rPr>
          <w:rFonts w:ascii="Times New Roman" w:hAnsi="Times New Roman"/>
          <w:sz w:val="22"/>
          <w:szCs w:val="22"/>
          <w:lang w:val="nl"/>
        </w:rPr>
        <w:t xml:space="preserve"> actief zijn</w:t>
      </w:r>
      <w:r w:rsidR="000D3C6A" w:rsidRPr="00DF6E1E">
        <w:rPr>
          <w:rFonts w:ascii="Times New Roman" w:hAnsi="Times New Roman"/>
          <w:sz w:val="22"/>
          <w:szCs w:val="22"/>
          <w:lang w:val="nl"/>
        </w:rPr>
        <w:t>,</w:t>
      </w:r>
      <w:r w:rsidRPr="00DF6E1E">
        <w:rPr>
          <w:rFonts w:ascii="Times New Roman" w:hAnsi="Times New Roman"/>
          <w:sz w:val="22"/>
          <w:szCs w:val="22"/>
          <w:lang w:val="nl"/>
        </w:rPr>
        <w:t xml:space="preserve"> vindt u terug </w:t>
      </w:r>
      <w:r w:rsidR="0071047E" w:rsidRPr="00DF6E1E">
        <w:rPr>
          <w:rFonts w:ascii="Times New Roman" w:hAnsi="Times New Roman"/>
          <w:sz w:val="22"/>
          <w:szCs w:val="22"/>
          <w:lang w:val="nl"/>
        </w:rPr>
        <w:t xml:space="preserve">in het Excel-bestand in bijlage, </w:t>
      </w:r>
      <w:r w:rsidRPr="00DF6E1E">
        <w:rPr>
          <w:rFonts w:ascii="Times New Roman" w:hAnsi="Times New Roman"/>
          <w:sz w:val="22"/>
          <w:szCs w:val="22"/>
          <w:lang w:val="nl"/>
        </w:rPr>
        <w:t>tabblad ‘vraag 1’.</w:t>
      </w:r>
      <w:r w:rsidR="00597334" w:rsidRPr="00DF6E1E">
        <w:rPr>
          <w:rFonts w:ascii="Times New Roman" w:hAnsi="Times New Roman"/>
          <w:sz w:val="22"/>
          <w:szCs w:val="22"/>
          <w:lang w:val="nl"/>
        </w:rPr>
        <w:t xml:space="preserve"> Er zijn ook niet-erkende SVK's, maar die worden in dit antwoord verder niet meegenomen.</w:t>
      </w:r>
    </w:p>
    <w:p w:rsidR="00D13C6C" w:rsidRPr="00DF6E1E" w:rsidRDefault="00D13C6C" w:rsidP="00D13C6C">
      <w:pPr>
        <w:pStyle w:val="Lijstalinea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2"/>
          <w:szCs w:val="22"/>
          <w:lang w:val="nl"/>
        </w:rPr>
      </w:pPr>
    </w:p>
    <w:p w:rsidR="001E6F44" w:rsidRPr="00DF6E1E" w:rsidRDefault="001E6F44" w:rsidP="00D13C6C">
      <w:pPr>
        <w:pStyle w:val="Lijstaline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Een overzicht van het aantal voltijdsequivalenten (VTE)</w:t>
      </w:r>
      <w:r w:rsidR="0071047E" w:rsidRPr="00DF6E1E">
        <w:rPr>
          <w:rFonts w:ascii="Times New Roman" w:hAnsi="Times New Roman"/>
          <w:sz w:val="22"/>
          <w:szCs w:val="22"/>
          <w:lang w:val="nl"/>
        </w:rPr>
        <w:t xml:space="preserve"> die de SVK’s tewerktstelden op 31.12.2012 vindt u terug in het Excel-bestand in bijlage, tabblad ‘vraag 2’.</w:t>
      </w:r>
    </w:p>
    <w:p w:rsidR="0071047E" w:rsidRPr="00DF6E1E" w:rsidRDefault="0071047E" w:rsidP="00D13C6C">
      <w:pPr>
        <w:pStyle w:val="Lijstalinea"/>
        <w:spacing w:after="0" w:line="240" w:lineRule="auto"/>
        <w:jc w:val="both"/>
        <w:rPr>
          <w:rFonts w:ascii="Times New Roman" w:hAnsi="Times New Roman"/>
          <w:sz w:val="22"/>
          <w:szCs w:val="22"/>
          <w:lang w:val="nl"/>
        </w:rPr>
      </w:pPr>
    </w:p>
    <w:p w:rsidR="0071047E" w:rsidRPr="00DF6E1E" w:rsidRDefault="00976BF4" w:rsidP="00D13C6C">
      <w:pPr>
        <w:pStyle w:val="Lijstalinea"/>
        <w:spacing w:after="0" w:line="240" w:lineRule="auto"/>
        <w:ind w:left="363"/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 xml:space="preserve">In een aantal gevallen (vb. SVK De Poort vzw, SVK-vereniging Regio Izegem) hebben deze organisaties een veel bredere werking dan </w:t>
      </w:r>
      <w:r w:rsidR="00315895" w:rsidRPr="00DF6E1E">
        <w:rPr>
          <w:rFonts w:ascii="Times New Roman" w:hAnsi="Times New Roman"/>
          <w:sz w:val="22"/>
          <w:szCs w:val="22"/>
          <w:lang w:val="nl"/>
        </w:rPr>
        <w:t xml:space="preserve">alleen maar </w:t>
      </w:r>
      <w:r w:rsidRPr="00DF6E1E">
        <w:rPr>
          <w:rFonts w:ascii="Times New Roman" w:hAnsi="Times New Roman"/>
          <w:sz w:val="22"/>
          <w:szCs w:val="22"/>
          <w:lang w:val="nl"/>
        </w:rPr>
        <w:t xml:space="preserve">een SVK. Bovenstaande voorbeelden </w:t>
      </w:r>
      <w:r w:rsidR="00315895" w:rsidRPr="00DF6E1E">
        <w:rPr>
          <w:rFonts w:ascii="Times New Roman" w:hAnsi="Times New Roman"/>
          <w:sz w:val="22"/>
          <w:szCs w:val="22"/>
          <w:lang w:val="nl"/>
        </w:rPr>
        <w:t xml:space="preserve">omvatten </w:t>
      </w:r>
      <w:r w:rsidRPr="00DF6E1E">
        <w:rPr>
          <w:rFonts w:ascii="Times New Roman" w:hAnsi="Times New Roman"/>
          <w:sz w:val="22"/>
          <w:szCs w:val="22"/>
          <w:lang w:val="nl"/>
        </w:rPr>
        <w:t xml:space="preserve">ook een sociaal tewerkstellingsproject waarbij </w:t>
      </w:r>
      <w:r w:rsidR="003A6B49" w:rsidRPr="00DF6E1E">
        <w:rPr>
          <w:rFonts w:ascii="Times New Roman" w:hAnsi="Times New Roman"/>
          <w:sz w:val="22"/>
          <w:szCs w:val="22"/>
          <w:lang w:val="nl"/>
        </w:rPr>
        <w:t>een grote groep</w:t>
      </w:r>
      <w:r w:rsidRPr="00DF6E1E">
        <w:rPr>
          <w:rFonts w:ascii="Times New Roman" w:hAnsi="Times New Roman"/>
          <w:sz w:val="22"/>
          <w:szCs w:val="22"/>
          <w:lang w:val="nl"/>
        </w:rPr>
        <w:t xml:space="preserve"> personeelsleden </w:t>
      </w:r>
      <w:r w:rsidR="003A6B49" w:rsidRPr="00DF6E1E">
        <w:rPr>
          <w:rFonts w:ascii="Times New Roman" w:hAnsi="Times New Roman"/>
          <w:sz w:val="22"/>
          <w:szCs w:val="22"/>
          <w:lang w:val="nl"/>
        </w:rPr>
        <w:t>gefinancierd word</w:t>
      </w:r>
      <w:r w:rsidR="00315895" w:rsidRPr="00DF6E1E">
        <w:rPr>
          <w:rFonts w:ascii="Times New Roman" w:hAnsi="Times New Roman"/>
          <w:sz w:val="22"/>
          <w:szCs w:val="22"/>
          <w:lang w:val="nl"/>
        </w:rPr>
        <w:t>t</w:t>
      </w:r>
      <w:r w:rsidR="003A6B49" w:rsidRPr="00DF6E1E">
        <w:rPr>
          <w:rFonts w:ascii="Times New Roman" w:hAnsi="Times New Roman"/>
          <w:sz w:val="22"/>
          <w:szCs w:val="22"/>
          <w:lang w:val="nl"/>
        </w:rPr>
        <w:t xml:space="preserve"> via tegemoetkomingen voor sociale tewerkstelling (WEP+, art. 60, …) en </w:t>
      </w:r>
      <w:r w:rsidRPr="00DF6E1E">
        <w:rPr>
          <w:rFonts w:ascii="Times New Roman" w:hAnsi="Times New Roman"/>
          <w:sz w:val="22"/>
          <w:szCs w:val="22"/>
          <w:lang w:val="nl"/>
        </w:rPr>
        <w:t xml:space="preserve">slechts sporadisch of misschien zelfs helemaal niet </w:t>
      </w:r>
      <w:r w:rsidR="003A6B49" w:rsidRPr="00DF6E1E">
        <w:rPr>
          <w:rFonts w:ascii="Times New Roman" w:hAnsi="Times New Roman"/>
          <w:sz w:val="22"/>
          <w:szCs w:val="22"/>
          <w:lang w:val="nl"/>
        </w:rPr>
        <w:t>ingezet word</w:t>
      </w:r>
      <w:r w:rsidR="00315895" w:rsidRPr="00DF6E1E">
        <w:rPr>
          <w:rFonts w:ascii="Times New Roman" w:hAnsi="Times New Roman"/>
          <w:sz w:val="22"/>
          <w:szCs w:val="22"/>
          <w:lang w:val="nl"/>
        </w:rPr>
        <w:t>t</w:t>
      </w:r>
      <w:r w:rsidR="003A6B49" w:rsidRPr="00DF6E1E">
        <w:rPr>
          <w:rFonts w:ascii="Times New Roman" w:hAnsi="Times New Roman"/>
          <w:sz w:val="22"/>
          <w:szCs w:val="22"/>
          <w:lang w:val="nl"/>
        </w:rPr>
        <w:t xml:space="preserve"> binnen </w:t>
      </w:r>
      <w:r w:rsidR="00315895" w:rsidRPr="00DF6E1E">
        <w:rPr>
          <w:rFonts w:ascii="Times New Roman" w:hAnsi="Times New Roman"/>
          <w:sz w:val="22"/>
          <w:szCs w:val="22"/>
          <w:lang w:val="nl"/>
        </w:rPr>
        <w:t xml:space="preserve">de </w:t>
      </w:r>
      <w:r w:rsidR="003A6B49" w:rsidRPr="00DF6E1E">
        <w:rPr>
          <w:rFonts w:ascii="Times New Roman" w:hAnsi="Times New Roman"/>
          <w:sz w:val="22"/>
          <w:szCs w:val="22"/>
          <w:lang w:val="nl"/>
        </w:rPr>
        <w:t>effectieve ‘SVK-werking’</w:t>
      </w:r>
      <w:r w:rsidRPr="00DF6E1E">
        <w:rPr>
          <w:rFonts w:ascii="Times New Roman" w:hAnsi="Times New Roman"/>
          <w:sz w:val="22"/>
          <w:szCs w:val="22"/>
          <w:lang w:val="nl"/>
        </w:rPr>
        <w:t xml:space="preserve">. </w:t>
      </w:r>
    </w:p>
    <w:p w:rsidR="00976BF4" w:rsidRPr="00DF6E1E" w:rsidRDefault="00976BF4" w:rsidP="00D13C6C">
      <w:pPr>
        <w:pStyle w:val="Lijstalinea"/>
        <w:spacing w:after="0" w:line="240" w:lineRule="auto"/>
        <w:ind w:left="708"/>
        <w:jc w:val="both"/>
        <w:rPr>
          <w:rFonts w:ascii="Times New Roman" w:hAnsi="Times New Roman"/>
          <w:sz w:val="22"/>
          <w:szCs w:val="22"/>
          <w:lang w:val="nl"/>
        </w:rPr>
      </w:pPr>
    </w:p>
    <w:p w:rsidR="00976BF4" w:rsidRPr="00DF6E1E" w:rsidRDefault="00315895" w:rsidP="00D13C6C">
      <w:pPr>
        <w:pStyle w:val="Lijstalinea"/>
        <w:spacing w:after="0" w:line="240" w:lineRule="auto"/>
        <w:ind w:left="363"/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 xml:space="preserve">Ook </w:t>
      </w:r>
      <w:r w:rsidR="00976BF4" w:rsidRPr="00DF6E1E">
        <w:rPr>
          <w:rFonts w:ascii="Times New Roman" w:hAnsi="Times New Roman"/>
          <w:sz w:val="22"/>
          <w:szCs w:val="22"/>
          <w:lang w:val="nl"/>
        </w:rPr>
        <w:t xml:space="preserve">vult de overgrote meerderheid van de </w:t>
      </w:r>
      <w:r w:rsidR="003A6B49" w:rsidRPr="00DF6E1E">
        <w:rPr>
          <w:rFonts w:ascii="Times New Roman" w:hAnsi="Times New Roman"/>
          <w:sz w:val="22"/>
          <w:szCs w:val="22"/>
          <w:lang w:val="nl"/>
        </w:rPr>
        <w:t xml:space="preserve">gesubsidieerde </w:t>
      </w:r>
      <w:r w:rsidR="00976BF4" w:rsidRPr="00DF6E1E">
        <w:rPr>
          <w:rFonts w:ascii="Times New Roman" w:hAnsi="Times New Roman"/>
          <w:sz w:val="22"/>
          <w:szCs w:val="22"/>
          <w:lang w:val="nl"/>
        </w:rPr>
        <w:t>SVK’s hun Vlaamse subsidies aan met andere middelen (bijvoorbeeld van de lokale besturen</w:t>
      </w:r>
      <w:r w:rsidR="003A6B49" w:rsidRPr="00DF6E1E">
        <w:rPr>
          <w:rFonts w:ascii="Times New Roman" w:hAnsi="Times New Roman"/>
          <w:sz w:val="22"/>
          <w:szCs w:val="22"/>
          <w:lang w:val="nl"/>
        </w:rPr>
        <w:t>, sociale maribel, …</w:t>
      </w:r>
      <w:r w:rsidR="00976BF4" w:rsidRPr="00DF6E1E">
        <w:rPr>
          <w:rFonts w:ascii="Times New Roman" w:hAnsi="Times New Roman"/>
          <w:sz w:val="22"/>
          <w:szCs w:val="22"/>
          <w:lang w:val="nl"/>
        </w:rPr>
        <w:t xml:space="preserve">), die ook worden ingezet om personeel te betalen. </w:t>
      </w:r>
      <w:r w:rsidR="00967B51" w:rsidRPr="00DF6E1E">
        <w:rPr>
          <w:rFonts w:ascii="Times New Roman" w:hAnsi="Times New Roman"/>
          <w:sz w:val="22"/>
          <w:szCs w:val="22"/>
          <w:lang w:val="nl"/>
        </w:rPr>
        <w:t>Al deze personeelsleden zijn meegeteld in de VTE-cijfers.</w:t>
      </w:r>
    </w:p>
    <w:p w:rsidR="0071047E" w:rsidRPr="00DF6E1E" w:rsidRDefault="0071047E" w:rsidP="00D13C6C">
      <w:pPr>
        <w:pStyle w:val="Lijstalinea"/>
        <w:spacing w:after="0" w:line="240" w:lineRule="auto"/>
        <w:jc w:val="both"/>
        <w:rPr>
          <w:rFonts w:ascii="Times New Roman" w:hAnsi="Times New Roman"/>
          <w:sz w:val="22"/>
          <w:szCs w:val="22"/>
          <w:lang w:val="nl"/>
        </w:rPr>
      </w:pPr>
    </w:p>
    <w:p w:rsidR="0080425C" w:rsidRDefault="009D4CDF" w:rsidP="00D13C6C">
      <w:pPr>
        <w:pStyle w:val="Lijstaline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 xml:space="preserve">In 2012 waren er 44 gesubsidieerde SVK’s. </w:t>
      </w:r>
      <w:r w:rsidR="00976BF4" w:rsidRPr="00DF6E1E">
        <w:rPr>
          <w:rFonts w:ascii="Times New Roman" w:hAnsi="Times New Roman"/>
          <w:sz w:val="22"/>
          <w:szCs w:val="22"/>
          <w:lang w:val="nl"/>
        </w:rPr>
        <w:t>I</w:t>
      </w:r>
      <w:r w:rsidRPr="00DF6E1E">
        <w:rPr>
          <w:rFonts w:ascii="Times New Roman" w:hAnsi="Times New Roman"/>
          <w:sz w:val="22"/>
          <w:szCs w:val="22"/>
          <w:lang w:val="nl"/>
        </w:rPr>
        <w:t>n 2013 zijn d</w:t>
      </w:r>
      <w:r w:rsidR="00315895" w:rsidRPr="00DF6E1E">
        <w:rPr>
          <w:rFonts w:ascii="Times New Roman" w:hAnsi="Times New Roman"/>
          <w:sz w:val="22"/>
          <w:szCs w:val="22"/>
          <w:lang w:val="nl"/>
        </w:rPr>
        <w:t>a</w:t>
      </w:r>
      <w:r w:rsidRPr="00DF6E1E">
        <w:rPr>
          <w:rFonts w:ascii="Times New Roman" w:hAnsi="Times New Roman"/>
          <w:sz w:val="22"/>
          <w:szCs w:val="22"/>
          <w:lang w:val="nl"/>
        </w:rPr>
        <w:t>t er 45. Een overzicht van de gesubsidieerde SVK’s en de personeel- en werkingssubsidie die aan hen werd toegekend in 2012 en 2013, vindt u terug in het Excel-bestand in bijlage, tabblad ‘vraag 3’.</w:t>
      </w:r>
      <w:r w:rsidR="00053275" w:rsidRPr="00DF6E1E">
        <w:rPr>
          <w:rFonts w:ascii="Times New Roman" w:hAnsi="Times New Roman"/>
          <w:sz w:val="22"/>
          <w:szCs w:val="22"/>
          <w:lang w:val="nl"/>
        </w:rPr>
        <w:t xml:space="preserve"> De andere erkende SVK’s </w:t>
      </w:r>
      <w:r w:rsidR="00976BF4" w:rsidRPr="00DF6E1E">
        <w:rPr>
          <w:rFonts w:ascii="Times New Roman" w:hAnsi="Times New Roman"/>
          <w:sz w:val="22"/>
          <w:szCs w:val="22"/>
          <w:lang w:val="nl"/>
        </w:rPr>
        <w:t>ontvangen</w:t>
      </w:r>
      <w:r w:rsidR="00053275" w:rsidRPr="00DF6E1E">
        <w:rPr>
          <w:rFonts w:ascii="Times New Roman" w:hAnsi="Times New Roman"/>
          <w:sz w:val="22"/>
          <w:szCs w:val="22"/>
          <w:lang w:val="nl"/>
        </w:rPr>
        <w:t xml:space="preserve"> geen subsidie.</w:t>
      </w:r>
      <w:r w:rsidR="00753F95" w:rsidRPr="00DF6E1E">
        <w:rPr>
          <w:rFonts w:ascii="Times New Roman" w:hAnsi="Times New Roman"/>
          <w:sz w:val="22"/>
          <w:szCs w:val="22"/>
          <w:lang w:val="nl"/>
        </w:rPr>
        <w:t xml:space="preserve"> Het effectief aan de SVK’s uitgekeerde bedrag kan mogelijk lager liggen, aangezien de subsidies pas worden uitbetaald na de controle van de bewijsstukken door het agentschap Wonen-Vlaanderen.</w:t>
      </w:r>
    </w:p>
    <w:p w:rsidR="00D13C6C" w:rsidRPr="00DF6E1E" w:rsidRDefault="00D13C6C" w:rsidP="00D13C6C">
      <w:pPr>
        <w:pStyle w:val="Lijstalinea"/>
        <w:spacing w:after="0" w:line="240" w:lineRule="auto"/>
        <w:ind w:left="363"/>
        <w:contextualSpacing w:val="0"/>
        <w:jc w:val="both"/>
        <w:rPr>
          <w:rFonts w:ascii="Times New Roman" w:hAnsi="Times New Roman"/>
          <w:sz w:val="22"/>
          <w:szCs w:val="22"/>
          <w:lang w:val="nl"/>
        </w:rPr>
      </w:pPr>
    </w:p>
    <w:p w:rsidR="009D4CDF" w:rsidRDefault="009D4CDF" w:rsidP="00D13C6C">
      <w:pPr>
        <w:pStyle w:val="Lijstaline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Op 31.12.2012 hadden alle erkende SVK’s samen 6401 woningen in beheer. Een opsplitsing per erkend SVK vindt u terug in het Excel-</w:t>
      </w:r>
      <w:r w:rsidR="001B2322" w:rsidRPr="00DF6E1E">
        <w:rPr>
          <w:rFonts w:ascii="Times New Roman" w:hAnsi="Times New Roman"/>
          <w:sz w:val="22"/>
          <w:szCs w:val="22"/>
          <w:lang w:val="nl"/>
        </w:rPr>
        <w:t>bestand</w:t>
      </w:r>
      <w:r w:rsidRPr="00DF6E1E">
        <w:rPr>
          <w:rFonts w:ascii="Times New Roman" w:hAnsi="Times New Roman"/>
          <w:sz w:val="22"/>
          <w:szCs w:val="22"/>
          <w:lang w:val="nl"/>
        </w:rPr>
        <w:t xml:space="preserve"> in bijlage, tabblad ‘vraag 4’.</w:t>
      </w:r>
    </w:p>
    <w:p w:rsidR="00D13C6C" w:rsidRPr="00D13C6C" w:rsidRDefault="00D13C6C" w:rsidP="00D13C6C">
      <w:pPr>
        <w:jc w:val="both"/>
        <w:rPr>
          <w:szCs w:val="22"/>
          <w:lang w:val="nl"/>
        </w:rPr>
      </w:pPr>
    </w:p>
    <w:p w:rsidR="009D4CDF" w:rsidRDefault="009D4CDF" w:rsidP="00D13C6C">
      <w:pPr>
        <w:pStyle w:val="Lijstaline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 xml:space="preserve">Op 31.12.2012 waren er 190 woningen </w:t>
      </w:r>
      <w:r w:rsidR="00053275" w:rsidRPr="00DF6E1E">
        <w:rPr>
          <w:rFonts w:ascii="Times New Roman" w:hAnsi="Times New Roman"/>
          <w:sz w:val="22"/>
          <w:szCs w:val="22"/>
          <w:lang w:val="nl"/>
        </w:rPr>
        <w:t xml:space="preserve">in beheer van een SVK </w:t>
      </w:r>
      <w:r w:rsidRPr="00DF6E1E">
        <w:rPr>
          <w:rFonts w:ascii="Times New Roman" w:hAnsi="Times New Roman"/>
          <w:sz w:val="22"/>
          <w:szCs w:val="22"/>
          <w:lang w:val="nl"/>
        </w:rPr>
        <w:t>die (nog) niet werden toegewezen aan een kandidaat</w:t>
      </w:r>
      <w:r w:rsidR="00D31CD2" w:rsidRPr="00DF6E1E">
        <w:rPr>
          <w:rFonts w:ascii="Times New Roman" w:hAnsi="Times New Roman"/>
          <w:sz w:val="22"/>
          <w:szCs w:val="22"/>
          <w:lang w:val="nl"/>
        </w:rPr>
        <w:t>-</w:t>
      </w:r>
      <w:r w:rsidRPr="00DF6E1E">
        <w:rPr>
          <w:rFonts w:ascii="Times New Roman" w:hAnsi="Times New Roman"/>
          <w:sz w:val="22"/>
          <w:szCs w:val="22"/>
          <w:lang w:val="nl"/>
        </w:rPr>
        <w:t xml:space="preserve">huurder. Ten opzichte van het totaal aantal woningen in beheer is er een leegstand van 2,97%. In het Excel-bestand in bijlage vindt u per erkend SVK het aantal </w:t>
      </w:r>
      <w:r w:rsidR="00D31CD2" w:rsidRPr="00DF6E1E">
        <w:rPr>
          <w:rFonts w:ascii="Times New Roman" w:hAnsi="Times New Roman"/>
          <w:sz w:val="22"/>
          <w:szCs w:val="22"/>
          <w:lang w:val="nl"/>
        </w:rPr>
        <w:t xml:space="preserve">leegstaande woningen </w:t>
      </w:r>
      <w:r w:rsidRPr="00DF6E1E">
        <w:rPr>
          <w:rFonts w:ascii="Times New Roman" w:hAnsi="Times New Roman"/>
          <w:sz w:val="22"/>
          <w:szCs w:val="22"/>
          <w:lang w:val="nl"/>
        </w:rPr>
        <w:t>op 31.12.2012.</w:t>
      </w:r>
    </w:p>
    <w:p w:rsidR="00D13C6C" w:rsidRPr="00D13C6C" w:rsidRDefault="00D13C6C" w:rsidP="00D13C6C">
      <w:pPr>
        <w:jc w:val="both"/>
        <w:rPr>
          <w:szCs w:val="22"/>
          <w:lang w:val="nl"/>
        </w:rPr>
      </w:pPr>
    </w:p>
    <w:p w:rsidR="00053275" w:rsidRPr="00DF6E1E" w:rsidRDefault="00466CE2" w:rsidP="00D13C6C">
      <w:pPr>
        <w:pStyle w:val="Lijstaline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 xml:space="preserve">In 2012 kregen 1731 woningzoekenden </w:t>
      </w:r>
      <w:r w:rsidR="00053275" w:rsidRPr="00DF6E1E">
        <w:rPr>
          <w:rFonts w:ascii="Times New Roman" w:hAnsi="Times New Roman"/>
          <w:sz w:val="22"/>
          <w:szCs w:val="22"/>
          <w:lang w:val="nl"/>
        </w:rPr>
        <w:t xml:space="preserve">die zich hadden ingeschreven bij een erkend SVK, </w:t>
      </w:r>
      <w:r w:rsidRPr="00DF6E1E">
        <w:rPr>
          <w:rFonts w:ascii="Times New Roman" w:hAnsi="Times New Roman"/>
          <w:sz w:val="22"/>
          <w:szCs w:val="22"/>
          <w:lang w:val="nl"/>
        </w:rPr>
        <w:t>een woning toegewezen. Onderstaande tabel geeft een overzicht van de toewijzingen, opgesplist op basis van de gezinssamenstelling</w:t>
      </w:r>
      <w:r w:rsidR="00053275" w:rsidRPr="00DF6E1E">
        <w:rPr>
          <w:rFonts w:ascii="Times New Roman" w:hAnsi="Times New Roman"/>
          <w:sz w:val="22"/>
          <w:szCs w:val="22"/>
          <w:lang w:val="nl"/>
        </w:rPr>
        <w:t>. Er wordt een onderscheid gemaakt tussen vier soorten gezinssamenstellingen:</w:t>
      </w:r>
    </w:p>
    <w:p w:rsidR="00053275" w:rsidRPr="00DF6E1E" w:rsidRDefault="00053275" w:rsidP="00D13C6C">
      <w:pPr>
        <w:pStyle w:val="Lijstaline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Alleenstaanden zonder kinderen,</w:t>
      </w:r>
    </w:p>
    <w:p w:rsidR="00053275" w:rsidRPr="00DF6E1E" w:rsidRDefault="00053275" w:rsidP="00D13C6C">
      <w:pPr>
        <w:pStyle w:val="Lijstaline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Samenwonenden en gehuwden zonder kinderen,</w:t>
      </w:r>
    </w:p>
    <w:p w:rsidR="00053275" w:rsidRPr="00DF6E1E" w:rsidRDefault="00053275" w:rsidP="00D13C6C">
      <w:pPr>
        <w:pStyle w:val="Lijstaline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Samenwonenden en gehuwden met kinderen,</w:t>
      </w:r>
    </w:p>
    <w:p w:rsidR="00053275" w:rsidRPr="00DF6E1E" w:rsidRDefault="00053275" w:rsidP="00D13C6C">
      <w:pPr>
        <w:pStyle w:val="Lijstaline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Alleenstaanden met kinderen.</w:t>
      </w:r>
    </w:p>
    <w:p w:rsidR="00466CE2" w:rsidRPr="00DF6E1E" w:rsidRDefault="00053275" w:rsidP="00D13C6C">
      <w:pPr>
        <w:ind w:left="426"/>
        <w:jc w:val="both"/>
        <w:rPr>
          <w:szCs w:val="22"/>
          <w:lang w:val="nl"/>
        </w:rPr>
      </w:pPr>
      <w:r w:rsidRPr="00DF6E1E">
        <w:rPr>
          <w:szCs w:val="22"/>
          <w:lang w:val="nl"/>
        </w:rPr>
        <w:t xml:space="preserve">Gegevens over het aantal nieuw samengestelde gezinnen die een woning kregen toegwezen, </w:t>
      </w:r>
      <w:r w:rsidR="007243D3" w:rsidRPr="00DF6E1E">
        <w:rPr>
          <w:szCs w:val="22"/>
          <w:lang w:val="nl"/>
        </w:rPr>
        <w:t>zijn</w:t>
      </w:r>
      <w:r w:rsidRPr="00DF6E1E">
        <w:rPr>
          <w:szCs w:val="22"/>
          <w:lang w:val="nl"/>
        </w:rPr>
        <w:t xml:space="preserve"> niet beschikbaar. Nieuw samengestelde gezinnen worden mee ondergebracht onder </w:t>
      </w:r>
      <w:r w:rsidR="007243D3" w:rsidRPr="00DF6E1E">
        <w:rPr>
          <w:szCs w:val="22"/>
          <w:lang w:val="nl"/>
        </w:rPr>
        <w:t>de noemer ‘samenwonenden en gehuwden’.</w:t>
      </w:r>
    </w:p>
    <w:tbl>
      <w:tblPr>
        <w:tblW w:w="836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992"/>
        <w:gridCol w:w="2551"/>
      </w:tblGrid>
      <w:tr w:rsidR="00466CE2" w:rsidRPr="00DF6E1E" w:rsidTr="00053275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466CE2" w:rsidRPr="00DF6E1E" w:rsidRDefault="00466CE2" w:rsidP="00466CE2">
            <w:pPr>
              <w:jc w:val="both"/>
              <w:rPr>
                <w:b/>
                <w:bCs/>
                <w:color w:val="FFFFFF"/>
                <w:szCs w:val="22"/>
                <w:lang w:val="nl-BE" w:eastAsia="nl-BE"/>
              </w:rPr>
            </w:pPr>
            <w:r w:rsidRPr="00DF6E1E">
              <w:rPr>
                <w:b/>
                <w:bCs/>
                <w:color w:val="FFFFFF"/>
                <w:szCs w:val="22"/>
                <w:lang w:val="nl-BE" w:eastAsia="nl-BE"/>
              </w:rPr>
              <w:lastRenderedPageBreak/>
              <w:t>Gezinssamenstelling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466CE2" w:rsidRPr="00DF6E1E" w:rsidRDefault="00466CE2" w:rsidP="00466CE2">
            <w:pPr>
              <w:jc w:val="both"/>
              <w:rPr>
                <w:b/>
                <w:bCs/>
                <w:color w:val="FFFFFF"/>
                <w:szCs w:val="22"/>
                <w:lang w:val="nl-BE" w:eastAsia="nl-BE"/>
              </w:rPr>
            </w:pPr>
            <w:r w:rsidRPr="00DF6E1E">
              <w:rPr>
                <w:b/>
                <w:bCs/>
                <w:color w:val="FFFFFF"/>
                <w:szCs w:val="22"/>
                <w:lang w:val="nl-BE" w:eastAsia="nl-BE"/>
              </w:rPr>
              <w:t>Aantal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466CE2" w:rsidRPr="00DF6E1E" w:rsidRDefault="00466CE2" w:rsidP="00466CE2">
            <w:pPr>
              <w:jc w:val="both"/>
              <w:rPr>
                <w:b/>
                <w:bCs/>
                <w:color w:val="FFFFFF"/>
                <w:szCs w:val="22"/>
                <w:lang w:val="nl-BE" w:eastAsia="nl-BE"/>
              </w:rPr>
            </w:pPr>
            <w:r w:rsidRPr="00DF6E1E">
              <w:rPr>
                <w:b/>
                <w:bCs/>
                <w:color w:val="FFFFFF"/>
                <w:szCs w:val="22"/>
                <w:lang w:val="nl-BE" w:eastAsia="nl-BE"/>
              </w:rPr>
              <w:t>% van aantal toewijzingen</w:t>
            </w:r>
          </w:p>
        </w:tc>
      </w:tr>
      <w:tr w:rsidR="00466CE2" w:rsidRPr="00DF6E1E" w:rsidTr="00053275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466CE2" w:rsidRPr="00DF6E1E" w:rsidRDefault="00466CE2" w:rsidP="00466CE2">
            <w:pPr>
              <w:jc w:val="both"/>
              <w:rPr>
                <w:color w:val="000000"/>
                <w:szCs w:val="22"/>
                <w:lang w:val="nl-BE" w:eastAsia="nl-BE"/>
              </w:rPr>
            </w:pPr>
            <w:r w:rsidRPr="00DF6E1E">
              <w:rPr>
                <w:color w:val="000000"/>
                <w:szCs w:val="22"/>
                <w:lang w:val="nl-BE" w:eastAsia="nl-BE"/>
              </w:rPr>
              <w:t xml:space="preserve">Alleenstaanden </w:t>
            </w:r>
            <w:r w:rsidR="00053275" w:rsidRPr="00DF6E1E">
              <w:rPr>
                <w:color w:val="000000"/>
                <w:szCs w:val="22"/>
                <w:lang w:val="nl-BE" w:eastAsia="nl-BE"/>
              </w:rPr>
              <w:t>zonder kinderen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466CE2" w:rsidRPr="00DF6E1E" w:rsidRDefault="00466CE2" w:rsidP="00466CE2">
            <w:pPr>
              <w:jc w:val="both"/>
              <w:rPr>
                <w:color w:val="000000"/>
                <w:szCs w:val="22"/>
                <w:lang w:val="nl-BE" w:eastAsia="nl-BE"/>
              </w:rPr>
            </w:pPr>
            <w:r w:rsidRPr="00DF6E1E">
              <w:rPr>
                <w:color w:val="000000"/>
                <w:szCs w:val="22"/>
                <w:lang w:val="nl-BE" w:eastAsia="nl-BE"/>
              </w:rPr>
              <w:t>789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466CE2" w:rsidRPr="00DF6E1E" w:rsidRDefault="00466CE2" w:rsidP="00466CE2">
            <w:pPr>
              <w:jc w:val="both"/>
              <w:rPr>
                <w:color w:val="000000"/>
                <w:szCs w:val="22"/>
                <w:lang w:val="nl-BE" w:eastAsia="nl-BE"/>
              </w:rPr>
            </w:pPr>
            <w:r w:rsidRPr="00DF6E1E">
              <w:rPr>
                <w:color w:val="000000"/>
                <w:szCs w:val="22"/>
                <w:lang w:val="nl-BE" w:eastAsia="nl-BE"/>
              </w:rPr>
              <w:t>45,58%</w:t>
            </w:r>
          </w:p>
        </w:tc>
      </w:tr>
      <w:tr w:rsidR="00466CE2" w:rsidRPr="00DF6E1E" w:rsidTr="00053275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466CE2" w:rsidRPr="00DF6E1E" w:rsidRDefault="00466CE2" w:rsidP="00466CE2">
            <w:pPr>
              <w:jc w:val="both"/>
              <w:rPr>
                <w:color w:val="000000"/>
                <w:szCs w:val="22"/>
                <w:lang w:val="nl-BE" w:eastAsia="nl-BE"/>
              </w:rPr>
            </w:pPr>
            <w:r w:rsidRPr="00DF6E1E">
              <w:rPr>
                <w:color w:val="000000"/>
                <w:szCs w:val="22"/>
                <w:lang w:val="nl-BE" w:eastAsia="nl-BE"/>
              </w:rPr>
              <w:t>Samenwonenden en gehuwden</w:t>
            </w:r>
            <w:r w:rsidR="00053275" w:rsidRPr="00DF6E1E">
              <w:rPr>
                <w:color w:val="000000"/>
                <w:szCs w:val="22"/>
                <w:lang w:val="nl-BE" w:eastAsia="nl-BE"/>
              </w:rPr>
              <w:t xml:space="preserve"> zonder kinderen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466CE2" w:rsidRPr="00DF6E1E" w:rsidRDefault="00466CE2" w:rsidP="00466CE2">
            <w:pPr>
              <w:jc w:val="both"/>
              <w:rPr>
                <w:color w:val="000000"/>
                <w:szCs w:val="22"/>
                <w:lang w:val="nl-BE" w:eastAsia="nl-BE"/>
              </w:rPr>
            </w:pPr>
            <w:r w:rsidRPr="00DF6E1E">
              <w:rPr>
                <w:color w:val="000000"/>
                <w:szCs w:val="22"/>
                <w:lang w:val="nl-BE" w:eastAsia="nl-BE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466CE2" w:rsidRPr="00DF6E1E" w:rsidRDefault="00466CE2" w:rsidP="00466CE2">
            <w:pPr>
              <w:jc w:val="both"/>
              <w:rPr>
                <w:color w:val="000000"/>
                <w:szCs w:val="22"/>
                <w:lang w:val="nl-BE" w:eastAsia="nl-BE"/>
              </w:rPr>
            </w:pPr>
            <w:r w:rsidRPr="00DF6E1E">
              <w:rPr>
                <w:color w:val="000000"/>
                <w:szCs w:val="22"/>
                <w:lang w:val="nl-BE" w:eastAsia="nl-BE"/>
              </w:rPr>
              <w:t>3,12%</w:t>
            </w:r>
          </w:p>
        </w:tc>
      </w:tr>
      <w:tr w:rsidR="00466CE2" w:rsidRPr="00DF6E1E" w:rsidTr="00053275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466CE2" w:rsidRPr="00DF6E1E" w:rsidRDefault="00053275" w:rsidP="00466CE2">
            <w:pPr>
              <w:jc w:val="both"/>
              <w:rPr>
                <w:color w:val="000000"/>
                <w:szCs w:val="22"/>
                <w:lang w:val="nl-BE" w:eastAsia="nl-BE"/>
              </w:rPr>
            </w:pPr>
            <w:r w:rsidRPr="00DF6E1E">
              <w:rPr>
                <w:color w:val="000000"/>
                <w:szCs w:val="22"/>
                <w:lang w:val="nl-BE" w:eastAsia="nl-BE"/>
              </w:rPr>
              <w:t xml:space="preserve">Samenwonenden en </w:t>
            </w:r>
            <w:r w:rsidR="00466CE2" w:rsidRPr="00DF6E1E">
              <w:rPr>
                <w:color w:val="000000"/>
                <w:szCs w:val="22"/>
                <w:lang w:val="nl-BE" w:eastAsia="nl-BE"/>
              </w:rPr>
              <w:t>gehuwden met kinderen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466CE2" w:rsidRPr="00DF6E1E" w:rsidRDefault="00466CE2" w:rsidP="00466CE2">
            <w:pPr>
              <w:jc w:val="both"/>
              <w:rPr>
                <w:color w:val="000000"/>
                <w:szCs w:val="22"/>
                <w:lang w:val="nl-BE" w:eastAsia="nl-BE"/>
              </w:rPr>
            </w:pPr>
            <w:r w:rsidRPr="00DF6E1E">
              <w:rPr>
                <w:color w:val="000000"/>
                <w:szCs w:val="22"/>
                <w:lang w:val="nl-BE" w:eastAsia="nl-BE"/>
              </w:rPr>
              <w:t>262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466CE2" w:rsidRPr="00DF6E1E" w:rsidRDefault="00466CE2" w:rsidP="00466CE2">
            <w:pPr>
              <w:jc w:val="both"/>
              <w:rPr>
                <w:color w:val="000000"/>
                <w:szCs w:val="22"/>
                <w:lang w:val="nl-BE" w:eastAsia="nl-BE"/>
              </w:rPr>
            </w:pPr>
            <w:r w:rsidRPr="00DF6E1E">
              <w:rPr>
                <w:color w:val="000000"/>
                <w:szCs w:val="22"/>
                <w:lang w:val="nl-BE" w:eastAsia="nl-BE"/>
              </w:rPr>
              <w:t>15,14%</w:t>
            </w:r>
          </w:p>
        </w:tc>
      </w:tr>
      <w:tr w:rsidR="00466CE2" w:rsidRPr="00DF6E1E" w:rsidTr="00053275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466CE2" w:rsidRPr="00DF6E1E" w:rsidRDefault="00466CE2" w:rsidP="00466CE2">
            <w:pPr>
              <w:jc w:val="both"/>
              <w:rPr>
                <w:color w:val="000000"/>
                <w:szCs w:val="22"/>
                <w:lang w:val="nl-BE" w:eastAsia="nl-BE"/>
              </w:rPr>
            </w:pPr>
            <w:r w:rsidRPr="00DF6E1E">
              <w:rPr>
                <w:color w:val="000000"/>
                <w:szCs w:val="22"/>
                <w:lang w:val="nl-BE" w:eastAsia="nl-BE"/>
              </w:rPr>
              <w:t>Alleenstaanden met kinderen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466CE2" w:rsidRPr="00DF6E1E" w:rsidRDefault="00466CE2" w:rsidP="00466CE2">
            <w:pPr>
              <w:jc w:val="both"/>
              <w:rPr>
                <w:color w:val="000000"/>
                <w:szCs w:val="22"/>
                <w:lang w:val="nl-BE" w:eastAsia="nl-BE"/>
              </w:rPr>
            </w:pPr>
            <w:r w:rsidRPr="00DF6E1E">
              <w:rPr>
                <w:color w:val="000000"/>
                <w:szCs w:val="22"/>
                <w:lang w:val="nl-BE" w:eastAsia="nl-BE"/>
              </w:rPr>
              <w:t>625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466CE2" w:rsidRPr="00DF6E1E" w:rsidRDefault="00466CE2" w:rsidP="00466CE2">
            <w:pPr>
              <w:jc w:val="both"/>
              <w:rPr>
                <w:color w:val="000000"/>
                <w:szCs w:val="22"/>
                <w:lang w:val="nl-BE" w:eastAsia="nl-BE"/>
              </w:rPr>
            </w:pPr>
            <w:r w:rsidRPr="00DF6E1E">
              <w:rPr>
                <w:color w:val="000000"/>
                <w:szCs w:val="22"/>
                <w:lang w:val="nl-BE" w:eastAsia="nl-BE"/>
              </w:rPr>
              <w:t>36,11%</w:t>
            </w:r>
          </w:p>
        </w:tc>
      </w:tr>
      <w:tr w:rsidR="00466CE2" w:rsidRPr="00DF6E1E" w:rsidTr="00053275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466CE2" w:rsidRPr="00DF6E1E" w:rsidRDefault="00466CE2" w:rsidP="00466CE2">
            <w:pPr>
              <w:jc w:val="both"/>
              <w:rPr>
                <w:color w:val="000000"/>
                <w:szCs w:val="22"/>
                <w:lang w:val="nl-BE" w:eastAsia="nl-BE"/>
              </w:rPr>
            </w:pPr>
            <w:r w:rsidRPr="00DF6E1E">
              <w:rPr>
                <w:color w:val="000000"/>
                <w:szCs w:val="22"/>
                <w:lang w:val="nl-BE" w:eastAsia="nl-BE"/>
              </w:rPr>
              <w:t>Geen gegevens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466CE2" w:rsidRPr="00DF6E1E" w:rsidRDefault="00466CE2" w:rsidP="00466CE2">
            <w:pPr>
              <w:jc w:val="both"/>
              <w:rPr>
                <w:color w:val="000000"/>
                <w:szCs w:val="22"/>
                <w:lang w:val="nl-BE" w:eastAsia="nl-BE"/>
              </w:rPr>
            </w:pPr>
            <w:r w:rsidRPr="00DF6E1E">
              <w:rPr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466CE2" w:rsidRPr="00DF6E1E" w:rsidRDefault="00466CE2" w:rsidP="00466CE2">
            <w:pPr>
              <w:jc w:val="both"/>
              <w:rPr>
                <w:color w:val="000000"/>
                <w:szCs w:val="22"/>
                <w:lang w:val="nl-BE" w:eastAsia="nl-BE"/>
              </w:rPr>
            </w:pPr>
            <w:r w:rsidRPr="00DF6E1E">
              <w:rPr>
                <w:color w:val="000000"/>
                <w:szCs w:val="22"/>
                <w:lang w:val="nl-BE" w:eastAsia="nl-BE"/>
              </w:rPr>
              <w:t>0,06%</w:t>
            </w:r>
          </w:p>
        </w:tc>
      </w:tr>
    </w:tbl>
    <w:p w:rsidR="00466CE2" w:rsidRPr="00DF6E1E" w:rsidRDefault="00466CE2" w:rsidP="00466CE2">
      <w:pPr>
        <w:jc w:val="both"/>
        <w:rPr>
          <w:szCs w:val="22"/>
          <w:lang w:val="nl"/>
        </w:rPr>
      </w:pPr>
    </w:p>
    <w:p w:rsidR="00466CE2" w:rsidRDefault="00466CE2" w:rsidP="00D13C6C">
      <w:pPr>
        <w:pStyle w:val="Lijstalinea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Een overzicht per erkend SVK vindt u terug in het Excel-</w:t>
      </w:r>
      <w:r w:rsidR="001B2322" w:rsidRPr="00DF6E1E">
        <w:rPr>
          <w:rFonts w:ascii="Times New Roman" w:hAnsi="Times New Roman"/>
          <w:sz w:val="22"/>
          <w:szCs w:val="22"/>
          <w:lang w:val="nl"/>
        </w:rPr>
        <w:t>bestand</w:t>
      </w:r>
      <w:r w:rsidRPr="00DF6E1E">
        <w:rPr>
          <w:rFonts w:ascii="Times New Roman" w:hAnsi="Times New Roman"/>
          <w:sz w:val="22"/>
          <w:szCs w:val="22"/>
          <w:lang w:val="nl"/>
        </w:rPr>
        <w:t xml:space="preserve"> in bijlage, tabblad ‘vraag 6’.</w:t>
      </w:r>
      <w:r w:rsidR="007243D3" w:rsidRPr="00DF6E1E">
        <w:rPr>
          <w:rFonts w:ascii="Times New Roman" w:hAnsi="Times New Roman"/>
          <w:sz w:val="22"/>
          <w:szCs w:val="22"/>
          <w:lang w:val="nl"/>
        </w:rPr>
        <w:t xml:space="preserve"> </w:t>
      </w:r>
      <w:r w:rsidRPr="00DF6E1E">
        <w:rPr>
          <w:rFonts w:ascii="Times New Roman" w:hAnsi="Times New Roman"/>
          <w:sz w:val="22"/>
          <w:szCs w:val="22"/>
          <w:lang w:val="nl"/>
        </w:rPr>
        <w:t>In deze gegevens werden ook de mutaties opgenomen</w:t>
      </w:r>
      <w:r w:rsidR="004A7410" w:rsidRPr="00DF6E1E">
        <w:rPr>
          <w:rFonts w:ascii="Times New Roman" w:hAnsi="Times New Roman"/>
          <w:sz w:val="22"/>
          <w:szCs w:val="22"/>
          <w:lang w:val="nl"/>
        </w:rPr>
        <w:t>.</w:t>
      </w:r>
      <w:r w:rsidRPr="00DF6E1E">
        <w:rPr>
          <w:rFonts w:ascii="Times New Roman" w:hAnsi="Times New Roman"/>
          <w:sz w:val="22"/>
          <w:szCs w:val="22"/>
          <w:lang w:val="nl"/>
        </w:rPr>
        <w:t xml:space="preserve"> Indien we de mutaties buiten beschouwing laten, komen we nog op 1604 toewijzingen.</w:t>
      </w:r>
    </w:p>
    <w:p w:rsidR="00D13C6C" w:rsidRPr="00D13C6C" w:rsidRDefault="00D13C6C" w:rsidP="00D13C6C">
      <w:pPr>
        <w:jc w:val="both"/>
        <w:rPr>
          <w:szCs w:val="22"/>
          <w:lang w:val="nl"/>
        </w:rPr>
      </w:pPr>
    </w:p>
    <w:p w:rsidR="00466CE2" w:rsidRDefault="00466CE2" w:rsidP="00D13C6C">
      <w:pPr>
        <w:pStyle w:val="Lijstaline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 xml:space="preserve">In 2012 waren er </w:t>
      </w:r>
      <w:r w:rsidR="001B2322" w:rsidRPr="00DF6E1E">
        <w:rPr>
          <w:rFonts w:ascii="Times New Roman" w:hAnsi="Times New Roman"/>
          <w:sz w:val="22"/>
          <w:szCs w:val="22"/>
          <w:lang w:val="nl"/>
        </w:rPr>
        <w:t xml:space="preserve">bij de erkende SVK’s </w:t>
      </w:r>
      <w:r w:rsidRPr="00DF6E1E">
        <w:rPr>
          <w:rFonts w:ascii="Times New Roman" w:hAnsi="Times New Roman"/>
          <w:sz w:val="22"/>
          <w:szCs w:val="22"/>
          <w:lang w:val="nl"/>
        </w:rPr>
        <w:t>11.830 nieuwe inschrijvingen</w:t>
      </w:r>
      <w:r w:rsidR="001B2322" w:rsidRPr="00DF6E1E">
        <w:rPr>
          <w:rFonts w:ascii="Times New Roman" w:hAnsi="Times New Roman"/>
          <w:sz w:val="22"/>
          <w:szCs w:val="22"/>
          <w:lang w:val="nl"/>
        </w:rPr>
        <w:t>. Een overzicht per erkend SVK vindt u terug in het Excel-bestand in bijlage, tabblad ‘vraag 7 en 8’.</w:t>
      </w:r>
    </w:p>
    <w:p w:rsidR="00D13C6C" w:rsidRPr="00D13C6C" w:rsidRDefault="00D13C6C" w:rsidP="00D13C6C">
      <w:pPr>
        <w:ind w:left="3"/>
        <w:jc w:val="both"/>
        <w:rPr>
          <w:szCs w:val="22"/>
          <w:lang w:val="nl"/>
        </w:rPr>
      </w:pPr>
    </w:p>
    <w:p w:rsidR="00D13C6C" w:rsidRDefault="001B2322" w:rsidP="00D13C6C">
      <w:pPr>
        <w:pStyle w:val="Lijstaline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Op 31.12.2012 stonden er in totaal 26.552 kandidaat-huurders op de wachtlijst van de erkende SVK’s. In het Excel-bestand in bijlage, tabblad ‘vraag 7 en 8’ vindt u een overzicht per erkend SVK.</w:t>
      </w:r>
    </w:p>
    <w:p w:rsidR="00D13C6C" w:rsidRPr="00D13C6C" w:rsidRDefault="00D13C6C" w:rsidP="00D13C6C">
      <w:pPr>
        <w:jc w:val="both"/>
        <w:rPr>
          <w:szCs w:val="22"/>
          <w:lang w:val="nl"/>
        </w:rPr>
      </w:pPr>
    </w:p>
    <w:p w:rsidR="00466CE2" w:rsidRDefault="001B2322" w:rsidP="00D13C6C">
      <w:pPr>
        <w:pStyle w:val="Lijstaline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 xml:space="preserve">Op 31.12.2012 </w:t>
      </w:r>
      <w:r w:rsidR="007243D3" w:rsidRPr="00DF6E1E">
        <w:rPr>
          <w:rFonts w:ascii="Times New Roman" w:hAnsi="Times New Roman"/>
          <w:sz w:val="22"/>
          <w:szCs w:val="22"/>
          <w:lang w:val="nl"/>
        </w:rPr>
        <w:t>was</w:t>
      </w:r>
      <w:r w:rsidRPr="00DF6E1E">
        <w:rPr>
          <w:rFonts w:ascii="Times New Roman" w:hAnsi="Times New Roman"/>
          <w:sz w:val="22"/>
          <w:szCs w:val="22"/>
          <w:lang w:val="nl"/>
        </w:rPr>
        <w:t xml:space="preserve"> er in 86,7% van de Vlaamse gemeenten een erkend SVK. In het Excel</w:t>
      </w:r>
      <w:r w:rsidRPr="00DF6E1E">
        <w:rPr>
          <w:rFonts w:ascii="Times New Roman" w:hAnsi="Times New Roman"/>
          <w:sz w:val="22"/>
          <w:szCs w:val="22"/>
          <w:lang w:val="nl"/>
        </w:rPr>
        <w:noBreakHyphen/>
        <w:t xml:space="preserve">bestand in bijlage, tabblad ‘vraag 9’, vindt u </w:t>
      </w:r>
      <w:r w:rsidR="007243D3" w:rsidRPr="00DF6E1E">
        <w:rPr>
          <w:rFonts w:ascii="Times New Roman" w:hAnsi="Times New Roman"/>
          <w:sz w:val="22"/>
          <w:szCs w:val="22"/>
          <w:lang w:val="nl"/>
        </w:rPr>
        <w:t>de procentuele bezetting per provincie.</w:t>
      </w:r>
    </w:p>
    <w:p w:rsidR="00D13C6C" w:rsidRPr="00D13C6C" w:rsidRDefault="00D13C6C" w:rsidP="00D13C6C">
      <w:pPr>
        <w:jc w:val="both"/>
        <w:rPr>
          <w:szCs w:val="22"/>
          <w:lang w:val="nl"/>
        </w:rPr>
      </w:pPr>
    </w:p>
    <w:p w:rsidR="001B2322" w:rsidRPr="00DF6E1E" w:rsidRDefault="004A7410" w:rsidP="00D13C6C">
      <w:pPr>
        <w:pStyle w:val="Lijstaline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O</w:t>
      </w:r>
      <w:r w:rsidR="001B2322" w:rsidRPr="00DF6E1E">
        <w:rPr>
          <w:rFonts w:ascii="Times New Roman" w:hAnsi="Times New Roman"/>
          <w:sz w:val="22"/>
          <w:szCs w:val="22"/>
          <w:lang w:val="nl"/>
        </w:rPr>
        <w:t xml:space="preserve">p 31.12.2012 </w:t>
      </w:r>
      <w:r w:rsidRPr="00DF6E1E">
        <w:rPr>
          <w:rFonts w:ascii="Times New Roman" w:hAnsi="Times New Roman"/>
          <w:sz w:val="22"/>
          <w:szCs w:val="22"/>
          <w:lang w:val="nl"/>
        </w:rPr>
        <w:t xml:space="preserve">zijn er </w:t>
      </w:r>
      <w:r w:rsidR="001B2322" w:rsidRPr="00DF6E1E">
        <w:rPr>
          <w:rFonts w:ascii="Times New Roman" w:hAnsi="Times New Roman"/>
          <w:sz w:val="22"/>
          <w:szCs w:val="22"/>
          <w:lang w:val="nl"/>
        </w:rPr>
        <w:t>41 gemeenten waar nog geen erkend SVK actief is, namelijk:</w:t>
      </w:r>
    </w:p>
    <w:p w:rsidR="001B2322" w:rsidRPr="00DF6E1E" w:rsidRDefault="001B2322" w:rsidP="00D13C6C">
      <w:pPr>
        <w:pStyle w:val="Lijstalinea"/>
        <w:spacing w:after="0" w:line="240" w:lineRule="auto"/>
        <w:ind w:left="1080"/>
        <w:jc w:val="both"/>
        <w:rPr>
          <w:rFonts w:ascii="Times New Roman" w:hAnsi="Times New Roman"/>
          <w:sz w:val="22"/>
          <w:szCs w:val="22"/>
          <w:lang w:val="nl"/>
        </w:rPr>
      </w:pPr>
    </w:p>
    <w:p w:rsidR="001B2322" w:rsidRPr="00DF6E1E" w:rsidRDefault="001B2322" w:rsidP="001B2322">
      <w:pPr>
        <w:pStyle w:val="Lijstalinea"/>
        <w:ind w:left="1080"/>
        <w:jc w:val="both"/>
        <w:rPr>
          <w:rFonts w:ascii="Times New Roman" w:hAnsi="Times New Roman"/>
          <w:sz w:val="22"/>
          <w:szCs w:val="22"/>
          <w:lang w:val="nl"/>
        </w:rPr>
        <w:sectPr w:rsidR="001B2322" w:rsidRPr="00DF6E1E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lastRenderedPageBreak/>
        <w:t>Lendelede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Nevele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Lovendegem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Deinze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Zulte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Kruishoutem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Wortegem-Petegem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Maarkedal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Horebeke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Lierde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Lochristi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Lokeren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Zelzate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Wachtebeke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Moerbeke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Zele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Lede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Erpe-Mere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Haaltert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Lebbeke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Temse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lastRenderedPageBreak/>
        <w:t>Waasmunster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Stekene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Kraainem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Wezembeek-Oppem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Machelen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Kapelle-op-den-Bos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Bertem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Linter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Hoegaarden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Zwijndrecht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Hoogstraten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Baarle-Hertog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Retie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Hulshout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Schelle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Herselt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Bree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Kinrooi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Halen</w:t>
      </w:r>
    </w:p>
    <w:p w:rsidR="001B2322" w:rsidRPr="00DF6E1E" w:rsidRDefault="001B2322" w:rsidP="001B2322">
      <w:pPr>
        <w:pStyle w:val="Lijstalinea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nl"/>
        </w:rPr>
      </w:pPr>
      <w:r w:rsidRPr="00DF6E1E">
        <w:rPr>
          <w:rFonts w:ascii="Times New Roman" w:hAnsi="Times New Roman"/>
          <w:sz w:val="22"/>
          <w:szCs w:val="22"/>
          <w:lang w:val="nl"/>
        </w:rPr>
        <w:t>Herk-de-Stad</w:t>
      </w:r>
    </w:p>
    <w:p w:rsidR="001B2322" w:rsidRPr="00DF6E1E" w:rsidRDefault="001B2322" w:rsidP="001B2322">
      <w:pPr>
        <w:pStyle w:val="Lijstalinea"/>
        <w:jc w:val="both"/>
        <w:rPr>
          <w:rFonts w:ascii="Times New Roman" w:hAnsi="Times New Roman"/>
          <w:sz w:val="22"/>
          <w:szCs w:val="22"/>
          <w:lang w:val="nl"/>
        </w:rPr>
        <w:sectPr w:rsidR="001B2322" w:rsidRPr="00DF6E1E" w:rsidSect="001B2322">
          <w:type w:val="continuous"/>
          <w:pgSz w:w="11906" w:h="16838"/>
          <w:pgMar w:top="1417" w:right="1417" w:bottom="1417" w:left="1417" w:header="708" w:footer="708" w:gutter="0"/>
          <w:cols w:num="2" w:space="708"/>
          <w:formProt w:val="0"/>
          <w:docGrid w:linePitch="360"/>
        </w:sectPr>
      </w:pPr>
    </w:p>
    <w:p w:rsidR="001B2322" w:rsidRPr="00DF6E1E" w:rsidRDefault="001B2322" w:rsidP="001B2322">
      <w:pPr>
        <w:pStyle w:val="Lijstalinea"/>
        <w:jc w:val="both"/>
        <w:rPr>
          <w:rFonts w:ascii="Times New Roman" w:hAnsi="Times New Roman"/>
          <w:sz w:val="22"/>
          <w:szCs w:val="22"/>
          <w:lang w:val="nl"/>
        </w:rPr>
      </w:pPr>
    </w:p>
    <w:p w:rsidR="00D04216" w:rsidRPr="00D13C6C" w:rsidRDefault="00D13C6C" w:rsidP="00D04216">
      <w:pPr>
        <w:pStyle w:val="A-Type"/>
        <w:outlineLvl w:val="0"/>
        <w:rPr>
          <w:u w:val="single"/>
        </w:rPr>
      </w:pPr>
      <w:r>
        <w:rPr>
          <w:color w:val="FF0000"/>
          <w:u w:val="single"/>
        </w:rPr>
        <w:t>bijlage</w:t>
      </w:r>
    </w:p>
    <w:p w:rsidR="00D04216" w:rsidRDefault="00D04216" w:rsidP="00D04216">
      <w:pPr>
        <w:pStyle w:val="A-Type"/>
        <w:outlineLvl w:val="0"/>
      </w:pPr>
    </w:p>
    <w:p w:rsidR="00D13C6C" w:rsidRPr="00D13C6C" w:rsidRDefault="00D13C6C" w:rsidP="00D04216">
      <w:pPr>
        <w:pStyle w:val="A-Type"/>
        <w:outlineLvl w:val="0"/>
        <w:rPr>
          <w:b w:val="0"/>
          <w:smallCaps w:val="0"/>
        </w:rPr>
      </w:pPr>
      <w:r>
        <w:rPr>
          <w:b w:val="0"/>
          <w:smallCaps w:val="0"/>
        </w:rPr>
        <w:t>Overzicht</w:t>
      </w:r>
      <w:bookmarkStart w:id="4" w:name="_GoBack"/>
      <w:bookmarkEnd w:id="4"/>
    </w:p>
    <w:sectPr w:rsidR="00D13C6C" w:rsidRPr="00D13C6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48"/>
    <w:multiLevelType w:val="hybridMultilevel"/>
    <w:tmpl w:val="C770A6F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3061C"/>
    <w:multiLevelType w:val="hybridMultilevel"/>
    <w:tmpl w:val="FED0123C"/>
    <w:lvl w:ilvl="0" w:tplc="3D80DD8C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CC766B"/>
    <w:multiLevelType w:val="hybridMultilevel"/>
    <w:tmpl w:val="3BF0C68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950CA"/>
    <w:multiLevelType w:val="hybridMultilevel"/>
    <w:tmpl w:val="50203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2403CC"/>
    <w:multiLevelType w:val="hybridMultilevel"/>
    <w:tmpl w:val="7E3E9DDE"/>
    <w:lvl w:ilvl="0" w:tplc="B6D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33138A3"/>
    <w:multiLevelType w:val="hybridMultilevel"/>
    <w:tmpl w:val="DF70747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415B99"/>
    <w:multiLevelType w:val="hybridMultilevel"/>
    <w:tmpl w:val="21145BC2"/>
    <w:lvl w:ilvl="0" w:tplc="0813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3" w:hanging="360"/>
      </w:pPr>
    </w:lvl>
    <w:lvl w:ilvl="2" w:tplc="0813001B" w:tentative="1">
      <w:start w:val="1"/>
      <w:numFmt w:val="lowerRoman"/>
      <w:lvlText w:val="%3."/>
      <w:lvlJc w:val="right"/>
      <w:pPr>
        <w:ind w:left="1803" w:hanging="180"/>
      </w:pPr>
    </w:lvl>
    <w:lvl w:ilvl="3" w:tplc="0813000F" w:tentative="1">
      <w:start w:val="1"/>
      <w:numFmt w:val="decimal"/>
      <w:lvlText w:val="%4."/>
      <w:lvlJc w:val="left"/>
      <w:pPr>
        <w:ind w:left="2523" w:hanging="360"/>
      </w:pPr>
    </w:lvl>
    <w:lvl w:ilvl="4" w:tplc="08130019" w:tentative="1">
      <w:start w:val="1"/>
      <w:numFmt w:val="lowerLetter"/>
      <w:lvlText w:val="%5."/>
      <w:lvlJc w:val="left"/>
      <w:pPr>
        <w:ind w:left="3243" w:hanging="360"/>
      </w:pPr>
    </w:lvl>
    <w:lvl w:ilvl="5" w:tplc="0813001B" w:tentative="1">
      <w:start w:val="1"/>
      <w:numFmt w:val="lowerRoman"/>
      <w:lvlText w:val="%6."/>
      <w:lvlJc w:val="right"/>
      <w:pPr>
        <w:ind w:left="3963" w:hanging="180"/>
      </w:pPr>
    </w:lvl>
    <w:lvl w:ilvl="6" w:tplc="0813000F" w:tentative="1">
      <w:start w:val="1"/>
      <w:numFmt w:val="decimal"/>
      <w:lvlText w:val="%7."/>
      <w:lvlJc w:val="left"/>
      <w:pPr>
        <w:ind w:left="4683" w:hanging="360"/>
      </w:pPr>
    </w:lvl>
    <w:lvl w:ilvl="7" w:tplc="08130019" w:tentative="1">
      <w:start w:val="1"/>
      <w:numFmt w:val="lowerLetter"/>
      <w:lvlText w:val="%8."/>
      <w:lvlJc w:val="left"/>
      <w:pPr>
        <w:ind w:left="5403" w:hanging="360"/>
      </w:pPr>
    </w:lvl>
    <w:lvl w:ilvl="8" w:tplc="08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8">
    <w:nsid w:val="69F76FE1"/>
    <w:multiLevelType w:val="hybridMultilevel"/>
    <w:tmpl w:val="975E92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8F5C09"/>
    <w:multiLevelType w:val="hybridMultilevel"/>
    <w:tmpl w:val="8E62C446"/>
    <w:lvl w:ilvl="0" w:tplc="405A317A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DC"/>
    <w:rsid w:val="00025658"/>
    <w:rsid w:val="00053275"/>
    <w:rsid w:val="00095C78"/>
    <w:rsid w:val="000976E9"/>
    <w:rsid w:val="000C409A"/>
    <w:rsid w:val="000C4E8C"/>
    <w:rsid w:val="000D3C6A"/>
    <w:rsid w:val="000F3532"/>
    <w:rsid w:val="000F7CA7"/>
    <w:rsid w:val="00103F3F"/>
    <w:rsid w:val="00117304"/>
    <w:rsid w:val="00160691"/>
    <w:rsid w:val="00187939"/>
    <w:rsid w:val="001B2322"/>
    <w:rsid w:val="001D5EDF"/>
    <w:rsid w:val="001E6F44"/>
    <w:rsid w:val="00210C07"/>
    <w:rsid w:val="0022681F"/>
    <w:rsid w:val="00244DC0"/>
    <w:rsid w:val="002477E0"/>
    <w:rsid w:val="00274040"/>
    <w:rsid w:val="002843DB"/>
    <w:rsid w:val="00315895"/>
    <w:rsid w:val="00326A58"/>
    <w:rsid w:val="00354D3C"/>
    <w:rsid w:val="003A1ED9"/>
    <w:rsid w:val="003A6B49"/>
    <w:rsid w:val="003C4967"/>
    <w:rsid w:val="003C7A81"/>
    <w:rsid w:val="003E3FD0"/>
    <w:rsid w:val="004314D9"/>
    <w:rsid w:val="00461EAE"/>
    <w:rsid w:val="00463FCD"/>
    <w:rsid w:val="00466CE2"/>
    <w:rsid w:val="00471904"/>
    <w:rsid w:val="00491D69"/>
    <w:rsid w:val="004A7410"/>
    <w:rsid w:val="004B58DF"/>
    <w:rsid w:val="004C0DB9"/>
    <w:rsid w:val="004E4428"/>
    <w:rsid w:val="005339FA"/>
    <w:rsid w:val="00565604"/>
    <w:rsid w:val="00592A34"/>
    <w:rsid w:val="00597334"/>
    <w:rsid w:val="005E2500"/>
    <w:rsid w:val="005E38CA"/>
    <w:rsid w:val="005E5E3E"/>
    <w:rsid w:val="00655B7D"/>
    <w:rsid w:val="006563FB"/>
    <w:rsid w:val="006A76E7"/>
    <w:rsid w:val="006E50EA"/>
    <w:rsid w:val="0070378E"/>
    <w:rsid w:val="0071047E"/>
    <w:rsid w:val="0071248C"/>
    <w:rsid w:val="007243D3"/>
    <w:rsid w:val="007252C7"/>
    <w:rsid w:val="00753F95"/>
    <w:rsid w:val="007A2CF3"/>
    <w:rsid w:val="007B5F95"/>
    <w:rsid w:val="007D59D8"/>
    <w:rsid w:val="0080425C"/>
    <w:rsid w:val="00827805"/>
    <w:rsid w:val="008542BF"/>
    <w:rsid w:val="00877435"/>
    <w:rsid w:val="00877C63"/>
    <w:rsid w:val="008A1969"/>
    <w:rsid w:val="008D5DB4"/>
    <w:rsid w:val="009347E0"/>
    <w:rsid w:val="009456B5"/>
    <w:rsid w:val="009501DE"/>
    <w:rsid w:val="00957E43"/>
    <w:rsid w:val="009666FC"/>
    <w:rsid w:val="00967B51"/>
    <w:rsid w:val="00976BF4"/>
    <w:rsid w:val="00996094"/>
    <w:rsid w:val="009D4CDF"/>
    <w:rsid w:val="009D7043"/>
    <w:rsid w:val="009E3708"/>
    <w:rsid w:val="00A30112"/>
    <w:rsid w:val="00A47636"/>
    <w:rsid w:val="00A61C86"/>
    <w:rsid w:val="00A82E28"/>
    <w:rsid w:val="00A96688"/>
    <w:rsid w:val="00AD2437"/>
    <w:rsid w:val="00AF7000"/>
    <w:rsid w:val="00B06A7F"/>
    <w:rsid w:val="00B32B02"/>
    <w:rsid w:val="00B45596"/>
    <w:rsid w:val="00B45EB2"/>
    <w:rsid w:val="00BB5188"/>
    <w:rsid w:val="00BC6A14"/>
    <w:rsid w:val="00BD67DB"/>
    <w:rsid w:val="00BE425A"/>
    <w:rsid w:val="00BF58B5"/>
    <w:rsid w:val="00C46A55"/>
    <w:rsid w:val="00C86ADC"/>
    <w:rsid w:val="00C91441"/>
    <w:rsid w:val="00CC1D69"/>
    <w:rsid w:val="00D04216"/>
    <w:rsid w:val="00D13C6C"/>
    <w:rsid w:val="00D22297"/>
    <w:rsid w:val="00D31CD2"/>
    <w:rsid w:val="00D71D99"/>
    <w:rsid w:val="00D754F2"/>
    <w:rsid w:val="00D84F77"/>
    <w:rsid w:val="00D901AA"/>
    <w:rsid w:val="00DB41C0"/>
    <w:rsid w:val="00DC4DB6"/>
    <w:rsid w:val="00DF432A"/>
    <w:rsid w:val="00DF46AC"/>
    <w:rsid w:val="00DF6E1E"/>
    <w:rsid w:val="00E55200"/>
    <w:rsid w:val="00E60229"/>
    <w:rsid w:val="00E806BD"/>
    <w:rsid w:val="00E85C8D"/>
    <w:rsid w:val="00E92186"/>
    <w:rsid w:val="00E94286"/>
    <w:rsid w:val="00E956FE"/>
    <w:rsid w:val="00EE297A"/>
    <w:rsid w:val="00F02A90"/>
    <w:rsid w:val="00F273E1"/>
    <w:rsid w:val="00F909DC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AD2437"/>
    <w:pPr>
      <w:widowControl w:val="0"/>
      <w:spacing w:after="120" w:line="240" w:lineRule="atLeast"/>
      <w:ind w:left="720"/>
      <w:contextualSpacing/>
    </w:pPr>
    <w:rPr>
      <w:rFonts w:ascii="Trebuchet MS" w:hAnsi="Trebuchet MS"/>
      <w:sz w:val="20"/>
      <w:szCs w:val="20"/>
      <w:lang w:val="nl-BE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AD2437"/>
    <w:pPr>
      <w:jc w:val="both"/>
    </w:pPr>
    <w:rPr>
      <w:i/>
      <w:szCs w:val="20"/>
    </w:rPr>
  </w:style>
  <w:style w:type="character" w:styleId="Hyperlink">
    <w:name w:val="Hyperlink"/>
    <w:basedOn w:val="Standaardalinea-lettertype"/>
    <w:rsid w:val="00AD2437"/>
    <w:rPr>
      <w:color w:val="0000FF"/>
      <w:u w:val="single"/>
    </w:rPr>
  </w:style>
  <w:style w:type="paragraph" w:styleId="Documentstructuur">
    <w:name w:val="Document Map"/>
    <w:basedOn w:val="Standaard"/>
    <w:semiHidden/>
    <w:rsid w:val="009456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095C7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09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095C78"/>
    <w:rPr>
      <w:sz w:val="20"/>
      <w:szCs w:val="20"/>
    </w:rPr>
  </w:style>
  <w:style w:type="paragraph" w:styleId="Ballontekst">
    <w:name w:val="Balloon Text"/>
    <w:basedOn w:val="Standaard"/>
    <w:link w:val="BallontekstChar"/>
    <w:rsid w:val="00D84F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84F77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AD2437"/>
    <w:pPr>
      <w:widowControl w:val="0"/>
      <w:spacing w:after="120" w:line="240" w:lineRule="atLeast"/>
      <w:ind w:left="720"/>
      <w:contextualSpacing/>
    </w:pPr>
    <w:rPr>
      <w:rFonts w:ascii="Trebuchet MS" w:hAnsi="Trebuchet MS"/>
      <w:sz w:val="20"/>
      <w:szCs w:val="20"/>
      <w:lang w:val="nl-BE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AD2437"/>
    <w:pPr>
      <w:jc w:val="both"/>
    </w:pPr>
    <w:rPr>
      <w:i/>
      <w:szCs w:val="20"/>
    </w:rPr>
  </w:style>
  <w:style w:type="character" w:styleId="Hyperlink">
    <w:name w:val="Hyperlink"/>
    <w:basedOn w:val="Standaardalinea-lettertype"/>
    <w:rsid w:val="00AD2437"/>
    <w:rPr>
      <w:color w:val="0000FF"/>
      <w:u w:val="single"/>
    </w:rPr>
  </w:style>
  <w:style w:type="paragraph" w:styleId="Documentstructuur">
    <w:name w:val="Document Map"/>
    <w:basedOn w:val="Standaard"/>
    <w:semiHidden/>
    <w:rsid w:val="009456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095C7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09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095C78"/>
    <w:rPr>
      <w:sz w:val="20"/>
      <w:szCs w:val="20"/>
    </w:rPr>
  </w:style>
  <w:style w:type="paragraph" w:styleId="Ballontekst">
    <w:name w:val="Balloon Text"/>
    <w:basedOn w:val="Standaard"/>
    <w:link w:val="BallontekstChar"/>
    <w:rsid w:val="00D84F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84F77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A2C18-296E-4F4E-AC22-C7A2A2FA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 265</vt:lpstr>
    </vt:vector>
  </TitlesOfParts>
  <Company>Vlaamse Maatschappij voor Sociaal Wonen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 265</dc:title>
  <dc:subject>Antwoord op Schriftelijke Vraag</dc:subject>
  <dc:creator>ml1435</dc:creator>
  <cp:lastModifiedBy>Nathalie De Keyzer</cp:lastModifiedBy>
  <cp:revision>3</cp:revision>
  <cp:lastPrinted>1900-12-31T22:00:00Z</cp:lastPrinted>
  <dcterms:created xsi:type="dcterms:W3CDTF">2013-04-10T14:58:00Z</dcterms:created>
  <dcterms:modified xsi:type="dcterms:W3CDTF">2013-05-08T10:00:00Z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2010-05-10T00:00:00Z</vt:lpwstr>
  </property>
  <property fmtid="{D5CDD505-2E9C-101B-9397-08002B2CF9AE}" pid="3" name="Kenmerk">
    <vt:lpwstr/>
  </property>
  <property fmtid="{D5CDD505-2E9C-101B-9397-08002B2CF9AE}" pid="4" name="NaamAfzender">
    <vt:lpwstr>&lt;div&gt;&lt;/div&gt;</vt:lpwstr>
  </property>
  <property fmtid="{D5CDD505-2E9C-101B-9397-08002B2CF9AE}" pid="5" name="AardVanVerzoek">
    <vt:lpwstr/>
  </property>
  <property fmtid="{D5CDD505-2E9C-101B-9397-08002B2CF9AE}" pid="6" name="Extra Opmerkingen">
    <vt:lpwstr>&lt;div&gt;&lt;/div&gt;</vt:lpwstr>
  </property>
  <property fmtid="{D5CDD505-2E9C-101B-9397-08002B2CF9AE}" pid="7" name="AntwoordBinnenDertigDagen">
    <vt:lpwstr>0</vt:lpwstr>
  </property>
  <property fmtid="{D5CDD505-2E9C-101B-9397-08002B2CF9AE}" pid="8" name="Finaal Antwoord">
    <vt:lpwstr>0</vt:lpwstr>
  </property>
  <property fmtid="{D5CDD505-2E9C-101B-9397-08002B2CF9AE}" pid="9" name="ContentType">
    <vt:lpwstr>RWO Document</vt:lpwstr>
  </property>
  <property fmtid="{D5CDD505-2E9C-101B-9397-08002B2CF9AE}" pid="10" name="AanduidenVanInstantie">
    <vt:lpwstr>;#Departement RWO;#</vt:lpwstr>
  </property>
</Properties>
</file>