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170DAF"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FB3D24">
        <w:rPr>
          <w:szCs w:val="22"/>
        </w:rPr>
        <w:t>kris peeters</w:t>
      </w:r>
      <w:r>
        <w:rPr>
          <w:szCs w:val="22"/>
        </w:rPr>
        <w:fldChar w:fldCharType="end"/>
      </w:r>
      <w:bookmarkEnd w:id="0"/>
    </w:p>
    <w:bookmarkStart w:id="1" w:name="Text2"/>
    <w:p w:rsidR="000976E9" w:rsidRPr="00015BF7" w:rsidRDefault="00170DAF"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170DAF"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170DAF" w:rsidRPr="00326A58">
        <w:rPr>
          <w:b w:val="0"/>
        </w:rPr>
      </w:r>
      <w:r w:rsidR="00170DAF" w:rsidRPr="00326A58">
        <w:rPr>
          <w:b w:val="0"/>
        </w:rPr>
        <w:fldChar w:fldCharType="separate"/>
      </w:r>
      <w:r w:rsidR="00EA3F3C">
        <w:rPr>
          <w:b w:val="0"/>
        </w:rPr>
        <w:t>4</w:t>
      </w:r>
      <w:r w:rsidR="006700BB">
        <w:rPr>
          <w:b w:val="0"/>
        </w:rPr>
        <w:t>3</w:t>
      </w:r>
      <w:r w:rsidR="004C5DBC">
        <w:rPr>
          <w:b w:val="0"/>
        </w:rPr>
        <w:t>9</w:t>
      </w:r>
      <w:r w:rsidR="00170DAF"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170DAF">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170DAF">
        <w:rPr>
          <w:b w:val="0"/>
        </w:rPr>
      </w:r>
      <w:r w:rsidR="00170DAF">
        <w:rPr>
          <w:b w:val="0"/>
        </w:rPr>
        <w:fldChar w:fldCharType="separate"/>
      </w:r>
      <w:r w:rsidR="006700BB">
        <w:rPr>
          <w:b w:val="0"/>
        </w:rPr>
        <w:t>28</w:t>
      </w:r>
      <w:r w:rsidR="00170DAF">
        <w:rPr>
          <w:b w:val="0"/>
        </w:rPr>
        <w:fldChar w:fldCharType="end"/>
      </w:r>
      <w:bookmarkEnd w:id="3"/>
      <w:r w:rsidRPr="00326A58">
        <w:rPr>
          <w:b w:val="0"/>
        </w:rPr>
        <w:t xml:space="preserve"> </w:t>
      </w:r>
      <w:bookmarkStart w:id="4" w:name="Dropdown2"/>
      <w:r w:rsidR="00170DAF">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170DAF">
        <w:rPr>
          <w:b w:val="0"/>
        </w:rPr>
      </w:r>
      <w:r w:rsidR="00170DAF">
        <w:rPr>
          <w:b w:val="0"/>
        </w:rPr>
        <w:fldChar w:fldCharType="end"/>
      </w:r>
      <w:bookmarkEnd w:id="4"/>
      <w:r w:rsidRPr="00326A58">
        <w:rPr>
          <w:b w:val="0"/>
        </w:rPr>
        <w:t xml:space="preserve"> </w:t>
      </w:r>
      <w:bookmarkStart w:id="5" w:name="Dropdown3"/>
      <w:r w:rsidR="00170DAF">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170DAF">
        <w:rPr>
          <w:b w:val="0"/>
        </w:rPr>
      </w:r>
      <w:r w:rsidR="00170DAF">
        <w:rPr>
          <w:b w:val="0"/>
        </w:rPr>
        <w:fldChar w:fldCharType="end"/>
      </w:r>
      <w:bookmarkEnd w:id="5"/>
    </w:p>
    <w:p w:rsidR="000976E9" w:rsidRDefault="000976E9" w:rsidP="000976E9">
      <w:pPr>
        <w:rPr>
          <w:szCs w:val="22"/>
        </w:rPr>
      </w:pPr>
      <w:r>
        <w:rPr>
          <w:szCs w:val="22"/>
        </w:rPr>
        <w:t xml:space="preserve">van </w:t>
      </w:r>
      <w:r w:rsidR="00170DAF"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170DAF" w:rsidRPr="009D7043">
        <w:rPr>
          <w:rStyle w:val="AntwoordNaamMinisterChar"/>
        </w:rPr>
      </w:r>
      <w:r w:rsidR="00170DAF" w:rsidRPr="009D7043">
        <w:rPr>
          <w:rStyle w:val="AntwoordNaamMinisterChar"/>
        </w:rPr>
        <w:fldChar w:fldCharType="separate"/>
      </w:r>
      <w:r w:rsidR="004C5DBC">
        <w:rPr>
          <w:rStyle w:val="AntwoordNaamMinisterChar"/>
        </w:rPr>
        <w:t>robrecht bothuyne</w:t>
      </w:r>
      <w:r w:rsidR="00170DAF"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0C130A" w:rsidRDefault="000C130A" w:rsidP="00B45E4D">
      <w:pPr>
        <w:jc w:val="both"/>
      </w:pPr>
      <w:r>
        <w:lastRenderedPageBreak/>
        <w:t xml:space="preserve">Het behoort niet tot de taken </w:t>
      </w:r>
      <w:r w:rsidR="00F365D2" w:rsidRPr="00F365D2">
        <w:t>van de Vlaamse overheid om in het algemeen kwaliteitscontrole uit te oefenen op de producten of diensten van privé-organisaties, en nog minder om een kwaliteitslabel aan die producten of diensten toe te kennen. De V</w:t>
      </w:r>
      <w:r w:rsidR="00F365D2">
        <w:t xml:space="preserve">laamse overheid </w:t>
      </w:r>
      <w:r w:rsidR="00F365D2" w:rsidRPr="00F365D2">
        <w:t xml:space="preserve">is daartoe trouwens </w:t>
      </w:r>
      <w:r w:rsidR="00F365D2">
        <w:t xml:space="preserve">niet </w:t>
      </w:r>
      <w:r w:rsidR="00F365D2" w:rsidRPr="00F365D2">
        <w:t>bevoegd.</w:t>
      </w:r>
    </w:p>
    <w:p w:rsidR="00F31FC2" w:rsidRDefault="00F31FC2" w:rsidP="00B45E4D">
      <w:pPr>
        <w:jc w:val="both"/>
      </w:pPr>
    </w:p>
    <w:p w:rsidR="00B45E4D" w:rsidRDefault="00F365D2" w:rsidP="00B45E4D">
      <w:pPr>
        <w:jc w:val="both"/>
      </w:pPr>
      <w:r>
        <w:t>Zij k</w:t>
      </w:r>
      <w:r w:rsidRPr="00F365D2">
        <w:t xml:space="preserve">an </w:t>
      </w:r>
      <w:r>
        <w:t xml:space="preserve">wel </w:t>
      </w:r>
      <w:r w:rsidRPr="00F365D2">
        <w:t xml:space="preserve">het instrument van erkenning </w:t>
      </w:r>
      <w:r>
        <w:t xml:space="preserve">of accreditatie </w:t>
      </w:r>
      <w:r w:rsidRPr="00F365D2">
        <w:t>(en e</w:t>
      </w:r>
      <w:r>
        <w:t xml:space="preserve">ventueel subsidiëring) </w:t>
      </w:r>
      <w:r w:rsidRPr="00F365D2">
        <w:t>gebruiken</w:t>
      </w:r>
      <w:r>
        <w:t xml:space="preserve">, doch enkel </w:t>
      </w:r>
      <w:r w:rsidRPr="00F365D2">
        <w:t xml:space="preserve">in het kader van een </w:t>
      </w:r>
      <w:r>
        <w:t>wel</w:t>
      </w:r>
      <w:r w:rsidRPr="00F365D2">
        <w:t>bepaald beleidsdoel dat binnen haar inhoudelijke bevoegdheden valt</w:t>
      </w:r>
      <w:r>
        <w:t>. Daarbij kunnen de e</w:t>
      </w:r>
      <w:r w:rsidRPr="00F365D2">
        <w:t>rkenning</w:t>
      </w:r>
      <w:r>
        <w:t xml:space="preserve">s- of </w:t>
      </w:r>
      <w:r w:rsidRPr="00F365D2">
        <w:t>accreditatie</w:t>
      </w:r>
      <w:r>
        <w:t xml:space="preserve">voorwaarden </w:t>
      </w:r>
      <w:r w:rsidRPr="00F365D2">
        <w:t>die z</w:t>
      </w:r>
      <w:r>
        <w:t>ij</w:t>
      </w:r>
      <w:r w:rsidRPr="00F365D2">
        <w:t xml:space="preserve"> stelt alleen betrekking hebben op het bereiken van dat specifieke beleidsdoel.</w:t>
      </w:r>
    </w:p>
    <w:p w:rsidR="00B45E4D" w:rsidRDefault="00B45E4D" w:rsidP="00B45E4D">
      <w:pPr>
        <w:jc w:val="both"/>
      </w:pPr>
    </w:p>
    <w:p w:rsidR="00F365D2" w:rsidRDefault="00F365D2" w:rsidP="00F365D2">
      <w:pPr>
        <w:jc w:val="both"/>
      </w:pPr>
      <w:r>
        <w:t>Een privé-organisatie kan zich dus niet profileren als “erkend door de Vlaamse overheid” zonder meer, maar moet dat verbinden aan het specifieke kader waarbinnen die erkenning is verleend. Wanneer zij dat niet doet maakt zij zich schuldig aan misleidende</w:t>
      </w:r>
      <w:r w:rsidR="000C130A">
        <w:t xml:space="preserve"> of </w:t>
      </w:r>
      <w:r>
        <w:t xml:space="preserve">oneerlijke handelspraktijken, waartegen kan opgetreden worden op basis van de wet van 6 april 2010 betreffende marktpraktijken en </w:t>
      </w:r>
      <w:proofErr w:type="spellStart"/>
      <w:r>
        <w:t>consumenten-bescherming</w:t>
      </w:r>
      <w:proofErr w:type="spellEnd"/>
      <w:r>
        <w:t>.</w:t>
      </w:r>
      <w:r w:rsidR="00E63A79">
        <w:t xml:space="preserve"> </w:t>
      </w:r>
      <w:r>
        <w:t>Consumenten die zich misleid voelen door de informatie van de private organisatie kunnen klacht indienen bij de FOD Economie. Concurrenten die zich benadeeld achten door de misleidende reclame kunnen een vordering tot staking indienen op grond van de voormelde wet.</w:t>
      </w:r>
    </w:p>
    <w:p w:rsidR="00F365D2" w:rsidRDefault="00F365D2" w:rsidP="00F365D2">
      <w:pPr>
        <w:jc w:val="both"/>
      </w:pPr>
    </w:p>
    <w:p w:rsidR="00E63A79" w:rsidRPr="009D6E8F" w:rsidRDefault="00E63A79" w:rsidP="00E63A79">
      <w:pPr>
        <w:jc w:val="both"/>
      </w:pPr>
      <w:r w:rsidRPr="009D6E8F">
        <w:t xml:space="preserve">De Vlaamse overheid kan ook zelf optreden tegen bedrijven die zich ten onrechte de algemene kwalificatie “erkend door de Vlaamse overheid” toe-eigenen, </w:t>
      </w:r>
      <w:r w:rsidR="009D6E8F" w:rsidRPr="009D6E8F">
        <w:t xml:space="preserve">wanneer </w:t>
      </w:r>
      <w:r w:rsidRPr="009D6E8F">
        <w:t xml:space="preserve">de reputatie van de Vlaamse overheid daardoor geschaad wordt. </w:t>
      </w:r>
      <w:r w:rsidR="009D6E8F" w:rsidRPr="009D6E8F">
        <w:t xml:space="preserve">De </w:t>
      </w:r>
      <w:r w:rsidRPr="009D6E8F">
        <w:t xml:space="preserve">betrokken onderneming </w:t>
      </w:r>
      <w:r w:rsidR="009D6E8F" w:rsidRPr="009D6E8F">
        <w:t xml:space="preserve">of organisatie kan dan </w:t>
      </w:r>
      <w:r w:rsidRPr="009D6E8F">
        <w:t>in gebreke gesteld worden en verzocht worden om de communicatie bij te sturen</w:t>
      </w:r>
      <w:r w:rsidR="009D6E8F" w:rsidRPr="009D6E8F">
        <w:t xml:space="preserve"> ; </w:t>
      </w:r>
      <w:r w:rsidRPr="009D6E8F">
        <w:t xml:space="preserve">als dat nodig is, </w:t>
      </w:r>
      <w:r w:rsidR="009D6E8F" w:rsidRPr="009D6E8F">
        <w:t xml:space="preserve">kunnen </w:t>
      </w:r>
      <w:r w:rsidRPr="009D6E8F">
        <w:t>verdere gerechtelijke stappen ondernomen worden.</w:t>
      </w:r>
    </w:p>
    <w:p w:rsidR="00F365D2" w:rsidRPr="009D6E8F" w:rsidRDefault="00E63A79" w:rsidP="00E63A79">
      <w:pPr>
        <w:jc w:val="both"/>
      </w:pPr>
      <w:r w:rsidRPr="009D6E8F">
        <w:t>Er kan ook preventief opgetreden worden door in de specifieke erkennings- of subsidie</w:t>
      </w:r>
      <w:r w:rsidR="009D6E8F" w:rsidRPr="009D6E8F">
        <w:t>-</w:t>
      </w:r>
      <w:r w:rsidRPr="009D6E8F">
        <w:t>reglementeringen, en/of in de erkenningsvoorwaarden of bij de individuele erkenningsbeslissing</w:t>
      </w:r>
      <w:r w:rsidR="00816904">
        <w:t>en</w:t>
      </w:r>
      <w:r w:rsidRPr="009D6E8F">
        <w:t xml:space="preserve">, </w:t>
      </w:r>
      <w:r w:rsidR="009D6E8F" w:rsidRPr="009D6E8F">
        <w:t xml:space="preserve">te </w:t>
      </w:r>
      <w:r w:rsidRPr="009D6E8F">
        <w:t>stipule</w:t>
      </w:r>
      <w:r w:rsidR="009D6E8F" w:rsidRPr="009D6E8F">
        <w:t>r</w:t>
      </w:r>
      <w:r w:rsidRPr="009D6E8F">
        <w:t xml:space="preserve">en dat de erkende organisatie - in geval van een verwijzing naar die erkenning - ertoe gehouden is te verwijzen naar het kader binnen hetwelk die erkenning is verleend. Wanneer deze voorwaarde niet </w:t>
      </w:r>
      <w:r w:rsidR="009D6E8F" w:rsidRPr="009D6E8F">
        <w:t xml:space="preserve">zou </w:t>
      </w:r>
      <w:r w:rsidRPr="009D6E8F">
        <w:t xml:space="preserve">nageleefd worden </w:t>
      </w:r>
      <w:r w:rsidR="009D6E8F" w:rsidRPr="009D6E8F">
        <w:t xml:space="preserve">kan </w:t>
      </w:r>
      <w:r w:rsidRPr="009D6E8F">
        <w:t>dit gesanctioneerd worden met de schorsing of de intrekking van de erkenning.</w:t>
      </w:r>
    </w:p>
    <w:p w:rsidR="00F365D2" w:rsidRDefault="00F365D2" w:rsidP="00B45E4D">
      <w:pPr>
        <w:jc w:val="both"/>
      </w:pPr>
    </w:p>
    <w:p w:rsidR="000C130A" w:rsidRDefault="000C130A" w:rsidP="00B45E4D">
      <w:pPr>
        <w:jc w:val="both"/>
      </w:pPr>
      <w:r>
        <w:t xml:space="preserve">De vaststelling van de Vlaamse </w:t>
      </w:r>
      <w:proofErr w:type="spellStart"/>
      <w:r>
        <w:t>Ombudsdienst</w:t>
      </w:r>
      <w:proofErr w:type="spellEnd"/>
      <w:r>
        <w:t xml:space="preserve"> werd gemaakt naar aanleiding van een concreet dossier bij het Agentschap Ondernemen. Hierna volgt de gevraagde informatie, toegespitst op de context van dat dossier.</w:t>
      </w:r>
    </w:p>
    <w:p w:rsidR="000C130A" w:rsidRDefault="000C130A" w:rsidP="00B45E4D">
      <w:pPr>
        <w:jc w:val="both"/>
      </w:pPr>
    </w:p>
    <w:p w:rsidR="005F1A2C" w:rsidRPr="005F1A2C" w:rsidRDefault="005F1A2C" w:rsidP="005F1A2C">
      <w:pPr>
        <w:pStyle w:val="Lijstalinea"/>
        <w:numPr>
          <w:ilvl w:val="0"/>
          <w:numId w:val="4"/>
        </w:numPr>
        <w:ind w:left="284" w:hanging="284"/>
        <w:jc w:val="both"/>
      </w:pPr>
      <w:r w:rsidRPr="005F1A2C">
        <w:t xml:space="preserve">Met de </w:t>
      </w:r>
      <w:proofErr w:type="spellStart"/>
      <w:r w:rsidRPr="005F1A2C">
        <w:t>kmo</w:t>
      </w:r>
      <w:proofErr w:type="spellEnd"/>
      <w:r w:rsidRPr="005F1A2C">
        <w:t xml:space="preserve">-portefeuille en de opleidingscheques kunnen Vlaamse </w:t>
      </w:r>
      <w:proofErr w:type="spellStart"/>
      <w:r w:rsidRPr="005F1A2C">
        <w:t>kmo’s</w:t>
      </w:r>
      <w:proofErr w:type="spellEnd"/>
      <w:r w:rsidRPr="005F1A2C">
        <w:t xml:space="preserve"> en werknemers subsidies krijgen voor opleidingen ingekocht bij daartoe erkende dienstverleners. Vlaanderen dient te waken over de kwaliteit van de erkende dienstverleners. De erkenning van de dienstverleners liep steeds al volgens welbepaalde regels. Private dienstverleners moeten tot op vandaag een algemeen kwaliteitscertificaat bezitten vooraleer ze erkend kunnen worden voor de subsidiemaatregelen. Op mijn initiatief liet het Agentschap Ondernemen in 2011 via een openbare aanbesteding een nieuwe auditmethode ontwikkelen met als doel de erkenning van de dienstverleners beter af te stemmen op de noden van het de </w:t>
      </w:r>
      <w:proofErr w:type="spellStart"/>
      <w:r w:rsidRPr="005F1A2C">
        <w:t>kmo</w:t>
      </w:r>
      <w:proofErr w:type="spellEnd"/>
      <w:r w:rsidRPr="005F1A2C">
        <w:t>-portefeuille.</w:t>
      </w:r>
    </w:p>
    <w:p w:rsidR="005F1A2C" w:rsidRPr="005F1A2C" w:rsidRDefault="005F1A2C" w:rsidP="005F1A2C">
      <w:pPr>
        <w:ind w:left="284"/>
        <w:jc w:val="both"/>
      </w:pPr>
      <w:r w:rsidRPr="005F1A2C">
        <w:t xml:space="preserve">Deze nieuwe methode moet nagaan of de dienstverlener kwaliteitsvol werkt en beantwoordt aan de door de </w:t>
      </w:r>
      <w:proofErr w:type="spellStart"/>
      <w:r w:rsidRPr="005F1A2C">
        <w:t>kmo</w:t>
      </w:r>
      <w:proofErr w:type="spellEnd"/>
      <w:r w:rsidRPr="005F1A2C">
        <w:t xml:space="preserve">-portefeuille vooropgestelde vereisten. Deze laatste vereiste kon niet worden getoetst </w:t>
      </w:r>
      <w:r w:rsidRPr="005F1A2C">
        <w:lastRenderedPageBreak/>
        <w:t>door private kwaliteitslabels. Dit voorjaar nog wordt het startsein gegeven voor het lanceren van de nieuwe eigen ‘</w:t>
      </w:r>
      <w:proofErr w:type="spellStart"/>
      <w:r w:rsidRPr="005F1A2C">
        <w:t>kmo</w:t>
      </w:r>
      <w:proofErr w:type="spellEnd"/>
      <w:r w:rsidRPr="005F1A2C">
        <w:t>-portefeuille-erkenningsmethode’.</w:t>
      </w:r>
    </w:p>
    <w:p w:rsidR="005F1A2C" w:rsidRDefault="005F1A2C" w:rsidP="005F1A2C">
      <w:pPr>
        <w:pStyle w:val="SVTitel"/>
        <w:rPr>
          <w:i w:val="0"/>
        </w:rPr>
      </w:pPr>
    </w:p>
    <w:p w:rsidR="005F1A2C" w:rsidRPr="005F1A2C" w:rsidRDefault="005F1A2C" w:rsidP="005F1A2C">
      <w:pPr>
        <w:pStyle w:val="Lijstalinea"/>
        <w:numPr>
          <w:ilvl w:val="0"/>
          <w:numId w:val="4"/>
        </w:numPr>
        <w:ind w:left="284" w:hanging="284"/>
        <w:jc w:val="both"/>
      </w:pPr>
      <w:r w:rsidRPr="005F1A2C">
        <w:t xml:space="preserve">Voortaan zal de screening gebeuren door een onafhankelijk auditbureau, door mij aangesteld. Als de dienstverlener kwalitatief goed bevonden wordt en voldoet aan alle vereisten, krijgt hij een certificaat als ‘dienstverlener van de </w:t>
      </w:r>
      <w:proofErr w:type="spellStart"/>
      <w:r w:rsidRPr="005F1A2C">
        <w:t>kmo</w:t>
      </w:r>
      <w:proofErr w:type="spellEnd"/>
      <w:r w:rsidRPr="005F1A2C">
        <w:t>-portefeuille’.</w:t>
      </w:r>
    </w:p>
    <w:p w:rsidR="005F1A2C" w:rsidRPr="005F1A2C" w:rsidRDefault="005F1A2C" w:rsidP="005F1A2C">
      <w:pPr>
        <w:ind w:left="284"/>
        <w:jc w:val="both"/>
      </w:pPr>
      <w:r w:rsidRPr="005F1A2C">
        <w:t>Eens erkend</w:t>
      </w:r>
      <w:r w:rsidR="000C130A">
        <w:t>,</w:t>
      </w:r>
      <w:r w:rsidRPr="005F1A2C">
        <w:t xml:space="preserve"> worden de dienstverleners gecontroleerd door het Agentschap Ondernemen. De afdelingen Inspectie en Ondersteuning en Economisch Ondersteuningsbeleid, team </w:t>
      </w:r>
      <w:proofErr w:type="spellStart"/>
      <w:r w:rsidRPr="005F1A2C">
        <w:t>kmo</w:t>
      </w:r>
      <w:proofErr w:type="spellEnd"/>
      <w:r w:rsidRPr="005F1A2C">
        <w:t>-portefeuille</w:t>
      </w:r>
      <w:r w:rsidR="00CC7A5C">
        <w:t>,</w:t>
      </w:r>
      <w:r w:rsidRPr="005F1A2C">
        <w:t xml:space="preserve"> van het Agentschap Ondernemen werken daartoe samen en kunnen dienstverleners bijsturen. Indien zware fouten of oneigenlijk gebruik wordt vastgesteld kan de erkenning worden ingetrokken.</w:t>
      </w:r>
    </w:p>
    <w:p w:rsidR="005F1A2C" w:rsidRPr="005F1A2C" w:rsidRDefault="005F1A2C" w:rsidP="005F1A2C">
      <w:pPr>
        <w:ind w:left="284"/>
        <w:jc w:val="both"/>
      </w:pPr>
      <w:r w:rsidRPr="005F1A2C">
        <w:t xml:space="preserve">Naar aanleiding van de klacht bij de Vlaamse </w:t>
      </w:r>
      <w:proofErr w:type="spellStart"/>
      <w:r w:rsidRPr="005F1A2C">
        <w:t>Ombudsdienst</w:t>
      </w:r>
      <w:proofErr w:type="spellEnd"/>
      <w:r w:rsidRPr="005F1A2C">
        <w:t xml:space="preserve"> werd met de dienstverlener in kwestie contact genomen en werd de dienstverlener na overleg aangemaand om de communicatie bij te sturen, hetgeen intussen gebeurd is.</w:t>
      </w:r>
    </w:p>
    <w:p w:rsidR="005F1A2C" w:rsidRDefault="005F1A2C" w:rsidP="005F1A2C">
      <w:pPr>
        <w:pStyle w:val="SVTitel"/>
        <w:rPr>
          <w:i w:val="0"/>
        </w:rPr>
      </w:pPr>
    </w:p>
    <w:p w:rsidR="005F1A2C" w:rsidRDefault="005F1A2C" w:rsidP="005F1A2C">
      <w:pPr>
        <w:pStyle w:val="Lijstalinea"/>
        <w:numPr>
          <w:ilvl w:val="0"/>
          <w:numId w:val="4"/>
        </w:numPr>
        <w:ind w:left="284" w:hanging="284"/>
        <w:jc w:val="both"/>
      </w:pPr>
      <w:r w:rsidRPr="005F1A2C">
        <w:t>H</w:t>
      </w:r>
      <w:r>
        <w:t>et overzicht van de erkende dienstverleners ziet eruit als volgt.</w:t>
      </w:r>
    </w:p>
    <w:p w:rsidR="005F1A2C" w:rsidRPr="005F1A2C" w:rsidRDefault="005F1A2C" w:rsidP="005F1A2C">
      <w:pPr>
        <w:pStyle w:val="Lijstalinea"/>
        <w:ind w:left="284"/>
        <w:jc w:val="both"/>
      </w:pPr>
    </w:p>
    <w:tbl>
      <w:tblPr>
        <w:tblW w:w="473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3402"/>
        <w:gridCol w:w="1228"/>
        <w:gridCol w:w="1229"/>
        <w:gridCol w:w="1229"/>
        <w:gridCol w:w="1700"/>
      </w:tblGrid>
      <w:tr w:rsidR="005F1A2C" w:rsidRPr="008360E1" w:rsidTr="005F1A2C">
        <w:trPr>
          <w:trHeight w:val="397"/>
        </w:trPr>
        <w:tc>
          <w:tcPr>
            <w:tcW w:w="1936" w:type="pct"/>
            <w:shd w:val="clear" w:color="auto" w:fill="92D050"/>
            <w:noWrap/>
            <w:hideMark/>
          </w:tcPr>
          <w:p w:rsidR="005F1A2C" w:rsidRPr="008360E1" w:rsidRDefault="005F1A2C" w:rsidP="006B0B8D">
            <w:pPr>
              <w:pStyle w:val="SVTitel"/>
              <w:rPr>
                <w:b/>
                <w:bCs/>
                <w:i w:val="0"/>
                <w:lang w:val="nl-BE"/>
              </w:rPr>
            </w:pPr>
          </w:p>
        </w:tc>
        <w:tc>
          <w:tcPr>
            <w:tcW w:w="699" w:type="pct"/>
            <w:shd w:val="clear" w:color="auto" w:fill="92D050"/>
            <w:noWrap/>
            <w:hideMark/>
          </w:tcPr>
          <w:p w:rsidR="005F1A2C" w:rsidRPr="008360E1" w:rsidRDefault="005F1A2C" w:rsidP="005F1A2C">
            <w:pPr>
              <w:pStyle w:val="SVTitel"/>
              <w:jc w:val="center"/>
              <w:rPr>
                <w:b/>
                <w:bCs/>
                <w:i w:val="0"/>
                <w:lang w:val="nl-BE"/>
              </w:rPr>
            </w:pPr>
            <w:r w:rsidRPr="008360E1">
              <w:rPr>
                <w:b/>
                <w:bCs/>
                <w:i w:val="0"/>
                <w:lang w:val="nl-BE"/>
              </w:rPr>
              <w:t>2010</w:t>
            </w:r>
          </w:p>
        </w:tc>
        <w:tc>
          <w:tcPr>
            <w:tcW w:w="699" w:type="pct"/>
            <w:shd w:val="clear" w:color="auto" w:fill="92D050"/>
          </w:tcPr>
          <w:p w:rsidR="005F1A2C" w:rsidRPr="008360E1" w:rsidRDefault="005F1A2C" w:rsidP="005F1A2C">
            <w:pPr>
              <w:pStyle w:val="SVTitel"/>
              <w:jc w:val="center"/>
              <w:rPr>
                <w:b/>
                <w:bCs/>
                <w:i w:val="0"/>
                <w:lang w:val="nl-BE"/>
              </w:rPr>
            </w:pPr>
            <w:r w:rsidRPr="008360E1">
              <w:rPr>
                <w:b/>
                <w:bCs/>
                <w:i w:val="0"/>
                <w:lang w:val="nl-BE"/>
              </w:rPr>
              <w:t>2011</w:t>
            </w:r>
          </w:p>
        </w:tc>
        <w:tc>
          <w:tcPr>
            <w:tcW w:w="699" w:type="pct"/>
            <w:shd w:val="clear" w:color="auto" w:fill="92D050"/>
            <w:noWrap/>
            <w:hideMark/>
          </w:tcPr>
          <w:p w:rsidR="005F1A2C" w:rsidRPr="008360E1" w:rsidRDefault="005F1A2C" w:rsidP="005F1A2C">
            <w:pPr>
              <w:pStyle w:val="SVTitel"/>
              <w:jc w:val="center"/>
              <w:rPr>
                <w:b/>
                <w:bCs/>
                <w:i w:val="0"/>
                <w:lang w:val="nl-BE"/>
              </w:rPr>
            </w:pPr>
            <w:r w:rsidRPr="008360E1">
              <w:rPr>
                <w:b/>
                <w:bCs/>
                <w:i w:val="0"/>
                <w:lang w:val="nl-BE"/>
              </w:rPr>
              <w:t>2012</w:t>
            </w:r>
          </w:p>
        </w:tc>
        <w:tc>
          <w:tcPr>
            <w:tcW w:w="967" w:type="pct"/>
            <w:shd w:val="clear" w:color="auto" w:fill="92D050"/>
          </w:tcPr>
          <w:p w:rsidR="005F1A2C" w:rsidRDefault="005F1A2C" w:rsidP="005F1A2C">
            <w:pPr>
              <w:pStyle w:val="SVTitel"/>
              <w:jc w:val="center"/>
              <w:rPr>
                <w:b/>
                <w:bCs/>
                <w:i w:val="0"/>
                <w:lang w:val="nl-BE"/>
              </w:rPr>
            </w:pPr>
            <w:r>
              <w:rPr>
                <w:b/>
                <w:bCs/>
                <w:i w:val="0"/>
                <w:lang w:val="nl-BE"/>
              </w:rPr>
              <w:t>2013</w:t>
            </w:r>
          </w:p>
          <w:p w:rsidR="005F1A2C" w:rsidRPr="008360E1" w:rsidRDefault="005F1A2C" w:rsidP="005F1A2C">
            <w:pPr>
              <w:pStyle w:val="SVTitel"/>
              <w:jc w:val="center"/>
              <w:rPr>
                <w:b/>
                <w:bCs/>
                <w:i w:val="0"/>
                <w:lang w:val="nl-BE"/>
              </w:rPr>
            </w:pPr>
            <w:r>
              <w:rPr>
                <w:b/>
                <w:bCs/>
                <w:i w:val="0"/>
                <w:lang w:val="nl-BE"/>
              </w:rPr>
              <w:t>(op 16/04/2013)</w:t>
            </w:r>
          </w:p>
        </w:tc>
      </w:tr>
      <w:tr w:rsidR="005F1A2C" w:rsidRPr="008360E1" w:rsidTr="005F1A2C">
        <w:trPr>
          <w:trHeight w:val="397"/>
        </w:trPr>
        <w:tc>
          <w:tcPr>
            <w:tcW w:w="1936" w:type="pct"/>
            <w:shd w:val="clear" w:color="auto" w:fill="92D050"/>
            <w:noWrap/>
            <w:vAlign w:val="center"/>
            <w:hideMark/>
          </w:tcPr>
          <w:p w:rsidR="005F1A2C" w:rsidRPr="008360E1" w:rsidRDefault="005F1A2C" w:rsidP="005F1A2C">
            <w:pPr>
              <w:pStyle w:val="SVTitel"/>
              <w:jc w:val="left"/>
              <w:rPr>
                <w:b/>
                <w:bCs/>
                <w:i w:val="0"/>
                <w:lang w:val="nl-BE"/>
              </w:rPr>
            </w:pPr>
            <w:r w:rsidRPr="008360E1">
              <w:rPr>
                <w:b/>
                <w:bCs/>
                <w:i w:val="0"/>
                <w:lang w:val="nl-BE"/>
              </w:rPr>
              <w:t>Aantal erkende dienstverleners</w:t>
            </w:r>
          </w:p>
        </w:tc>
        <w:tc>
          <w:tcPr>
            <w:tcW w:w="699" w:type="pct"/>
            <w:shd w:val="clear" w:color="auto" w:fill="FFFFFF"/>
            <w:noWrap/>
            <w:vAlign w:val="center"/>
            <w:hideMark/>
          </w:tcPr>
          <w:p w:rsidR="005F1A2C" w:rsidRPr="008360E1" w:rsidRDefault="005F1A2C" w:rsidP="005F1A2C">
            <w:pPr>
              <w:pStyle w:val="SVTitel"/>
              <w:jc w:val="center"/>
              <w:rPr>
                <w:i w:val="0"/>
                <w:lang w:val="nl-BE"/>
              </w:rPr>
            </w:pPr>
            <w:r w:rsidRPr="008360E1">
              <w:rPr>
                <w:i w:val="0"/>
                <w:lang w:val="nl-BE"/>
              </w:rPr>
              <w:t>1.761</w:t>
            </w:r>
          </w:p>
        </w:tc>
        <w:tc>
          <w:tcPr>
            <w:tcW w:w="699" w:type="pct"/>
            <w:shd w:val="clear" w:color="auto" w:fill="FFFFFF"/>
            <w:vAlign w:val="center"/>
          </w:tcPr>
          <w:p w:rsidR="005F1A2C" w:rsidRPr="008360E1" w:rsidRDefault="005F1A2C" w:rsidP="005F1A2C">
            <w:pPr>
              <w:pStyle w:val="SVTitel"/>
              <w:jc w:val="center"/>
              <w:rPr>
                <w:i w:val="0"/>
                <w:lang w:val="nl-BE"/>
              </w:rPr>
            </w:pPr>
            <w:r w:rsidRPr="008360E1">
              <w:rPr>
                <w:i w:val="0"/>
                <w:lang w:val="nl-BE"/>
              </w:rPr>
              <w:t>1.710</w:t>
            </w:r>
          </w:p>
        </w:tc>
        <w:tc>
          <w:tcPr>
            <w:tcW w:w="699" w:type="pct"/>
            <w:shd w:val="clear" w:color="auto" w:fill="FFFFFF"/>
            <w:noWrap/>
            <w:vAlign w:val="center"/>
            <w:hideMark/>
          </w:tcPr>
          <w:p w:rsidR="005F1A2C" w:rsidRPr="008360E1" w:rsidRDefault="005F1A2C" w:rsidP="005F1A2C">
            <w:pPr>
              <w:pStyle w:val="SVTitel"/>
              <w:jc w:val="center"/>
              <w:rPr>
                <w:i w:val="0"/>
                <w:lang w:val="nl-BE"/>
              </w:rPr>
            </w:pPr>
            <w:r w:rsidRPr="008360E1">
              <w:rPr>
                <w:i w:val="0"/>
                <w:lang w:val="nl-BE"/>
              </w:rPr>
              <w:t>1.457</w:t>
            </w:r>
          </w:p>
        </w:tc>
        <w:tc>
          <w:tcPr>
            <w:tcW w:w="967" w:type="pct"/>
            <w:shd w:val="clear" w:color="auto" w:fill="FFFFFF"/>
            <w:vAlign w:val="center"/>
          </w:tcPr>
          <w:p w:rsidR="005F1A2C" w:rsidRPr="008360E1" w:rsidRDefault="005F1A2C" w:rsidP="005F1A2C">
            <w:pPr>
              <w:pStyle w:val="SVTitel"/>
              <w:jc w:val="center"/>
              <w:rPr>
                <w:i w:val="0"/>
                <w:lang w:val="nl-BE"/>
              </w:rPr>
            </w:pPr>
            <w:r>
              <w:rPr>
                <w:i w:val="0"/>
                <w:lang w:val="nl-BE"/>
              </w:rPr>
              <w:t>1.784</w:t>
            </w:r>
          </w:p>
        </w:tc>
      </w:tr>
    </w:tbl>
    <w:p w:rsidR="005F1A2C" w:rsidRPr="005F1A2C" w:rsidRDefault="005F1A2C" w:rsidP="005F1A2C">
      <w:pPr>
        <w:ind w:left="284"/>
        <w:jc w:val="both"/>
      </w:pPr>
    </w:p>
    <w:p w:rsidR="005F1A2C" w:rsidRPr="005F1A2C" w:rsidRDefault="005F1A2C" w:rsidP="005F1A2C">
      <w:pPr>
        <w:ind w:left="284"/>
        <w:jc w:val="both"/>
      </w:pPr>
      <w:r w:rsidRPr="005F1A2C">
        <w:t xml:space="preserve">De provinciale opdeling kan enkel gegeven worden op niveau van erkenning waarbij rekening wordt gehouden met de ligging van de maatschappelijke zetel van de erkende dienstverlener. Een dienstverlener kan </w:t>
      </w:r>
      <w:r w:rsidR="00B45E4D">
        <w:t>één</w:t>
      </w:r>
      <w:r w:rsidRPr="005F1A2C">
        <w:t xml:space="preserve"> of meerdere erkenningen hebben naargelang hij zijn diensten aanbiedt in meerdere pijlers.</w:t>
      </w:r>
    </w:p>
    <w:p w:rsidR="005F1A2C" w:rsidRDefault="005F1A2C" w:rsidP="005F1A2C">
      <w:pPr>
        <w:ind w:left="284"/>
        <w:jc w:val="both"/>
      </w:pPr>
    </w:p>
    <w:tbl>
      <w:tblPr>
        <w:tblW w:w="7652" w:type="dxa"/>
        <w:tblInd w:w="354" w:type="dxa"/>
        <w:tblCellMar>
          <w:left w:w="70" w:type="dxa"/>
          <w:right w:w="70" w:type="dxa"/>
        </w:tblCellMar>
        <w:tblLook w:val="04A0" w:firstRow="1" w:lastRow="0" w:firstColumn="1" w:lastColumn="0" w:noHBand="0" w:noVBand="1"/>
      </w:tblPr>
      <w:tblGrid>
        <w:gridCol w:w="1984"/>
        <w:gridCol w:w="1417"/>
        <w:gridCol w:w="1417"/>
        <w:gridCol w:w="1417"/>
        <w:gridCol w:w="1417"/>
      </w:tblGrid>
      <w:tr w:rsidR="005F1A2C" w:rsidRPr="00A92186" w:rsidTr="00532031">
        <w:trPr>
          <w:trHeight w:val="300"/>
        </w:trPr>
        <w:tc>
          <w:tcPr>
            <w:tcW w:w="7652" w:type="dxa"/>
            <w:gridSpan w:val="5"/>
            <w:tcBorders>
              <w:top w:val="single" w:sz="4" w:space="0" w:color="auto"/>
              <w:left w:val="single" w:sz="4" w:space="0" w:color="auto"/>
              <w:bottom w:val="single" w:sz="4" w:space="0" w:color="auto"/>
              <w:right w:val="single" w:sz="4" w:space="0" w:color="auto"/>
            </w:tcBorders>
            <w:shd w:val="clear" w:color="DCE6F1" w:fill="92D050"/>
            <w:noWrap/>
            <w:vAlign w:val="bottom"/>
            <w:hideMark/>
          </w:tcPr>
          <w:p w:rsidR="005F1A2C" w:rsidRPr="00A92186" w:rsidRDefault="005F1A2C" w:rsidP="006B0B8D">
            <w:pPr>
              <w:jc w:val="center"/>
              <w:rPr>
                <w:rFonts w:ascii="Calibri" w:hAnsi="Calibri" w:cs="Calibri"/>
                <w:b/>
                <w:bCs/>
                <w:color w:val="000000"/>
                <w:szCs w:val="22"/>
                <w:lang w:val="nl-BE" w:eastAsia="nl-BE"/>
              </w:rPr>
            </w:pPr>
            <w:r w:rsidRPr="00A92186">
              <w:rPr>
                <w:rFonts w:ascii="Calibri" w:hAnsi="Calibri" w:cs="Calibri"/>
                <w:b/>
                <w:bCs/>
                <w:color w:val="000000"/>
                <w:szCs w:val="22"/>
                <w:lang w:val="nl-BE" w:eastAsia="nl-BE"/>
              </w:rPr>
              <w:t>Aantal erkenningen</w:t>
            </w:r>
          </w:p>
        </w:tc>
      </w:tr>
      <w:tr w:rsidR="005F1A2C" w:rsidRPr="00A92186" w:rsidTr="005F1A2C">
        <w:trPr>
          <w:trHeight w:val="300"/>
        </w:trPr>
        <w:tc>
          <w:tcPr>
            <w:tcW w:w="1984" w:type="dxa"/>
            <w:tcBorders>
              <w:top w:val="nil"/>
              <w:left w:val="single" w:sz="4" w:space="0" w:color="auto"/>
              <w:bottom w:val="single" w:sz="4" w:space="0" w:color="auto"/>
              <w:right w:val="single" w:sz="4" w:space="0" w:color="auto"/>
            </w:tcBorders>
            <w:shd w:val="clear" w:color="000000" w:fill="92D050"/>
            <w:noWrap/>
            <w:vAlign w:val="bottom"/>
            <w:hideMark/>
          </w:tcPr>
          <w:p w:rsidR="005F1A2C" w:rsidRPr="00A92186" w:rsidRDefault="005F1A2C" w:rsidP="006B0B8D">
            <w:pPr>
              <w:rPr>
                <w:rFonts w:ascii="Calibri" w:hAnsi="Calibri" w:cs="Calibri"/>
                <w:b/>
                <w:bCs/>
                <w:color w:val="000000"/>
                <w:szCs w:val="22"/>
                <w:lang w:val="nl-BE" w:eastAsia="nl-BE"/>
              </w:rPr>
            </w:pPr>
            <w:r w:rsidRPr="00A92186">
              <w:rPr>
                <w:rFonts w:ascii="Calibri" w:hAnsi="Calibri" w:cs="Calibri"/>
                <w:b/>
                <w:bCs/>
                <w:color w:val="000000"/>
                <w:szCs w:val="22"/>
                <w:lang w:val="nl-BE" w:eastAsia="nl-BE"/>
              </w:rPr>
              <w:t>Provincie/regio</w:t>
            </w:r>
          </w:p>
        </w:tc>
        <w:tc>
          <w:tcPr>
            <w:tcW w:w="1417" w:type="dxa"/>
            <w:tcBorders>
              <w:top w:val="nil"/>
              <w:left w:val="nil"/>
              <w:bottom w:val="single" w:sz="4" w:space="0" w:color="auto"/>
              <w:right w:val="single" w:sz="4" w:space="0" w:color="auto"/>
            </w:tcBorders>
            <w:shd w:val="clear" w:color="000000" w:fill="92D050"/>
            <w:noWrap/>
            <w:vAlign w:val="bottom"/>
            <w:hideMark/>
          </w:tcPr>
          <w:p w:rsidR="005F1A2C" w:rsidRPr="00A92186" w:rsidRDefault="005F1A2C" w:rsidP="005F1A2C">
            <w:pPr>
              <w:jc w:val="center"/>
              <w:rPr>
                <w:rFonts w:ascii="Calibri" w:hAnsi="Calibri" w:cs="Calibri"/>
                <w:b/>
                <w:bCs/>
                <w:color w:val="000000"/>
                <w:szCs w:val="22"/>
                <w:lang w:val="nl-BE" w:eastAsia="nl-BE"/>
              </w:rPr>
            </w:pPr>
            <w:r w:rsidRPr="00A92186">
              <w:rPr>
                <w:rFonts w:ascii="Calibri" w:hAnsi="Calibri" w:cs="Calibri"/>
                <w:b/>
                <w:bCs/>
                <w:color w:val="000000"/>
                <w:szCs w:val="22"/>
                <w:lang w:val="nl-BE" w:eastAsia="nl-BE"/>
              </w:rPr>
              <w:t>01/01/2010</w:t>
            </w:r>
          </w:p>
        </w:tc>
        <w:tc>
          <w:tcPr>
            <w:tcW w:w="1417" w:type="dxa"/>
            <w:tcBorders>
              <w:top w:val="nil"/>
              <w:left w:val="nil"/>
              <w:bottom w:val="single" w:sz="4" w:space="0" w:color="auto"/>
              <w:right w:val="single" w:sz="4" w:space="0" w:color="auto"/>
            </w:tcBorders>
            <w:shd w:val="clear" w:color="000000" w:fill="92D050"/>
            <w:noWrap/>
            <w:vAlign w:val="bottom"/>
            <w:hideMark/>
          </w:tcPr>
          <w:p w:rsidR="005F1A2C" w:rsidRPr="00A92186" w:rsidRDefault="005F1A2C" w:rsidP="005F1A2C">
            <w:pPr>
              <w:jc w:val="center"/>
              <w:rPr>
                <w:rFonts w:ascii="Calibri" w:hAnsi="Calibri" w:cs="Calibri"/>
                <w:b/>
                <w:bCs/>
                <w:color w:val="000000"/>
                <w:szCs w:val="22"/>
                <w:lang w:val="nl-BE" w:eastAsia="nl-BE"/>
              </w:rPr>
            </w:pPr>
            <w:r w:rsidRPr="00A92186">
              <w:rPr>
                <w:rFonts w:ascii="Calibri" w:hAnsi="Calibri" w:cs="Calibri"/>
                <w:b/>
                <w:bCs/>
                <w:color w:val="000000"/>
                <w:szCs w:val="22"/>
                <w:lang w:val="nl-BE" w:eastAsia="nl-BE"/>
              </w:rPr>
              <w:t>1/01/2011</w:t>
            </w:r>
          </w:p>
        </w:tc>
        <w:tc>
          <w:tcPr>
            <w:tcW w:w="1417" w:type="dxa"/>
            <w:tcBorders>
              <w:top w:val="nil"/>
              <w:left w:val="nil"/>
              <w:bottom w:val="single" w:sz="4" w:space="0" w:color="auto"/>
              <w:right w:val="single" w:sz="4" w:space="0" w:color="auto"/>
            </w:tcBorders>
            <w:shd w:val="clear" w:color="000000" w:fill="92D050"/>
            <w:noWrap/>
            <w:vAlign w:val="bottom"/>
            <w:hideMark/>
          </w:tcPr>
          <w:p w:rsidR="005F1A2C" w:rsidRPr="00A92186" w:rsidRDefault="005F1A2C" w:rsidP="005F1A2C">
            <w:pPr>
              <w:jc w:val="center"/>
              <w:rPr>
                <w:rFonts w:ascii="Calibri" w:hAnsi="Calibri" w:cs="Calibri"/>
                <w:b/>
                <w:bCs/>
                <w:color w:val="000000"/>
                <w:szCs w:val="22"/>
                <w:lang w:val="nl-BE" w:eastAsia="nl-BE"/>
              </w:rPr>
            </w:pPr>
            <w:r w:rsidRPr="00A92186">
              <w:rPr>
                <w:rFonts w:ascii="Calibri" w:hAnsi="Calibri" w:cs="Calibri"/>
                <w:b/>
                <w:bCs/>
                <w:color w:val="000000"/>
                <w:szCs w:val="22"/>
                <w:lang w:val="nl-BE" w:eastAsia="nl-BE"/>
              </w:rPr>
              <w:t>1/01/2012</w:t>
            </w:r>
          </w:p>
        </w:tc>
        <w:tc>
          <w:tcPr>
            <w:tcW w:w="1417" w:type="dxa"/>
            <w:tcBorders>
              <w:top w:val="nil"/>
              <w:left w:val="nil"/>
              <w:bottom w:val="single" w:sz="4" w:space="0" w:color="auto"/>
              <w:right w:val="single" w:sz="4" w:space="0" w:color="auto"/>
            </w:tcBorders>
            <w:shd w:val="clear" w:color="000000" w:fill="92D050"/>
            <w:noWrap/>
            <w:vAlign w:val="bottom"/>
            <w:hideMark/>
          </w:tcPr>
          <w:p w:rsidR="005F1A2C" w:rsidRPr="00A92186" w:rsidRDefault="005F1A2C" w:rsidP="005F1A2C">
            <w:pPr>
              <w:jc w:val="center"/>
              <w:rPr>
                <w:rFonts w:ascii="Calibri" w:hAnsi="Calibri" w:cs="Calibri"/>
                <w:b/>
                <w:bCs/>
                <w:color w:val="000000"/>
                <w:szCs w:val="22"/>
                <w:lang w:val="nl-BE" w:eastAsia="nl-BE"/>
              </w:rPr>
            </w:pPr>
            <w:r w:rsidRPr="00A92186">
              <w:rPr>
                <w:rFonts w:ascii="Calibri" w:hAnsi="Calibri" w:cs="Calibri"/>
                <w:b/>
                <w:bCs/>
                <w:color w:val="000000"/>
                <w:szCs w:val="22"/>
                <w:lang w:val="nl-BE" w:eastAsia="nl-BE"/>
              </w:rPr>
              <w:t>1/01/2013</w:t>
            </w:r>
          </w:p>
        </w:tc>
      </w:tr>
      <w:tr w:rsidR="005F1A2C" w:rsidRPr="00A92186" w:rsidTr="005F1A2C">
        <w:trPr>
          <w:trHeight w:val="300"/>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F1A2C" w:rsidRPr="00A92186" w:rsidRDefault="005F1A2C" w:rsidP="006B0B8D">
            <w:pPr>
              <w:rPr>
                <w:rFonts w:ascii="Calibri" w:hAnsi="Calibri" w:cs="Calibri"/>
                <w:color w:val="000000"/>
                <w:szCs w:val="22"/>
                <w:lang w:val="nl-BE" w:eastAsia="nl-BE"/>
              </w:rPr>
            </w:pPr>
            <w:r w:rsidRPr="00A92186">
              <w:rPr>
                <w:rFonts w:ascii="Calibri" w:hAnsi="Calibri" w:cs="Calibri"/>
                <w:color w:val="000000"/>
                <w:szCs w:val="22"/>
                <w:lang w:val="nl-BE" w:eastAsia="nl-BE"/>
              </w:rPr>
              <w:t>Antwerpen</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4"/>
              <w:jc w:val="right"/>
              <w:rPr>
                <w:rFonts w:ascii="Calibri" w:hAnsi="Calibri" w:cs="Calibri"/>
                <w:color w:val="000000"/>
                <w:szCs w:val="22"/>
                <w:lang w:val="nl-BE" w:eastAsia="nl-BE"/>
              </w:rPr>
            </w:pPr>
            <w:r w:rsidRPr="00A92186">
              <w:rPr>
                <w:rFonts w:ascii="Calibri" w:hAnsi="Calibri" w:cs="Calibri"/>
                <w:color w:val="000000"/>
                <w:szCs w:val="22"/>
                <w:lang w:val="nl-BE" w:eastAsia="nl-BE"/>
              </w:rPr>
              <w:t>412</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5F1A2C">
            <w:pPr>
              <w:ind w:right="442"/>
              <w:jc w:val="right"/>
              <w:rPr>
                <w:rFonts w:ascii="Calibri" w:hAnsi="Calibri" w:cs="Calibri"/>
                <w:color w:val="000000"/>
                <w:szCs w:val="22"/>
                <w:lang w:val="nl-BE" w:eastAsia="nl-BE"/>
              </w:rPr>
            </w:pPr>
            <w:r w:rsidRPr="00A92186">
              <w:rPr>
                <w:rFonts w:ascii="Calibri" w:hAnsi="Calibri" w:cs="Calibri"/>
                <w:color w:val="000000"/>
                <w:szCs w:val="22"/>
                <w:lang w:val="nl-BE" w:eastAsia="nl-BE"/>
              </w:rPr>
              <w:t>498</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3"/>
              <w:jc w:val="right"/>
              <w:rPr>
                <w:rFonts w:ascii="Calibri" w:hAnsi="Calibri" w:cs="Calibri"/>
                <w:color w:val="000000"/>
                <w:szCs w:val="22"/>
                <w:lang w:val="nl-BE" w:eastAsia="nl-BE"/>
              </w:rPr>
            </w:pPr>
            <w:r w:rsidRPr="00A92186">
              <w:rPr>
                <w:rFonts w:ascii="Calibri" w:hAnsi="Calibri" w:cs="Calibri"/>
                <w:color w:val="000000"/>
                <w:szCs w:val="22"/>
                <w:lang w:val="nl-BE" w:eastAsia="nl-BE"/>
              </w:rPr>
              <w:t>648</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3"/>
              <w:jc w:val="right"/>
              <w:rPr>
                <w:rFonts w:ascii="Calibri" w:hAnsi="Calibri" w:cs="Calibri"/>
                <w:color w:val="000000"/>
                <w:szCs w:val="22"/>
                <w:lang w:val="nl-BE" w:eastAsia="nl-BE"/>
              </w:rPr>
            </w:pPr>
            <w:r w:rsidRPr="00A92186">
              <w:rPr>
                <w:rFonts w:ascii="Calibri" w:hAnsi="Calibri" w:cs="Calibri"/>
                <w:color w:val="000000"/>
                <w:szCs w:val="22"/>
                <w:lang w:val="nl-BE" w:eastAsia="nl-BE"/>
              </w:rPr>
              <w:t>774</w:t>
            </w:r>
          </w:p>
        </w:tc>
      </w:tr>
      <w:tr w:rsidR="005F1A2C" w:rsidRPr="00A92186" w:rsidTr="005F1A2C">
        <w:trPr>
          <w:trHeight w:val="300"/>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F1A2C" w:rsidRPr="00A92186" w:rsidRDefault="005F1A2C" w:rsidP="006B0B8D">
            <w:pPr>
              <w:rPr>
                <w:rFonts w:ascii="Calibri" w:hAnsi="Calibri" w:cs="Calibri"/>
                <w:color w:val="000000"/>
                <w:szCs w:val="22"/>
                <w:lang w:val="nl-BE" w:eastAsia="nl-BE"/>
              </w:rPr>
            </w:pPr>
            <w:r w:rsidRPr="00A92186">
              <w:rPr>
                <w:rFonts w:ascii="Calibri" w:hAnsi="Calibri" w:cs="Calibri"/>
                <w:color w:val="000000"/>
                <w:szCs w:val="22"/>
                <w:lang w:val="nl-BE" w:eastAsia="nl-BE"/>
              </w:rPr>
              <w:t>Brussels Gewest</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4"/>
              <w:jc w:val="right"/>
              <w:rPr>
                <w:rFonts w:ascii="Calibri" w:hAnsi="Calibri" w:cs="Calibri"/>
                <w:color w:val="000000"/>
                <w:szCs w:val="22"/>
                <w:lang w:val="nl-BE" w:eastAsia="nl-BE"/>
              </w:rPr>
            </w:pPr>
            <w:r w:rsidRPr="00A92186">
              <w:rPr>
                <w:rFonts w:ascii="Calibri" w:hAnsi="Calibri" w:cs="Calibri"/>
                <w:color w:val="000000"/>
                <w:szCs w:val="22"/>
                <w:lang w:val="nl-BE" w:eastAsia="nl-BE"/>
              </w:rPr>
              <w:t>150</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5F1A2C">
            <w:pPr>
              <w:ind w:right="442"/>
              <w:jc w:val="right"/>
              <w:rPr>
                <w:rFonts w:ascii="Calibri" w:hAnsi="Calibri" w:cs="Calibri"/>
                <w:color w:val="000000"/>
                <w:szCs w:val="22"/>
                <w:lang w:val="nl-BE" w:eastAsia="nl-BE"/>
              </w:rPr>
            </w:pPr>
            <w:r w:rsidRPr="00A92186">
              <w:rPr>
                <w:rFonts w:ascii="Calibri" w:hAnsi="Calibri" w:cs="Calibri"/>
                <w:color w:val="000000"/>
                <w:szCs w:val="22"/>
                <w:lang w:val="nl-BE" w:eastAsia="nl-BE"/>
              </w:rPr>
              <w:t>174</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3"/>
              <w:jc w:val="right"/>
              <w:rPr>
                <w:rFonts w:ascii="Calibri" w:hAnsi="Calibri" w:cs="Calibri"/>
                <w:color w:val="000000"/>
                <w:szCs w:val="22"/>
                <w:lang w:val="nl-BE" w:eastAsia="nl-BE"/>
              </w:rPr>
            </w:pPr>
            <w:r w:rsidRPr="00A92186">
              <w:rPr>
                <w:rFonts w:ascii="Calibri" w:hAnsi="Calibri" w:cs="Calibri"/>
                <w:color w:val="000000"/>
                <w:szCs w:val="22"/>
                <w:lang w:val="nl-BE" w:eastAsia="nl-BE"/>
              </w:rPr>
              <w:t>213</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3"/>
              <w:jc w:val="right"/>
              <w:rPr>
                <w:rFonts w:ascii="Calibri" w:hAnsi="Calibri" w:cs="Calibri"/>
                <w:color w:val="000000"/>
                <w:szCs w:val="22"/>
                <w:lang w:val="nl-BE" w:eastAsia="nl-BE"/>
              </w:rPr>
            </w:pPr>
            <w:r w:rsidRPr="00A92186">
              <w:rPr>
                <w:rFonts w:ascii="Calibri" w:hAnsi="Calibri" w:cs="Calibri"/>
                <w:color w:val="000000"/>
                <w:szCs w:val="22"/>
                <w:lang w:val="nl-BE" w:eastAsia="nl-BE"/>
              </w:rPr>
              <w:t>269</w:t>
            </w:r>
          </w:p>
        </w:tc>
      </w:tr>
      <w:tr w:rsidR="005F1A2C" w:rsidRPr="00A92186" w:rsidTr="005F1A2C">
        <w:trPr>
          <w:trHeight w:val="300"/>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F1A2C" w:rsidRPr="00A92186" w:rsidRDefault="005F1A2C" w:rsidP="006B0B8D">
            <w:pPr>
              <w:rPr>
                <w:rFonts w:ascii="Calibri" w:hAnsi="Calibri" w:cs="Calibri"/>
                <w:color w:val="000000"/>
                <w:szCs w:val="22"/>
                <w:lang w:val="nl-BE" w:eastAsia="nl-BE"/>
              </w:rPr>
            </w:pPr>
            <w:r w:rsidRPr="00A92186">
              <w:rPr>
                <w:rFonts w:ascii="Calibri" w:hAnsi="Calibri" w:cs="Calibri"/>
                <w:color w:val="000000"/>
                <w:szCs w:val="22"/>
                <w:lang w:val="nl-BE" w:eastAsia="nl-BE"/>
              </w:rPr>
              <w:t>Henegouwen</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4"/>
              <w:jc w:val="right"/>
              <w:rPr>
                <w:rFonts w:ascii="Calibri" w:hAnsi="Calibri" w:cs="Calibri"/>
                <w:color w:val="000000"/>
                <w:szCs w:val="22"/>
                <w:lang w:val="nl-BE" w:eastAsia="nl-BE"/>
              </w:rPr>
            </w:pPr>
            <w:r w:rsidRPr="00A92186">
              <w:rPr>
                <w:rFonts w:ascii="Calibri" w:hAnsi="Calibri" w:cs="Calibri"/>
                <w:color w:val="000000"/>
                <w:szCs w:val="22"/>
                <w:lang w:val="nl-BE" w:eastAsia="nl-BE"/>
              </w:rPr>
              <w:t>2</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5F1A2C">
            <w:pPr>
              <w:ind w:right="442"/>
              <w:jc w:val="right"/>
              <w:rPr>
                <w:rFonts w:ascii="Calibri" w:hAnsi="Calibri" w:cs="Calibri"/>
                <w:color w:val="000000"/>
                <w:szCs w:val="22"/>
                <w:lang w:val="nl-BE" w:eastAsia="nl-BE"/>
              </w:rPr>
            </w:pPr>
            <w:r w:rsidRPr="00A92186">
              <w:rPr>
                <w:rFonts w:ascii="Calibri" w:hAnsi="Calibri" w:cs="Calibri"/>
                <w:color w:val="000000"/>
                <w:szCs w:val="22"/>
                <w:lang w:val="nl-BE" w:eastAsia="nl-BE"/>
              </w:rPr>
              <w:t>2</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3"/>
              <w:jc w:val="right"/>
              <w:rPr>
                <w:rFonts w:ascii="Calibri" w:hAnsi="Calibri" w:cs="Calibri"/>
                <w:color w:val="000000"/>
                <w:szCs w:val="22"/>
                <w:lang w:val="nl-BE" w:eastAsia="nl-BE"/>
              </w:rPr>
            </w:pPr>
            <w:r w:rsidRPr="00A92186">
              <w:rPr>
                <w:rFonts w:ascii="Calibri" w:hAnsi="Calibri" w:cs="Calibri"/>
                <w:color w:val="000000"/>
                <w:szCs w:val="22"/>
                <w:lang w:val="nl-BE" w:eastAsia="nl-BE"/>
              </w:rPr>
              <w:t>5</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3"/>
              <w:jc w:val="right"/>
              <w:rPr>
                <w:rFonts w:ascii="Calibri" w:hAnsi="Calibri" w:cs="Calibri"/>
                <w:color w:val="000000"/>
                <w:szCs w:val="22"/>
                <w:lang w:val="nl-BE" w:eastAsia="nl-BE"/>
              </w:rPr>
            </w:pPr>
            <w:r w:rsidRPr="00A92186">
              <w:rPr>
                <w:rFonts w:ascii="Calibri" w:hAnsi="Calibri" w:cs="Calibri"/>
                <w:color w:val="000000"/>
                <w:szCs w:val="22"/>
                <w:lang w:val="nl-BE" w:eastAsia="nl-BE"/>
              </w:rPr>
              <w:t>7</w:t>
            </w:r>
          </w:p>
        </w:tc>
      </w:tr>
      <w:tr w:rsidR="005F1A2C" w:rsidRPr="00A92186" w:rsidTr="005F1A2C">
        <w:trPr>
          <w:trHeight w:val="300"/>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F1A2C" w:rsidRPr="00A92186" w:rsidRDefault="005F1A2C" w:rsidP="006B0B8D">
            <w:pPr>
              <w:rPr>
                <w:rFonts w:ascii="Calibri" w:hAnsi="Calibri" w:cs="Calibri"/>
                <w:color w:val="000000"/>
                <w:szCs w:val="22"/>
                <w:lang w:val="nl-BE" w:eastAsia="nl-BE"/>
              </w:rPr>
            </w:pPr>
            <w:r w:rsidRPr="00A92186">
              <w:rPr>
                <w:rFonts w:ascii="Calibri" w:hAnsi="Calibri" w:cs="Calibri"/>
                <w:color w:val="000000"/>
                <w:szCs w:val="22"/>
                <w:lang w:val="nl-BE" w:eastAsia="nl-BE"/>
              </w:rPr>
              <w:t>Limburg</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4"/>
              <w:jc w:val="right"/>
              <w:rPr>
                <w:rFonts w:ascii="Calibri" w:hAnsi="Calibri" w:cs="Calibri"/>
                <w:color w:val="000000"/>
                <w:szCs w:val="22"/>
                <w:lang w:val="nl-BE" w:eastAsia="nl-BE"/>
              </w:rPr>
            </w:pPr>
            <w:r w:rsidRPr="00A92186">
              <w:rPr>
                <w:rFonts w:ascii="Calibri" w:hAnsi="Calibri" w:cs="Calibri"/>
                <w:color w:val="000000"/>
                <w:szCs w:val="22"/>
                <w:lang w:val="nl-BE" w:eastAsia="nl-BE"/>
              </w:rPr>
              <w:t>144</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5F1A2C">
            <w:pPr>
              <w:ind w:right="442"/>
              <w:jc w:val="right"/>
              <w:rPr>
                <w:rFonts w:ascii="Calibri" w:hAnsi="Calibri" w:cs="Calibri"/>
                <w:color w:val="000000"/>
                <w:szCs w:val="22"/>
                <w:lang w:val="nl-BE" w:eastAsia="nl-BE"/>
              </w:rPr>
            </w:pPr>
            <w:r w:rsidRPr="00A92186">
              <w:rPr>
                <w:rFonts w:ascii="Calibri" w:hAnsi="Calibri" w:cs="Calibri"/>
                <w:color w:val="000000"/>
                <w:szCs w:val="22"/>
                <w:lang w:val="nl-BE" w:eastAsia="nl-BE"/>
              </w:rPr>
              <w:t>178</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3"/>
              <w:jc w:val="right"/>
              <w:rPr>
                <w:rFonts w:ascii="Calibri" w:hAnsi="Calibri" w:cs="Calibri"/>
                <w:color w:val="000000"/>
                <w:szCs w:val="22"/>
                <w:lang w:val="nl-BE" w:eastAsia="nl-BE"/>
              </w:rPr>
            </w:pPr>
            <w:r w:rsidRPr="00A92186">
              <w:rPr>
                <w:rFonts w:ascii="Calibri" w:hAnsi="Calibri" w:cs="Calibri"/>
                <w:color w:val="000000"/>
                <w:szCs w:val="22"/>
                <w:lang w:val="nl-BE" w:eastAsia="nl-BE"/>
              </w:rPr>
              <w:t>233</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3"/>
              <w:jc w:val="right"/>
              <w:rPr>
                <w:rFonts w:ascii="Calibri" w:hAnsi="Calibri" w:cs="Calibri"/>
                <w:color w:val="000000"/>
                <w:szCs w:val="22"/>
                <w:lang w:val="nl-BE" w:eastAsia="nl-BE"/>
              </w:rPr>
            </w:pPr>
            <w:r w:rsidRPr="00A92186">
              <w:rPr>
                <w:rFonts w:ascii="Calibri" w:hAnsi="Calibri" w:cs="Calibri"/>
                <w:color w:val="000000"/>
                <w:szCs w:val="22"/>
                <w:lang w:val="nl-BE" w:eastAsia="nl-BE"/>
              </w:rPr>
              <w:t>313</w:t>
            </w:r>
          </w:p>
        </w:tc>
      </w:tr>
      <w:tr w:rsidR="005F1A2C" w:rsidRPr="00A92186" w:rsidTr="005F1A2C">
        <w:trPr>
          <w:trHeight w:val="300"/>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F1A2C" w:rsidRPr="00A92186" w:rsidRDefault="005F1A2C" w:rsidP="006B0B8D">
            <w:pPr>
              <w:rPr>
                <w:rFonts w:ascii="Calibri" w:hAnsi="Calibri" w:cs="Calibri"/>
                <w:color w:val="000000"/>
                <w:szCs w:val="22"/>
                <w:lang w:val="nl-BE" w:eastAsia="nl-BE"/>
              </w:rPr>
            </w:pPr>
            <w:r w:rsidRPr="00A92186">
              <w:rPr>
                <w:rFonts w:ascii="Calibri" w:hAnsi="Calibri" w:cs="Calibri"/>
                <w:color w:val="000000"/>
                <w:szCs w:val="22"/>
                <w:lang w:val="nl-BE" w:eastAsia="nl-BE"/>
              </w:rPr>
              <w:t>Luik</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4"/>
              <w:jc w:val="right"/>
              <w:rPr>
                <w:rFonts w:ascii="Calibri" w:hAnsi="Calibri" w:cs="Calibri"/>
                <w:color w:val="000000"/>
                <w:szCs w:val="22"/>
                <w:lang w:val="nl-BE" w:eastAsia="nl-BE"/>
              </w:rPr>
            </w:pPr>
            <w:r w:rsidRPr="00A92186">
              <w:rPr>
                <w:rFonts w:ascii="Calibri" w:hAnsi="Calibri" w:cs="Calibri"/>
                <w:color w:val="000000"/>
                <w:szCs w:val="22"/>
                <w:lang w:val="nl-BE" w:eastAsia="nl-BE"/>
              </w:rPr>
              <w:t>10</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5F1A2C">
            <w:pPr>
              <w:ind w:right="442"/>
              <w:jc w:val="right"/>
              <w:rPr>
                <w:rFonts w:ascii="Calibri" w:hAnsi="Calibri" w:cs="Calibri"/>
                <w:color w:val="000000"/>
                <w:szCs w:val="22"/>
                <w:lang w:val="nl-BE" w:eastAsia="nl-BE"/>
              </w:rPr>
            </w:pPr>
            <w:r w:rsidRPr="00A92186">
              <w:rPr>
                <w:rFonts w:ascii="Calibri" w:hAnsi="Calibri" w:cs="Calibri"/>
                <w:color w:val="000000"/>
                <w:szCs w:val="22"/>
                <w:lang w:val="nl-BE" w:eastAsia="nl-BE"/>
              </w:rPr>
              <w:t>10</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3"/>
              <w:jc w:val="right"/>
              <w:rPr>
                <w:rFonts w:ascii="Calibri" w:hAnsi="Calibri" w:cs="Calibri"/>
                <w:color w:val="000000"/>
                <w:szCs w:val="22"/>
                <w:lang w:val="nl-BE" w:eastAsia="nl-BE"/>
              </w:rPr>
            </w:pPr>
            <w:r w:rsidRPr="00A92186">
              <w:rPr>
                <w:rFonts w:ascii="Calibri" w:hAnsi="Calibri" w:cs="Calibri"/>
                <w:color w:val="000000"/>
                <w:szCs w:val="22"/>
                <w:lang w:val="nl-BE" w:eastAsia="nl-BE"/>
              </w:rPr>
              <w:t>12</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3"/>
              <w:jc w:val="right"/>
              <w:rPr>
                <w:rFonts w:ascii="Calibri" w:hAnsi="Calibri" w:cs="Calibri"/>
                <w:color w:val="000000"/>
                <w:szCs w:val="22"/>
                <w:lang w:val="nl-BE" w:eastAsia="nl-BE"/>
              </w:rPr>
            </w:pPr>
            <w:r w:rsidRPr="00A92186">
              <w:rPr>
                <w:rFonts w:ascii="Calibri" w:hAnsi="Calibri" w:cs="Calibri"/>
                <w:color w:val="000000"/>
                <w:szCs w:val="22"/>
                <w:lang w:val="nl-BE" w:eastAsia="nl-BE"/>
              </w:rPr>
              <w:t>15</w:t>
            </w:r>
          </w:p>
        </w:tc>
      </w:tr>
      <w:tr w:rsidR="005F1A2C" w:rsidRPr="00A92186" w:rsidTr="005F1A2C">
        <w:trPr>
          <w:trHeight w:val="300"/>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F1A2C" w:rsidRPr="00A92186" w:rsidRDefault="005F1A2C" w:rsidP="006B0B8D">
            <w:pPr>
              <w:rPr>
                <w:rFonts w:ascii="Calibri" w:hAnsi="Calibri" w:cs="Calibri"/>
                <w:color w:val="000000"/>
                <w:szCs w:val="22"/>
                <w:lang w:val="nl-BE" w:eastAsia="nl-BE"/>
              </w:rPr>
            </w:pPr>
            <w:r w:rsidRPr="00A92186">
              <w:rPr>
                <w:rFonts w:ascii="Calibri" w:hAnsi="Calibri" w:cs="Calibri"/>
                <w:color w:val="000000"/>
                <w:szCs w:val="22"/>
                <w:lang w:val="nl-BE" w:eastAsia="nl-BE"/>
              </w:rPr>
              <w:t>Namen</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4"/>
              <w:jc w:val="right"/>
              <w:rPr>
                <w:rFonts w:ascii="Calibri" w:hAnsi="Calibri" w:cs="Calibri"/>
                <w:color w:val="000000"/>
                <w:szCs w:val="22"/>
                <w:lang w:val="nl-BE" w:eastAsia="nl-BE"/>
              </w:rPr>
            </w:pPr>
            <w:r w:rsidRPr="00A92186">
              <w:rPr>
                <w:rFonts w:ascii="Calibri" w:hAnsi="Calibri" w:cs="Calibri"/>
                <w:color w:val="000000"/>
                <w:szCs w:val="22"/>
                <w:lang w:val="nl-BE" w:eastAsia="nl-BE"/>
              </w:rPr>
              <w:t>1</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5F1A2C">
            <w:pPr>
              <w:ind w:right="442"/>
              <w:jc w:val="right"/>
              <w:rPr>
                <w:rFonts w:ascii="Calibri" w:hAnsi="Calibri" w:cs="Calibri"/>
                <w:color w:val="000000"/>
                <w:szCs w:val="22"/>
                <w:lang w:val="nl-BE" w:eastAsia="nl-BE"/>
              </w:rPr>
            </w:pPr>
            <w:r w:rsidRPr="00A92186">
              <w:rPr>
                <w:rFonts w:ascii="Calibri" w:hAnsi="Calibri" w:cs="Calibri"/>
                <w:color w:val="000000"/>
                <w:szCs w:val="22"/>
                <w:lang w:val="nl-BE" w:eastAsia="nl-BE"/>
              </w:rPr>
              <w:t>1</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3"/>
              <w:jc w:val="right"/>
              <w:rPr>
                <w:rFonts w:ascii="Calibri" w:hAnsi="Calibri" w:cs="Calibri"/>
                <w:color w:val="000000"/>
                <w:szCs w:val="22"/>
                <w:lang w:val="nl-BE" w:eastAsia="nl-BE"/>
              </w:rPr>
            </w:pPr>
            <w:r w:rsidRPr="00A92186">
              <w:rPr>
                <w:rFonts w:ascii="Calibri" w:hAnsi="Calibri" w:cs="Calibri"/>
                <w:color w:val="000000"/>
                <w:szCs w:val="22"/>
                <w:lang w:val="nl-BE" w:eastAsia="nl-BE"/>
              </w:rPr>
              <w:t>1</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3"/>
              <w:jc w:val="right"/>
              <w:rPr>
                <w:rFonts w:ascii="Calibri" w:hAnsi="Calibri" w:cs="Calibri"/>
                <w:color w:val="000000"/>
                <w:szCs w:val="22"/>
                <w:lang w:val="nl-BE" w:eastAsia="nl-BE"/>
              </w:rPr>
            </w:pPr>
            <w:r w:rsidRPr="00A92186">
              <w:rPr>
                <w:rFonts w:ascii="Calibri" w:hAnsi="Calibri" w:cs="Calibri"/>
                <w:color w:val="000000"/>
                <w:szCs w:val="22"/>
                <w:lang w:val="nl-BE" w:eastAsia="nl-BE"/>
              </w:rPr>
              <w:t>1</w:t>
            </w:r>
          </w:p>
        </w:tc>
      </w:tr>
      <w:tr w:rsidR="005F1A2C" w:rsidRPr="00A92186" w:rsidTr="005F1A2C">
        <w:trPr>
          <w:trHeight w:val="300"/>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F1A2C" w:rsidRPr="00A92186" w:rsidRDefault="005F1A2C" w:rsidP="006B0B8D">
            <w:pPr>
              <w:rPr>
                <w:rFonts w:ascii="Calibri" w:hAnsi="Calibri" w:cs="Calibri"/>
                <w:color w:val="000000"/>
                <w:szCs w:val="22"/>
                <w:lang w:val="nl-BE" w:eastAsia="nl-BE"/>
              </w:rPr>
            </w:pPr>
            <w:r w:rsidRPr="00A92186">
              <w:rPr>
                <w:rFonts w:ascii="Calibri" w:hAnsi="Calibri" w:cs="Calibri"/>
                <w:color w:val="000000"/>
                <w:szCs w:val="22"/>
                <w:lang w:val="nl-BE" w:eastAsia="nl-BE"/>
              </w:rPr>
              <w:t>Oost-Vlaanderen</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4"/>
              <w:jc w:val="right"/>
              <w:rPr>
                <w:rFonts w:ascii="Calibri" w:hAnsi="Calibri" w:cs="Calibri"/>
                <w:color w:val="000000"/>
                <w:szCs w:val="22"/>
                <w:lang w:val="nl-BE" w:eastAsia="nl-BE"/>
              </w:rPr>
            </w:pPr>
            <w:r w:rsidRPr="00A92186">
              <w:rPr>
                <w:rFonts w:ascii="Calibri" w:hAnsi="Calibri" w:cs="Calibri"/>
                <w:color w:val="000000"/>
                <w:szCs w:val="22"/>
                <w:lang w:val="nl-BE" w:eastAsia="nl-BE"/>
              </w:rPr>
              <w:t>291</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5F1A2C">
            <w:pPr>
              <w:ind w:right="442"/>
              <w:jc w:val="right"/>
              <w:rPr>
                <w:rFonts w:ascii="Calibri" w:hAnsi="Calibri" w:cs="Calibri"/>
                <w:color w:val="000000"/>
                <w:szCs w:val="22"/>
                <w:lang w:val="nl-BE" w:eastAsia="nl-BE"/>
              </w:rPr>
            </w:pPr>
            <w:r w:rsidRPr="00A92186">
              <w:rPr>
                <w:rFonts w:ascii="Calibri" w:hAnsi="Calibri" w:cs="Calibri"/>
                <w:color w:val="000000"/>
                <w:szCs w:val="22"/>
                <w:lang w:val="nl-BE" w:eastAsia="nl-BE"/>
              </w:rPr>
              <w:t>358</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3"/>
              <w:jc w:val="right"/>
              <w:rPr>
                <w:rFonts w:ascii="Calibri" w:hAnsi="Calibri" w:cs="Calibri"/>
                <w:color w:val="000000"/>
                <w:szCs w:val="22"/>
                <w:lang w:val="nl-BE" w:eastAsia="nl-BE"/>
              </w:rPr>
            </w:pPr>
            <w:r w:rsidRPr="00A92186">
              <w:rPr>
                <w:rFonts w:ascii="Calibri" w:hAnsi="Calibri" w:cs="Calibri"/>
                <w:color w:val="000000"/>
                <w:szCs w:val="22"/>
                <w:lang w:val="nl-BE" w:eastAsia="nl-BE"/>
              </w:rPr>
              <w:t>478</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3"/>
              <w:jc w:val="right"/>
              <w:rPr>
                <w:rFonts w:ascii="Calibri" w:hAnsi="Calibri" w:cs="Calibri"/>
                <w:color w:val="000000"/>
                <w:szCs w:val="22"/>
                <w:lang w:val="nl-BE" w:eastAsia="nl-BE"/>
              </w:rPr>
            </w:pPr>
            <w:r w:rsidRPr="00A92186">
              <w:rPr>
                <w:rFonts w:ascii="Calibri" w:hAnsi="Calibri" w:cs="Calibri"/>
                <w:color w:val="000000"/>
                <w:szCs w:val="22"/>
                <w:lang w:val="nl-BE" w:eastAsia="nl-BE"/>
              </w:rPr>
              <w:t>607</w:t>
            </w:r>
          </w:p>
        </w:tc>
      </w:tr>
      <w:tr w:rsidR="005F1A2C" w:rsidRPr="00A92186" w:rsidTr="005F1A2C">
        <w:trPr>
          <w:trHeight w:val="300"/>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F1A2C" w:rsidRPr="00A92186" w:rsidRDefault="005F1A2C" w:rsidP="006B0B8D">
            <w:pPr>
              <w:rPr>
                <w:rFonts w:ascii="Calibri" w:hAnsi="Calibri" w:cs="Calibri"/>
                <w:color w:val="000000"/>
                <w:szCs w:val="22"/>
                <w:lang w:val="nl-BE" w:eastAsia="nl-BE"/>
              </w:rPr>
            </w:pPr>
            <w:r w:rsidRPr="00A92186">
              <w:rPr>
                <w:rFonts w:ascii="Calibri" w:hAnsi="Calibri" w:cs="Calibri"/>
                <w:color w:val="000000"/>
                <w:szCs w:val="22"/>
                <w:lang w:val="nl-BE" w:eastAsia="nl-BE"/>
              </w:rPr>
              <w:t>Vlaams-Brabant</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4"/>
              <w:jc w:val="right"/>
              <w:rPr>
                <w:rFonts w:ascii="Calibri" w:hAnsi="Calibri" w:cs="Calibri"/>
                <w:color w:val="000000"/>
                <w:szCs w:val="22"/>
                <w:lang w:val="nl-BE" w:eastAsia="nl-BE"/>
              </w:rPr>
            </w:pPr>
            <w:r w:rsidRPr="00A92186">
              <w:rPr>
                <w:rFonts w:ascii="Calibri" w:hAnsi="Calibri" w:cs="Calibri"/>
                <w:color w:val="000000"/>
                <w:szCs w:val="22"/>
                <w:lang w:val="nl-BE" w:eastAsia="nl-BE"/>
              </w:rPr>
              <w:t>176</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5F1A2C">
            <w:pPr>
              <w:ind w:right="442"/>
              <w:jc w:val="right"/>
              <w:rPr>
                <w:rFonts w:ascii="Calibri" w:hAnsi="Calibri" w:cs="Calibri"/>
                <w:color w:val="000000"/>
                <w:szCs w:val="22"/>
                <w:lang w:val="nl-BE" w:eastAsia="nl-BE"/>
              </w:rPr>
            </w:pPr>
            <w:r w:rsidRPr="00A92186">
              <w:rPr>
                <w:rFonts w:ascii="Calibri" w:hAnsi="Calibri" w:cs="Calibri"/>
                <w:color w:val="000000"/>
                <w:szCs w:val="22"/>
                <w:lang w:val="nl-BE" w:eastAsia="nl-BE"/>
              </w:rPr>
              <w:t>253</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3"/>
              <w:jc w:val="right"/>
              <w:rPr>
                <w:rFonts w:ascii="Calibri" w:hAnsi="Calibri" w:cs="Calibri"/>
                <w:color w:val="000000"/>
                <w:szCs w:val="22"/>
                <w:lang w:val="nl-BE" w:eastAsia="nl-BE"/>
              </w:rPr>
            </w:pPr>
            <w:r w:rsidRPr="00A92186">
              <w:rPr>
                <w:rFonts w:ascii="Calibri" w:hAnsi="Calibri" w:cs="Calibri"/>
                <w:color w:val="000000"/>
                <w:szCs w:val="22"/>
                <w:lang w:val="nl-BE" w:eastAsia="nl-BE"/>
              </w:rPr>
              <w:t>308</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3"/>
              <w:jc w:val="right"/>
              <w:rPr>
                <w:rFonts w:ascii="Calibri" w:hAnsi="Calibri" w:cs="Calibri"/>
                <w:color w:val="000000"/>
                <w:szCs w:val="22"/>
                <w:lang w:val="nl-BE" w:eastAsia="nl-BE"/>
              </w:rPr>
            </w:pPr>
            <w:r w:rsidRPr="00A92186">
              <w:rPr>
                <w:rFonts w:ascii="Calibri" w:hAnsi="Calibri" w:cs="Calibri"/>
                <w:color w:val="000000"/>
                <w:szCs w:val="22"/>
                <w:lang w:val="nl-BE" w:eastAsia="nl-BE"/>
              </w:rPr>
              <w:t>388</w:t>
            </w:r>
          </w:p>
        </w:tc>
      </w:tr>
      <w:tr w:rsidR="005F1A2C" w:rsidRPr="00A92186" w:rsidTr="005F1A2C">
        <w:trPr>
          <w:trHeight w:val="300"/>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F1A2C" w:rsidRPr="00A92186" w:rsidRDefault="005F1A2C" w:rsidP="006B0B8D">
            <w:pPr>
              <w:rPr>
                <w:rFonts w:ascii="Calibri" w:hAnsi="Calibri" w:cs="Calibri"/>
                <w:color w:val="000000"/>
                <w:szCs w:val="22"/>
                <w:lang w:val="nl-BE" w:eastAsia="nl-BE"/>
              </w:rPr>
            </w:pPr>
            <w:r w:rsidRPr="00A92186">
              <w:rPr>
                <w:rFonts w:ascii="Calibri" w:hAnsi="Calibri" w:cs="Calibri"/>
                <w:color w:val="000000"/>
                <w:szCs w:val="22"/>
                <w:lang w:val="nl-BE" w:eastAsia="nl-BE"/>
              </w:rPr>
              <w:t>Waals-Brabant</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4"/>
              <w:jc w:val="right"/>
              <w:rPr>
                <w:rFonts w:ascii="Calibri" w:hAnsi="Calibri" w:cs="Calibri"/>
                <w:color w:val="000000"/>
                <w:szCs w:val="22"/>
                <w:lang w:val="nl-BE" w:eastAsia="nl-BE"/>
              </w:rPr>
            </w:pPr>
            <w:r w:rsidRPr="00A92186">
              <w:rPr>
                <w:rFonts w:ascii="Calibri" w:hAnsi="Calibri" w:cs="Calibri"/>
                <w:color w:val="000000"/>
                <w:szCs w:val="22"/>
                <w:lang w:val="nl-BE" w:eastAsia="nl-BE"/>
              </w:rPr>
              <w:t>14</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5F1A2C">
            <w:pPr>
              <w:ind w:right="442"/>
              <w:jc w:val="right"/>
              <w:rPr>
                <w:rFonts w:ascii="Calibri" w:hAnsi="Calibri" w:cs="Calibri"/>
                <w:color w:val="000000"/>
                <w:szCs w:val="22"/>
                <w:lang w:val="nl-BE" w:eastAsia="nl-BE"/>
              </w:rPr>
            </w:pPr>
            <w:r w:rsidRPr="00A92186">
              <w:rPr>
                <w:rFonts w:ascii="Calibri" w:hAnsi="Calibri" w:cs="Calibri"/>
                <w:color w:val="000000"/>
                <w:szCs w:val="22"/>
                <w:lang w:val="nl-BE" w:eastAsia="nl-BE"/>
              </w:rPr>
              <w:t>16</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3"/>
              <w:jc w:val="right"/>
              <w:rPr>
                <w:rFonts w:ascii="Calibri" w:hAnsi="Calibri" w:cs="Calibri"/>
                <w:color w:val="000000"/>
                <w:szCs w:val="22"/>
                <w:lang w:val="nl-BE" w:eastAsia="nl-BE"/>
              </w:rPr>
            </w:pPr>
            <w:r w:rsidRPr="00A92186">
              <w:rPr>
                <w:rFonts w:ascii="Calibri" w:hAnsi="Calibri" w:cs="Calibri"/>
                <w:color w:val="000000"/>
                <w:szCs w:val="22"/>
                <w:lang w:val="nl-BE" w:eastAsia="nl-BE"/>
              </w:rPr>
              <w:t>19</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3"/>
              <w:jc w:val="right"/>
              <w:rPr>
                <w:rFonts w:ascii="Calibri" w:hAnsi="Calibri" w:cs="Calibri"/>
                <w:color w:val="000000"/>
                <w:szCs w:val="22"/>
                <w:lang w:val="nl-BE" w:eastAsia="nl-BE"/>
              </w:rPr>
            </w:pPr>
            <w:r w:rsidRPr="00A92186">
              <w:rPr>
                <w:rFonts w:ascii="Calibri" w:hAnsi="Calibri" w:cs="Calibri"/>
                <w:color w:val="000000"/>
                <w:szCs w:val="22"/>
                <w:lang w:val="nl-BE" w:eastAsia="nl-BE"/>
              </w:rPr>
              <w:t>21</w:t>
            </w:r>
          </w:p>
        </w:tc>
      </w:tr>
      <w:tr w:rsidR="005F1A2C" w:rsidRPr="00A92186" w:rsidTr="005F1A2C">
        <w:trPr>
          <w:trHeight w:val="300"/>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F1A2C" w:rsidRPr="00A92186" w:rsidRDefault="005F1A2C" w:rsidP="006B0B8D">
            <w:pPr>
              <w:rPr>
                <w:rFonts w:ascii="Calibri" w:hAnsi="Calibri" w:cs="Calibri"/>
                <w:color w:val="000000"/>
                <w:szCs w:val="22"/>
                <w:lang w:val="nl-BE" w:eastAsia="nl-BE"/>
              </w:rPr>
            </w:pPr>
            <w:r w:rsidRPr="00A92186">
              <w:rPr>
                <w:rFonts w:ascii="Calibri" w:hAnsi="Calibri" w:cs="Calibri"/>
                <w:color w:val="000000"/>
                <w:szCs w:val="22"/>
                <w:lang w:val="nl-BE" w:eastAsia="nl-BE"/>
              </w:rPr>
              <w:t>West-Vlaanderen</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4"/>
              <w:jc w:val="right"/>
              <w:rPr>
                <w:rFonts w:ascii="Calibri" w:hAnsi="Calibri" w:cs="Calibri"/>
                <w:color w:val="000000"/>
                <w:szCs w:val="22"/>
                <w:lang w:val="nl-BE" w:eastAsia="nl-BE"/>
              </w:rPr>
            </w:pPr>
            <w:r w:rsidRPr="00A92186">
              <w:rPr>
                <w:rFonts w:ascii="Calibri" w:hAnsi="Calibri" w:cs="Calibri"/>
                <w:color w:val="000000"/>
                <w:szCs w:val="22"/>
                <w:lang w:val="nl-BE" w:eastAsia="nl-BE"/>
              </w:rPr>
              <w:t>198</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5F1A2C">
            <w:pPr>
              <w:ind w:right="442"/>
              <w:jc w:val="right"/>
              <w:rPr>
                <w:rFonts w:ascii="Calibri" w:hAnsi="Calibri" w:cs="Calibri"/>
                <w:color w:val="000000"/>
                <w:szCs w:val="22"/>
                <w:lang w:val="nl-BE" w:eastAsia="nl-BE"/>
              </w:rPr>
            </w:pPr>
            <w:r w:rsidRPr="00A92186">
              <w:rPr>
                <w:rFonts w:ascii="Calibri" w:hAnsi="Calibri" w:cs="Calibri"/>
                <w:color w:val="000000"/>
                <w:szCs w:val="22"/>
                <w:lang w:val="nl-BE" w:eastAsia="nl-BE"/>
              </w:rPr>
              <w:t>264</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3"/>
              <w:jc w:val="right"/>
              <w:rPr>
                <w:rFonts w:ascii="Calibri" w:hAnsi="Calibri" w:cs="Calibri"/>
                <w:color w:val="000000"/>
                <w:szCs w:val="22"/>
                <w:lang w:val="nl-BE" w:eastAsia="nl-BE"/>
              </w:rPr>
            </w:pPr>
            <w:r w:rsidRPr="00A92186">
              <w:rPr>
                <w:rFonts w:ascii="Calibri" w:hAnsi="Calibri" w:cs="Calibri"/>
                <w:color w:val="000000"/>
                <w:szCs w:val="22"/>
                <w:lang w:val="nl-BE" w:eastAsia="nl-BE"/>
              </w:rPr>
              <w:t>317</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3"/>
              <w:jc w:val="right"/>
              <w:rPr>
                <w:rFonts w:ascii="Calibri" w:hAnsi="Calibri" w:cs="Calibri"/>
                <w:color w:val="000000"/>
                <w:szCs w:val="22"/>
                <w:lang w:val="nl-BE" w:eastAsia="nl-BE"/>
              </w:rPr>
            </w:pPr>
            <w:r w:rsidRPr="00A92186">
              <w:rPr>
                <w:rFonts w:ascii="Calibri" w:hAnsi="Calibri" w:cs="Calibri"/>
                <w:color w:val="000000"/>
                <w:szCs w:val="22"/>
                <w:lang w:val="nl-BE" w:eastAsia="nl-BE"/>
              </w:rPr>
              <w:t>407</w:t>
            </w:r>
          </w:p>
        </w:tc>
      </w:tr>
      <w:tr w:rsidR="005F1A2C" w:rsidRPr="00A92186" w:rsidTr="005F1A2C">
        <w:trPr>
          <w:trHeight w:val="300"/>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F1A2C" w:rsidRPr="00A92186" w:rsidRDefault="005F1A2C" w:rsidP="006B0B8D">
            <w:pPr>
              <w:rPr>
                <w:rFonts w:ascii="Calibri" w:hAnsi="Calibri" w:cs="Calibri"/>
                <w:color w:val="000000"/>
                <w:szCs w:val="22"/>
                <w:lang w:val="nl-BE" w:eastAsia="nl-BE"/>
              </w:rPr>
            </w:pPr>
            <w:r w:rsidRPr="00A92186">
              <w:rPr>
                <w:rFonts w:ascii="Calibri" w:hAnsi="Calibri" w:cs="Calibri"/>
                <w:color w:val="000000"/>
                <w:szCs w:val="22"/>
                <w:lang w:val="nl-BE" w:eastAsia="nl-BE"/>
              </w:rPr>
              <w:t>Buitenland</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4"/>
              <w:jc w:val="right"/>
              <w:rPr>
                <w:rFonts w:ascii="Calibri" w:hAnsi="Calibri" w:cs="Calibri"/>
                <w:color w:val="000000"/>
                <w:szCs w:val="22"/>
                <w:lang w:val="nl-BE" w:eastAsia="nl-BE"/>
              </w:rPr>
            </w:pPr>
            <w:r w:rsidRPr="00A92186">
              <w:rPr>
                <w:rFonts w:ascii="Calibri" w:hAnsi="Calibri" w:cs="Calibri"/>
                <w:color w:val="000000"/>
                <w:szCs w:val="22"/>
                <w:lang w:val="nl-BE" w:eastAsia="nl-BE"/>
              </w:rPr>
              <w:t>6</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5F1A2C">
            <w:pPr>
              <w:ind w:right="442"/>
              <w:jc w:val="right"/>
              <w:rPr>
                <w:rFonts w:ascii="Calibri" w:hAnsi="Calibri" w:cs="Calibri"/>
                <w:color w:val="000000"/>
                <w:szCs w:val="22"/>
                <w:lang w:val="nl-BE" w:eastAsia="nl-BE"/>
              </w:rPr>
            </w:pPr>
            <w:r w:rsidRPr="00A92186">
              <w:rPr>
                <w:rFonts w:ascii="Calibri" w:hAnsi="Calibri" w:cs="Calibri"/>
                <w:color w:val="000000"/>
                <w:szCs w:val="22"/>
                <w:lang w:val="nl-BE" w:eastAsia="nl-BE"/>
              </w:rPr>
              <w:t>11</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3"/>
              <w:jc w:val="right"/>
              <w:rPr>
                <w:rFonts w:ascii="Calibri" w:hAnsi="Calibri" w:cs="Calibri"/>
                <w:color w:val="000000"/>
                <w:szCs w:val="22"/>
                <w:lang w:val="nl-BE" w:eastAsia="nl-BE"/>
              </w:rPr>
            </w:pPr>
            <w:r w:rsidRPr="00A92186">
              <w:rPr>
                <w:rFonts w:ascii="Calibri" w:hAnsi="Calibri" w:cs="Calibri"/>
                <w:color w:val="000000"/>
                <w:szCs w:val="22"/>
                <w:lang w:val="nl-BE" w:eastAsia="nl-BE"/>
              </w:rPr>
              <w:t>20</w:t>
            </w:r>
          </w:p>
        </w:tc>
        <w:tc>
          <w:tcPr>
            <w:tcW w:w="1417" w:type="dxa"/>
            <w:tcBorders>
              <w:top w:val="nil"/>
              <w:left w:val="nil"/>
              <w:bottom w:val="single" w:sz="4" w:space="0" w:color="auto"/>
              <w:right w:val="single" w:sz="4" w:space="0" w:color="auto"/>
            </w:tcBorders>
            <w:shd w:val="clear" w:color="auto" w:fill="auto"/>
            <w:noWrap/>
            <w:vAlign w:val="bottom"/>
            <w:hideMark/>
          </w:tcPr>
          <w:p w:rsidR="005F1A2C" w:rsidRPr="00A92186" w:rsidRDefault="005F1A2C" w:rsidP="00B45E4D">
            <w:pPr>
              <w:ind w:right="353"/>
              <w:jc w:val="right"/>
              <w:rPr>
                <w:rFonts w:ascii="Calibri" w:hAnsi="Calibri" w:cs="Calibri"/>
                <w:color w:val="000000"/>
                <w:szCs w:val="22"/>
                <w:lang w:val="nl-BE" w:eastAsia="nl-BE"/>
              </w:rPr>
            </w:pPr>
            <w:r w:rsidRPr="00A92186">
              <w:rPr>
                <w:rFonts w:ascii="Calibri" w:hAnsi="Calibri" w:cs="Calibri"/>
                <w:color w:val="000000"/>
                <w:szCs w:val="22"/>
                <w:lang w:val="nl-BE" w:eastAsia="nl-BE"/>
              </w:rPr>
              <w:t>31</w:t>
            </w:r>
          </w:p>
        </w:tc>
      </w:tr>
      <w:tr w:rsidR="005F1A2C" w:rsidRPr="00A92186" w:rsidTr="005F1A2C">
        <w:trPr>
          <w:trHeight w:val="300"/>
        </w:trPr>
        <w:tc>
          <w:tcPr>
            <w:tcW w:w="198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F1A2C" w:rsidRPr="00A92186" w:rsidRDefault="005F1A2C" w:rsidP="006B0B8D">
            <w:pPr>
              <w:rPr>
                <w:rFonts w:ascii="Calibri" w:hAnsi="Calibri" w:cs="Calibri"/>
                <w:b/>
                <w:bCs/>
                <w:color w:val="000000"/>
                <w:szCs w:val="22"/>
                <w:lang w:val="nl-BE" w:eastAsia="nl-BE"/>
              </w:rPr>
            </w:pPr>
            <w:r w:rsidRPr="00A92186">
              <w:rPr>
                <w:rFonts w:ascii="Calibri" w:hAnsi="Calibri" w:cs="Calibri"/>
                <w:b/>
                <w:bCs/>
                <w:color w:val="000000"/>
                <w:szCs w:val="22"/>
                <w:lang w:val="nl-BE" w:eastAsia="nl-BE"/>
              </w:rPr>
              <w:t>Eindtotaal</w:t>
            </w:r>
          </w:p>
        </w:tc>
        <w:tc>
          <w:tcPr>
            <w:tcW w:w="141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F1A2C" w:rsidRPr="00A92186" w:rsidRDefault="005F1A2C" w:rsidP="00B45E4D">
            <w:pPr>
              <w:ind w:right="354"/>
              <w:jc w:val="right"/>
              <w:rPr>
                <w:rFonts w:ascii="Calibri" w:hAnsi="Calibri" w:cs="Calibri"/>
                <w:b/>
                <w:bCs/>
                <w:color w:val="000000"/>
                <w:szCs w:val="22"/>
                <w:lang w:val="nl-BE" w:eastAsia="nl-BE"/>
              </w:rPr>
            </w:pPr>
            <w:r w:rsidRPr="00A92186">
              <w:rPr>
                <w:rFonts w:ascii="Calibri" w:hAnsi="Calibri" w:cs="Calibri"/>
                <w:b/>
                <w:bCs/>
                <w:color w:val="000000"/>
                <w:szCs w:val="22"/>
                <w:lang w:val="nl-BE" w:eastAsia="nl-BE"/>
              </w:rPr>
              <w:t>1</w:t>
            </w:r>
            <w:r>
              <w:rPr>
                <w:rFonts w:ascii="Calibri" w:hAnsi="Calibri" w:cs="Calibri"/>
                <w:b/>
                <w:bCs/>
                <w:color w:val="000000"/>
                <w:szCs w:val="22"/>
                <w:lang w:val="nl-BE" w:eastAsia="nl-BE"/>
              </w:rPr>
              <w:t>.</w:t>
            </w:r>
            <w:r w:rsidRPr="00A92186">
              <w:rPr>
                <w:rFonts w:ascii="Calibri" w:hAnsi="Calibri" w:cs="Calibri"/>
                <w:b/>
                <w:bCs/>
                <w:color w:val="000000"/>
                <w:szCs w:val="22"/>
                <w:lang w:val="nl-BE" w:eastAsia="nl-BE"/>
              </w:rPr>
              <w:t>404</w:t>
            </w:r>
          </w:p>
        </w:tc>
        <w:tc>
          <w:tcPr>
            <w:tcW w:w="1417" w:type="dxa"/>
            <w:tcBorders>
              <w:top w:val="nil"/>
              <w:left w:val="nil"/>
              <w:bottom w:val="single" w:sz="4" w:space="0" w:color="auto"/>
              <w:right w:val="single" w:sz="4" w:space="0" w:color="auto"/>
            </w:tcBorders>
            <w:shd w:val="clear" w:color="DCE6F1" w:fill="92D050"/>
            <w:noWrap/>
            <w:vAlign w:val="bottom"/>
            <w:hideMark/>
          </w:tcPr>
          <w:p w:rsidR="005F1A2C" w:rsidRPr="00A92186" w:rsidRDefault="005F1A2C" w:rsidP="005F1A2C">
            <w:pPr>
              <w:ind w:right="442"/>
              <w:jc w:val="right"/>
              <w:rPr>
                <w:rFonts w:ascii="Calibri" w:hAnsi="Calibri" w:cs="Calibri"/>
                <w:b/>
                <w:bCs/>
                <w:color w:val="000000"/>
                <w:szCs w:val="22"/>
                <w:lang w:val="nl-BE" w:eastAsia="nl-BE"/>
              </w:rPr>
            </w:pPr>
            <w:r w:rsidRPr="00A92186">
              <w:rPr>
                <w:rFonts w:ascii="Calibri" w:hAnsi="Calibri" w:cs="Calibri"/>
                <w:b/>
                <w:bCs/>
                <w:color w:val="000000"/>
                <w:szCs w:val="22"/>
                <w:lang w:val="nl-BE" w:eastAsia="nl-BE"/>
              </w:rPr>
              <w:t>1</w:t>
            </w:r>
            <w:r>
              <w:rPr>
                <w:rFonts w:ascii="Calibri" w:hAnsi="Calibri" w:cs="Calibri"/>
                <w:b/>
                <w:bCs/>
                <w:color w:val="000000"/>
                <w:szCs w:val="22"/>
                <w:lang w:val="nl-BE" w:eastAsia="nl-BE"/>
              </w:rPr>
              <w:t>.</w:t>
            </w:r>
            <w:r w:rsidRPr="00A92186">
              <w:rPr>
                <w:rFonts w:ascii="Calibri" w:hAnsi="Calibri" w:cs="Calibri"/>
                <w:b/>
                <w:bCs/>
                <w:color w:val="000000"/>
                <w:szCs w:val="22"/>
                <w:lang w:val="nl-BE" w:eastAsia="nl-BE"/>
              </w:rPr>
              <w:t>765</w:t>
            </w:r>
          </w:p>
        </w:tc>
        <w:tc>
          <w:tcPr>
            <w:tcW w:w="1417" w:type="dxa"/>
            <w:tcBorders>
              <w:top w:val="nil"/>
              <w:left w:val="nil"/>
              <w:bottom w:val="single" w:sz="4" w:space="0" w:color="auto"/>
              <w:right w:val="single" w:sz="4" w:space="0" w:color="auto"/>
            </w:tcBorders>
            <w:shd w:val="clear" w:color="DCE6F1" w:fill="92D050"/>
            <w:noWrap/>
            <w:vAlign w:val="bottom"/>
            <w:hideMark/>
          </w:tcPr>
          <w:p w:rsidR="005F1A2C" w:rsidRPr="00A92186" w:rsidRDefault="005F1A2C" w:rsidP="00B45E4D">
            <w:pPr>
              <w:ind w:right="353"/>
              <w:jc w:val="right"/>
              <w:rPr>
                <w:rFonts w:ascii="Calibri" w:hAnsi="Calibri" w:cs="Calibri"/>
                <w:b/>
                <w:bCs/>
                <w:color w:val="000000"/>
                <w:szCs w:val="22"/>
                <w:lang w:val="nl-BE" w:eastAsia="nl-BE"/>
              </w:rPr>
            </w:pPr>
            <w:r w:rsidRPr="00A92186">
              <w:rPr>
                <w:rFonts w:ascii="Calibri" w:hAnsi="Calibri" w:cs="Calibri"/>
                <w:b/>
                <w:bCs/>
                <w:color w:val="000000"/>
                <w:szCs w:val="22"/>
                <w:lang w:val="nl-BE" w:eastAsia="nl-BE"/>
              </w:rPr>
              <w:t>2</w:t>
            </w:r>
            <w:r>
              <w:rPr>
                <w:rFonts w:ascii="Calibri" w:hAnsi="Calibri" w:cs="Calibri"/>
                <w:b/>
                <w:bCs/>
                <w:color w:val="000000"/>
                <w:szCs w:val="22"/>
                <w:lang w:val="nl-BE" w:eastAsia="nl-BE"/>
              </w:rPr>
              <w:t>.</w:t>
            </w:r>
            <w:r w:rsidRPr="00A92186">
              <w:rPr>
                <w:rFonts w:ascii="Calibri" w:hAnsi="Calibri" w:cs="Calibri"/>
                <w:b/>
                <w:bCs/>
                <w:color w:val="000000"/>
                <w:szCs w:val="22"/>
                <w:lang w:val="nl-BE" w:eastAsia="nl-BE"/>
              </w:rPr>
              <w:t>254</w:t>
            </w:r>
          </w:p>
        </w:tc>
        <w:tc>
          <w:tcPr>
            <w:tcW w:w="1417" w:type="dxa"/>
            <w:tcBorders>
              <w:top w:val="nil"/>
              <w:left w:val="nil"/>
              <w:bottom w:val="single" w:sz="4" w:space="0" w:color="auto"/>
              <w:right w:val="single" w:sz="4" w:space="0" w:color="auto"/>
            </w:tcBorders>
            <w:shd w:val="clear" w:color="DCE6F1" w:fill="92D050"/>
            <w:noWrap/>
            <w:vAlign w:val="bottom"/>
            <w:hideMark/>
          </w:tcPr>
          <w:p w:rsidR="005F1A2C" w:rsidRPr="00A92186" w:rsidRDefault="005F1A2C" w:rsidP="00B45E4D">
            <w:pPr>
              <w:ind w:right="353"/>
              <w:jc w:val="right"/>
              <w:rPr>
                <w:rFonts w:ascii="Calibri" w:hAnsi="Calibri" w:cs="Calibri"/>
                <w:b/>
                <w:bCs/>
                <w:color w:val="000000"/>
                <w:szCs w:val="22"/>
                <w:lang w:val="nl-BE" w:eastAsia="nl-BE"/>
              </w:rPr>
            </w:pPr>
            <w:r w:rsidRPr="00A92186">
              <w:rPr>
                <w:rFonts w:ascii="Calibri" w:hAnsi="Calibri" w:cs="Calibri"/>
                <w:b/>
                <w:bCs/>
                <w:color w:val="000000"/>
                <w:szCs w:val="22"/>
                <w:lang w:val="nl-BE" w:eastAsia="nl-BE"/>
              </w:rPr>
              <w:t>2</w:t>
            </w:r>
            <w:r>
              <w:rPr>
                <w:rFonts w:ascii="Calibri" w:hAnsi="Calibri" w:cs="Calibri"/>
                <w:b/>
                <w:bCs/>
                <w:color w:val="000000"/>
                <w:szCs w:val="22"/>
                <w:lang w:val="nl-BE" w:eastAsia="nl-BE"/>
              </w:rPr>
              <w:t>.</w:t>
            </w:r>
            <w:r w:rsidRPr="00A92186">
              <w:rPr>
                <w:rFonts w:ascii="Calibri" w:hAnsi="Calibri" w:cs="Calibri"/>
                <w:b/>
                <w:bCs/>
                <w:color w:val="000000"/>
                <w:szCs w:val="22"/>
                <w:lang w:val="nl-BE" w:eastAsia="nl-BE"/>
              </w:rPr>
              <w:t>833</w:t>
            </w:r>
          </w:p>
        </w:tc>
      </w:tr>
    </w:tbl>
    <w:p w:rsidR="005F1A2C" w:rsidRPr="00B45E4D" w:rsidRDefault="005F1A2C" w:rsidP="00B45E4D">
      <w:pPr>
        <w:ind w:left="284"/>
        <w:jc w:val="both"/>
      </w:pPr>
    </w:p>
    <w:p w:rsidR="005F1A2C" w:rsidRPr="00B45E4D" w:rsidRDefault="005F1A2C" w:rsidP="00B45E4D">
      <w:pPr>
        <w:ind w:left="284"/>
        <w:jc w:val="both"/>
      </w:pPr>
      <w:r w:rsidRPr="00B45E4D">
        <w:t xml:space="preserve">Op 16/04/2013 </w:t>
      </w:r>
      <w:r w:rsidR="00B45E4D">
        <w:t xml:space="preserve">waren </w:t>
      </w:r>
      <w:r w:rsidRPr="00B45E4D">
        <w:t xml:space="preserve">er in totaal in de </w:t>
      </w:r>
      <w:proofErr w:type="spellStart"/>
      <w:r w:rsidRPr="00B45E4D">
        <w:t>kmo</w:t>
      </w:r>
      <w:proofErr w:type="spellEnd"/>
      <w:r w:rsidRPr="00B45E4D">
        <w:t>-portefeuille 1.784 dienstverlenende organisaties erkend met samen 3.135 erkenningen</w:t>
      </w:r>
      <w:r w:rsidR="00B45E4D">
        <w:t>,</w:t>
      </w:r>
      <w:r w:rsidRPr="00B45E4D">
        <w:t xml:space="preserve"> als volgt regionaal verdeeld:</w:t>
      </w:r>
    </w:p>
    <w:p w:rsidR="005F1A2C" w:rsidRDefault="005F1A2C" w:rsidP="00B45E4D">
      <w:pPr>
        <w:ind w:left="284"/>
        <w:jc w:val="both"/>
      </w:pPr>
    </w:p>
    <w:p w:rsidR="00B45E4D" w:rsidRPr="00B45E4D" w:rsidRDefault="00B45E4D" w:rsidP="00B45E4D">
      <w:pPr>
        <w:ind w:left="284"/>
        <w:jc w:val="both"/>
      </w:pPr>
    </w:p>
    <w:p w:rsidR="005F1A2C" w:rsidRDefault="005F1A2C" w:rsidP="00B45E4D">
      <w:pPr>
        <w:pStyle w:val="SVTitel"/>
        <w:ind w:left="426"/>
        <w:rPr>
          <w:i w:val="0"/>
          <w:lang w:val="nl-BE"/>
        </w:rPr>
      </w:pPr>
      <w:r>
        <w:rPr>
          <w:noProof/>
          <w:lang w:val="nl-BE" w:eastAsia="nl-BE"/>
        </w:rPr>
        <w:lastRenderedPageBreak/>
        <w:drawing>
          <wp:inline distT="0" distB="0" distL="0" distR="0">
            <wp:extent cx="4724400" cy="2933700"/>
            <wp:effectExtent l="0" t="0" r="19050" b="19050"/>
            <wp:docPr id="1"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45E4D" w:rsidRDefault="00B45E4D" w:rsidP="00B45E4D">
      <w:pPr>
        <w:pStyle w:val="SVTitel"/>
        <w:ind w:left="284"/>
        <w:rPr>
          <w:i w:val="0"/>
          <w:lang w:val="nl-BE"/>
        </w:rPr>
      </w:pPr>
    </w:p>
    <w:p w:rsidR="00754FED" w:rsidRPr="00754FED" w:rsidRDefault="005F1A2C" w:rsidP="005F1A2C">
      <w:pPr>
        <w:pStyle w:val="Lijstalinea"/>
        <w:numPr>
          <w:ilvl w:val="0"/>
          <w:numId w:val="4"/>
        </w:numPr>
        <w:ind w:left="284" w:hanging="284"/>
        <w:jc w:val="both"/>
      </w:pPr>
      <w:bookmarkStart w:id="6" w:name="_GoBack"/>
      <w:bookmarkEnd w:id="6"/>
      <w:r w:rsidRPr="00B45E4D">
        <w:t xml:space="preserve">Enkel erkende dienstverleners mogen het label, erkend dienstverlener van de </w:t>
      </w:r>
      <w:proofErr w:type="spellStart"/>
      <w:r w:rsidRPr="00B45E4D">
        <w:t>kmo</w:t>
      </w:r>
      <w:proofErr w:type="spellEnd"/>
      <w:r w:rsidRPr="00B45E4D">
        <w:t xml:space="preserve">-portefeuille dragen. Dit betekent concreet dat ondernemingen subsidiabele diensten aangeboden door deze dienstverleners mogen betalen met de </w:t>
      </w:r>
      <w:proofErr w:type="spellStart"/>
      <w:r w:rsidRPr="00B45E4D">
        <w:t>kmo</w:t>
      </w:r>
      <w:proofErr w:type="spellEnd"/>
      <w:r w:rsidRPr="00B45E4D">
        <w:t>-portefeuille. De dienstverleners die tot nog toe het label gebruikt hebben waren erkend dienstverlener.</w:t>
      </w:r>
    </w:p>
    <w:sectPr w:rsidR="00754FED" w:rsidRPr="00754FED"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031BF"/>
    <w:multiLevelType w:val="hybridMultilevel"/>
    <w:tmpl w:val="D834BD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34B18A3"/>
    <w:multiLevelType w:val="hybridMultilevel"/>
    <w:tmpl w:val="FD461CD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oznzpjt1afVuUwby8NPqdvn+HA=" w:salt="YjILjc+0rFScma3nCafAM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76D92"/>
    <w:rsid w:val="000865DB"/>
    <w:rsid w:val="000976E9"/>
    <w:rsid w:val="000C130A"/>
    <w:rsid w:val="000C4E8C"/>
    <w:rsid w:val="000F2B34"/>
    <w:rsid w:val="000F3532"/>
    <w:rsid w:val="00134D41"/>
    <w:rsid w:val="00170DAF"/>
    <w:rsid w:val="001B5C5A"/>
    <w:rsid w:val="001B6E48"/>
    <w:rsid w:val="001E5711"/>
    <w:rsid w:val="001F193A"/>
    <w:rsid w:val="001F7390"/>
    <w:rsid w:val="00210C07"/>
    <w:rsid w:val="00266E3B"/>
    <w:rsid w:val="00270361"/>
    <w:rsid w:val="002C377F"/>
    <w:rsid w:val="002C7A6C"/>
    <w:rsid w:val="002E7CFF"/>
    <w:rsid w:val="00326A58"/>
    <w:rsid w:val="00383836"/>
    <w:rsid w:val="003E3F71"/>
    <w:rsid w:val="00407570"/>
    <w:rsid w:val="00410C45"/>
    <w:rsid w:val="0041623A"/>
    <w:rsid w:val="00470AF4"/>
    <w:rsid w:val="004C5DBC"/>
    <w:rsid w:val="004E1E63"/>
    <w:rsid w:val="004E2833"/>
    <w:rsid w:val="004E68A0"/>
    <w:rsid w:val="00532031"/>
    <w:rsid w:val="00550212"/>
    <w:rsid w:val="00566C53"/>
    <w:rsid w:val="005900AD"/>
    <w:rsid w:val="005B5BC5"/>
    <w:rsid w:val="005E38CA"/>
    <w:rsid w:val="005E5C21"/>
    <w:rsid w:val="005F1A2C"/>
    <w:rsid w:val="00611ACD"/>
    <w:rsid w:val="006151B1"/>
    <w:rsid w:val="0063138E"/>
    <w:rsid w:val="006548DD"/>
    <w:rsid w:val="006700BB"/>
    <w:rsid w:val="006912A5"/>
    <w:rsid w:val="006A09A8"/>
    <w:rsid w:val="006E69BC"/>
    <w:rsid w:val="0071248C"/>
    <w:rsid w:val="007252C7"/>
    <w:rsid w:val="007304D7"/>
    <w:rsid w:val="00741C55"/>
    <w:rsid w:val="007474BA"/>
    <w:rsid w:val="00754FED"/>
    <w:rsid w:val="007829B0"/>
    <w:rsid w:val="00785A0D"/>
    <w:rsid w:val="007B177C"/>
    <w:rsid w:val="007F3FB8"/>
    <w:rsid w:val="007F60A8"/>
    <w:rsid w:val="00816904"/>
    <w:rsid w:val="00831B92"/>
    <w:rsid w:val="008342DF"/>
    <w:rsid w:val="008346AE"/>
    <w:rsid w:val="00847469"/>
    <w:rsid w:val="00894185"/>
    <w:rsid w:val="008A713D"/>
    <w:rsid w:val="008B00F4"/>
    <w:rsid w:val="008D5DB4"/>
    <w:rsid w:val="009347E0"/>
    <w:rsid w:val="00964B74"/>
    <w:rsid w:val="00983321"/>
    <w:rsid w:val="009B0872"/>
    <w:rsid w:val="009D0315"/>
    <w:rsid w:val="009D6E8F"/>
    <w:rsid w:val="009D7043"/>
    <w:rsid w:val="009E613C"/>
    <w:rsid w:val="00A3106D"/>
    <w:rsid w:val="00A42280"/>
    <w:rsid w:val="00A45417"/>
    <w:rsid w:val="00A76EC9"/>
    <w:rsid w:val="00A804C0"/>
    <w:rsid w:val="00AA5C57"/>
    <w:rsid w:val="00B02503"/>
    <w:rsid w:val="00B05220"/>
    <w:rsid w:val="00B45E4D"/>
    <w:rsid w:val="00B45EB2"/>
    <w:rsid w:val="00B60F0E"/>
    <w:rsid w:val="00B944EF"/>
    <w:rsid w:val="00BE425A"/>
    <w:rsid w:val="00C0707D"/>
    <w:rsid w:val="00CC7A5C"/>
    <w:rsid w:val="00CE006E"/>
    <w:rsid w:val="00D30AED"/>
    <w:rsid w:val="00D71D99"/>
    <w:rsid w:val="00D754F2"/>
    <w:rsid w:val="00DA5DF3"/>
    <w:rsid w:val="00DA5E75"/>
    <w:rsid w:val="00DB41C0"/>
    <w:rsid w:val="00DC4DB6"/>
    <w:rsid w:val="00DD19EF"/>
    <w:rsid w:val="00E0674C"/>
    <w:rsid w:val="00E12C5D"/>
    <w:rsid w:val="00E55200"/>
    <w:rsid w:val="00E63A79"/>
    <w:rsid w:val="00E75830"/>
    <w:rsid w:val="00EA3F3C"/>
    <w:rsid w:val="00F31FC2"/>
    <w:rsid w:val="00F365D2"/>
    <w:rsid w:val="00F369E3"/>
    <w:rsid w:val="00F55D7C"/>
    <w:rsid w:val="00F8586F"/>
    <w:rsid w:val="00FA29D6"/>
    <w:rsid w:val="00FB3D24"/>
    <w:rsid w:val="00FB5887"/>
    <w:rsid w:val="00FC4261"/>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basedOn w:val="Standaardalinea-lettertype"/>
    <w:rsid w:val="00550212"/>
    <w:rPr>
      <w:color w:val="0000FF" w:themeColor="hyperlink"/>
      <w:u w:val="single"/>
    </w:rPr>
  </w:style>
  <w:style w:type="character" w:styleId="GevolgdeHyperlink">
    <w:name w:val="FollowedHyperlink"/>
    <w:basedOn w:val="Standaardalinea-lettertype"/>
    <w:rsid w:val="00550212"/>
    <w:rPr>
      <w:color w:val="800080" w:themeColor="followedHyperlink"/>
      <w:u w:val="single"/>
    </w:rPr>
  </w:style>
  <w:style w:type="paragraph" w:customStyle="1" w:styleId="SVTitel">
    <w:name w:val="SV Titel"/>
    <w:basedOn w:val="Standaard"/>
    <w:rsid w:val="005F1A2C"/>
    <w:pPr>
      <w:jc w:val="both"/>
    </w:pPr>
    <w:rPr>
      <w:i/>
      <w:szCs w:val="20"/>
    </w:rPr>
  </w:style>
  <w:style w:type="paragraph" w:styleId="Lijstalinea">
    <w:name w:val="List Paragraph"/>
    <w:basedOn w:val="Standaard"/>
    <w:uiPriority w:val="34"/>
    <w:qFormat/>
    <w:rsid w:val="005F1A2C"/>
    <w:pPr>
      <w:ind w:left="720"/>
      <w:contextualSpacing/>
    </w:pPr>
  </w:style>
  <w:style w:type="paragraph" w:styleId="Ballontekst">
    <w:name w:val="Balloon Text"/>
    <w:basedOn w:val="Standaard"/>
    <w:link w:val="BallontekstChar"/>
    <w:rsid w:val="009B0872"/>
    <w:rPr>
      <w:rFonts w:ascii="Tahoma" w:hAnsi="Tahoma" w:cs="Tahoma"/>
      <w:sz w:val="16"/>
      <w:szCs w:val="16"/>
    </w:rPr>
  </w:style>
  <w:style w:type="character" w:customStyle="1" w:styleId="BallontekstChar">
    <w:name w:val="Ballontekst Char"/>
    <w:basedOn w:val="Standaardalinea-lettertype"/>
    <w:link w:val="Ballontekst"/>
    <w:rsid w:val="009B0872"/>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basedOn w:val="Standaardalinea-lettertype"/>
    <w:rsid w:val="00550212"/>
    <w:rPr>
      <w:color w:val="0000FF" w:themeColor="hyperlink"/>
      <w:u w:val="single"/>
    </w:rPr>
  </w:style>
  <w:style w:type="character" w:styleId="GevolgdeHyperlink">
    <w:name w:val="FollowedHyperlink"/>
    <w:basedOn w:val="Standaardalinea-lettertype"/>
    <w:rsid w:val="00550212"/>
    <w:rPr>
      <w:color w:val="800080" w:themeColor="followedHyperlink"/>
      <w:u w:val="single"/>
    </w:rPr>
  </w:style>
  <w:style w:type="paragraph" w:customStyle="1" w:styleId="SVTitel">
    <w:name w:val="SV Titel"/>
    <w:basedOn w:val="Standaard"/>
    <w:rsid w:val="005F1A2C"/>
    <w:pPr>
      <w:jc w:val="both"/>
    </w:pPr>
    <w:rPr>
      <w:i/>
      <w:szCs w:val="20"/>
    </w:rPr>
  </w:style>
  <w:style w:type="paragraph" w:styleId="Lijstalinea">
    <w:name w:val="List Paragraph"/>
    <w:basedOn w:val="Standaard"/>
    <w:uiPriority w:val="34"/>
    <w:qFormat/>
    <w:rsid w:val="005F1A2C"/>
    <w:pPr>
      <w:ind w:left="720"/>
      <w:contextualSpacing/>
    </w:pPr>
  </w:style>
  <w:style w:type="paragraph" w:styleId="Ballontekst">
    <w:name w:val="Balloon Text"/>
    <w:basedOn w:val="Standaard"/>
    <w:link w:val="BallontekstChar"/>
    <w:rsid w:val="009B0872"/>
    <w:rPr>
      <w:rFonts w:ascii="Tahoma" w:hAnsi="Tahoma" w:cs="Tahoma"/>
      <w:sz w:val="16"/>
      <w:szCs w:val="16"/>
    </w:rPr>
  </w:style>
  <w:style w:type="character" w:customStyle="1" w:styleId="BallontekstChar">
    <w:name w:val="Ballontekst Char"/>
    <w:basedOn w:val="Standaardalinea-lettertype"/>
    <w:link w:val="Ballontekst"/>
    <w:rsid w:val="009B0872"/>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werkblad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showLegendKey val="0"/>
            <c:showVal val="0"/>
            <c:showCatName val="1"/>
            <c:showSerName val="0"/>
            <c:showPercent val="1"/>
            <c:showBubbleSize val="0"/>
            <c:showLeaderLines val="1"/>
          </c:dLbls>
          <c:cat>
            <c:strRef>
              <c:f>Blad1!$A$16:$A$26</c:f>
              <c:strCache>
                <c:ptCount val="11"/>
                <c:pt idx="0">
                  <c:v>Antwerpen</c:v>
                </c:pt>
                <c:pt idx="1">
                  <c:v>Brussels Gewest</c:v>
                </c:pt>
                <c:pt idx="2">
                  <c:v>Henegouwen</c:v>
                </c:pt>
                <c:pt idx="3">
                  <c:v>Limburg</c:v>
                </c:pt>
                <c:pt idx="4">
                  <c:v>Luik</c:v>
                </c:pt>
                <c:pt idx="5">
                  <c:v>Namen</c:v>
                </c:pt>
                <c:pt idx="6">
                  <c:v>Oost-Vlaanderen</c:v>
                </c:pt>
                <c:pt idx="7">
                  <c:v>Vlaams-Brabant</c:v>
                </c:pt>
                <c:pt idx="8">
                  <c:v>Waals-Brabant</c:v>
                </c:pt>
                <c:pt idx="9">
                  <c:v>West-Vlaanderen</c:v>
                </c:pt>
                <c:pt idx="10">
                  <c:v>Buitenland</c:v>
                </c:pt>
              </c:strCache>
            </c:strRef>
          </c:cat>
          <c:val>
            <c:numRef>
              <c:f>Blad1!$B$16:$B$26</c:f>
              <c:numCache>
                <c:formatCode>General</c:formatCode>
                <c:ptCount val="11"/>
                <c:pt idx="0">
                  <c:v>835</c:v>
                </c:pt>
                <c:pt idx="1">
                  <c:v>277</c:v>
                </c:pt>
                <c:pt idx="2">
                  <c:v>12</c:v>
                </c:pt>
                <c:pt idx="3">
                  <c:v>364</c:v>
                </c:pt>
                <c:pt idx="4">
                  <c:v>15</c:v>
                </c:pt>
                <c:pt idx="5">
                  <c:v>2</c:v>
                </c:pt>
                <c:pt idx="6">
                  <c:v>696</c:v>
                </c:pt>
                <c:pt idx="7">
                  <c:v>411</c:v>
                </c:pt>
                <c:pt idx="8">
                  <c:v>21</c:v>
                </c:pt>
                <c:pt idx="9">
                  <c:v>467</c:v>
                </c:pt>
                <c:pt idx="10">
                  <c:v>35</c:v>
                </c:pt>
              </c:numCache>
            </c:numRef>
          </c:val>
        </c:ser>
        <c:dLbls>
          <c:showLegendKey val="0"/>
          <c:showVal val="0"/>
          <c:showCatName val="0"/>
          <c:showSerName val="0"/>
          <c:showPercent val="0"/>
          <c:showBubbleSize val="0"/>
          <c:showLeaderLines val="1"/>
        </c:dLbls>
        <c:firstSliceAng val="0"/>
      </c:pieChart>
      <c:spPr>
        <a:noFill/>
        <a:ln w="25373">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SchrVr-antwoord8</Template>
  <TotalTime>1</TotalTime>
  <Pages>3</Pages>
  <Words>836</Words>
  <Characters>5175</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Sandra Quaethoven</cp:lastModifiedBy>
  <cp:revision>2</cp:revision>
  <cp:lastPrinted>2013-04-25T12:49:00Z</cp:lastPrinted>
  <dcterms:created xsi:type="dcterms:W3CDTF">2013-05-07T14:49:00Z</dcterms:created>
  <dcterms:modified xsi:type="dcterms:W3CDTF">2013-05-07T14:49:00Z</dcterms:modified>
</cp:coreProperties>
</file>