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909" w:rsidRDefault="00463909" w:rsidP="00463909">
      <w:pPr>
        <w:rPr>
          <w:b/>
          <w:smallCaps/>
          <w:sz w:val="22"/>
        </w:rPr>
      </w:pPr>
      <w:bookmarkStart w:id="0" w:name="_GoBack"/>
      <w:bookmarkEnd w:id="0"/>
      <w:r>
        <w:rPr>
          <w:b/>
          <w:smallCaps/>
          <w:sz w:val="22"/>
        </w:rPr>
        <w:t>ingrid lieten</w:t>
      </w:r>
    </w:p>
    <w:p w:rsidR="00463909" w:rsidRDefault="00463909" w:rsidP="00463909">
      <w:pPr>
        <w:pStyle w:val="StandaardSV"/>
        <w:rPr>
          <w:smallCaps/>
        </w:rPr>
      </w:pPr>
      <w:r>
        <w:rPr>
          <w:smallCaps/>
        </w:rPr>
        <w:t>viceminister-president van de vlaamse regering, vlaams minister van innovatie, overheidsinvesteringen, media en armoedebestrijding</w:t>
      </w:r>
    </w:p>
    <w:p w:rsidR="00463909" w:rsidRDefault="00463909" w:rsidP="00463909">
      <w:pPr>
        <w:pBdr>
          <w:bottom w:val="single" w:sz="4" w:space="1" w:color="auto"/>
        </w:pBdr>
        <w:rPr>
          <w:sz w:val="22"/>
        </w:rPr>
      </w:pPr>
    </w:p>
    <w:p w:rsidR="00463909" w:rsidRDefault="00463909" w:rsidP="00463909">
      <w:pPr>
        <w:rPr>
          <w:sz w:val="22"/>
        </w:rPr>
      </w:pPr>
    </w:p>
    <w:p w:rsidR="00463909" w:rsidRPr="00103D45" w:rsidRDefault="00463909" w:rsidP="00463909">
      <w:pPr>
        <w:rPr>
          <w:b/>
          <w:smallCaps/>
          <w:sz w:val="22"/>
          <w:szCs w:val="22"/>
        </w:rPr>
      </w:pPr>
      <w:r w:rsidRPr="00103D45">
        <w:rPr>
          <w:b/>
          <w:smallCaps/>
          <w:sz w:val="22"/>
          <w:szCs w:val="22"/>
        </w:rPr>
        <w:t>antwoord</w:t>
      </w:r>
    </w:p>
    <w:p w:rsidR="00463909" w:rsidRPr="00103D45" w:rsidRDefault="00463909" w:rsidP="00463909">
      <w:pPr>
        <w:rPr>
          <w:sz w:val="22"/>
          <w:szCs w:val="22"/>
        </w:rPr>
      </w:pPr>
      <w:r w:rsidRPr="00103D45">
        <w:rPr>
          <w:sz w:val="22"/>
          <w:szCs w:val="22"/>
        </w:rPr>
        <w:t xml:space="preserve">op vraag nr. </w:t>
      </w:r>
      <w:r w:rsidRPr="00ED6B2C">
        <w:rPr>
          <w:sz w:val="22"/>
        </w:rPr>
        <w:t>308</w:t>
      </w:r>
      <w:r w:rsidRPr="00103D45">
        <w:rPr>
          <w:sz w:val="22"/>
          <w:szCs w:val="22"/>
        </w:rPr>
        <w:t xml:space="preserve"> van </w:t>
      </w:r>
      <w:r w:rsidRPr="00ED6B2C">
        <w:rPr>
          <w:sz w:val="22"/>
        </w:rPr>
        <w:t>22 maart 2013</w:t>
      </w:r>
    </w:p>
    <w:p w:rsidR="00463909" w:rsidRDefault="00463909" w:rsidP="00463909">
      <w:pPr>
        <w:rPr>
          <w:sz w:val="22"/>
        </w:rPr>
      </w:pPr>
      <w:r w:rsidRPr="00103D45">
        <w:rPr>
          <w:sz w:val="22"/>
          <w:szCs w:val="22"/>
        </w:rPr>
        <w:t xml:space="preserve">van </w:t>
      </w:r>
      <w:r w:rsidRPr="00ED6B2C">
        <w:rPr>
          <w:b/>
          <w:smallCaps/>
        </w:rPr>
        <w:t>koen van den heuvel</w:t>
      </w:r>
    </w:p>
    <w:p w:rsidR="00463909" w:rsidRDefault="00463909" w:rsidP="00463909">
      <w:pPr>
        <w:pBdr>
          <w:bottom w:val="single" w:sz="4" w:space="1" w:color="auto"/>
        </w:pBdr>
        <w:jc w:val="both"/>
        <w:rPr>
          <w:sz w:val="22"/>
        </w:rPr>
      </w:pPr>
    </w:p>
    <w:p w:rsidR="00080040" w:rsidRPr="00372626" w:rsidRDefault="00080040" w:rsidP="0011726B">
      <w:pPr>
        <w:pStyle w:val="StandaardSV"/>
        <w:jc w:val="left"/>
        <w:rPr>
          <w:szCs w:val="22"/>
        </w:rPr>
      </w:pPr>
    </w:p>
    <w:p w:rsidR="00080040" w:rsidRPr="00372626" w:rsidRDefault="00080040" w:rsidP="0011726B">
      <w:pPr>
        <w:pStyle w:val="StandaardSV"/>
        <w:jc w:val="left"/>
        <w:rPr>
          <w:szCs w:val="22"/>
        </w:rPr>
      </w:pPr>
    </w:p>
    <w:p w:rsidR="009A722D" w:rsidRPr="00372626" w:rsidRDefault="009A722D" w:rsidP="00F6635B">
      <w:pPr>
        <w:ind w:left="284" w:hanging="284"/>
        <w:jc w:val="both"/>
        <w:rPr>
          <w:sz w:val="22"/>
          <w:szCs w:val="22"/>
        </w:rPr>
      </w:pPr>
      <w:r w:rsidRPr="00372626">
        <w:rPr>
          <w:sz w:val="22"/>
          <w:szCs w:val="22"/>
        </w:rPr>
        <w:t>1.</w:t>
      </w:r>
      <w:r w:rsidRPr="00372626">
        <w:rPr>
          <w:sz w:val="22"/>
          <w:szCs w:val="22"/>
        </w:rPr>
        <w:tab/>
        <w:t>Onderstaande tabel geeft een overzicht van de toegekende max</w:t>
      </w:r>
      <w:r w:rsidR="000706F8" w:rsidRPr="00372626">
        <w:rPr>
          <w:sz w:val="22"/>
          <w:szCs w:val="22"/>
        </w:rPr>
        <w:t>imale</w:t>
      </w:r>
      <w:r w:rsidRPr="00372626">
        <w:rPr>
          <w:sz w:val="22"/>
          <w:szCs w:val="22"/>
        </w:rPr>
        <w:t xml:space="preserve"> subsidie voor de basiswerking per </w:t>
      </w:r>
      <w:r w:rsidR="00770F3E">
        <w:rPr>
          <w:sz w:val="22"/>
          <w:szCs w:val="22"/>
        </w:rPr>
        <w:t>L</w:t>
      </w:r>
      <w:r w:rsidRPr="00372626">
        <w:rPr>
          <w:sz w:val="22"/>
          <w:szCs w:val="22"/>
        </w:rPr>
        <w:t xml:space="preserve">ichte </w:t>
      </w:r>
      <w:r w:rsidR="00770F3E">
        <w:rPr>
          <w:sz w:val="22"/>
          <w:szCs w:val="22"/>
        </w:rPr>
        <w:t>S</w:t>
      </w:r>
      <w:r w:rsidRPr="00372626">
        <w:rPr>
          <w:sz w:val="22"/>
          <w:szCs w:val="22"/>
        </w:rPr>
        <w:t>tructuur</w:t>
      </w:r>
      <w:r w:rsidR="003158EA" w:rsidRPr="00372626">
        <w:rPr>
          <w:sz w:val="22"/>
          <w:szCs w:val="22"/>
        </w:rPr>
        <w:t xml:space="preserve"> en voor welke periode ze is toegekend.</w:t>
      </w:r>
    </w:p>
    <w:p w:rsidR="009A722D" w:rsidRPr="00372626" w:rsidRDefault="009A722D" w:rsidP="000F22D3">
      <w:pPr>
        <w:pStyle w:val="StandaardSV"/>
        <w:ind w:left="284"/>
        <w:jc w:val="left"/>
        <w:rPr>
          <w:szCs w:val="22"/>
        </w:rPr>
      </w:pPr>
    </w:p>
    <w:tbl>
      <w:tblPr>
        <w:tblW w:w="9301"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1873"/>
        <w:gridCol w:w="2517"/>
      </w:tblGrid>
      <w:tr w:rsidR="003158EA" w:rsidRPr="00ED6B2C" w:rsidTr="00685246">
        <w:tc>
          <w:tcPr>
            <w:tcW w:w="4911" w:type="dxa"/>
          </w:tcPr>
          <w:p w:rsidR="003158EA" w:rsidRPr="00ED6B2C" w:rsidRDefault="003158EA" w:rsidP="001951BB">
            <w:pPr>
              <w:pStyle w:val="StandaardSV"/>
              <w:rPr>
                <w:b/>
              </w:rPr>
            </w:pPr>
            <w:r w:rsidRPr="00ED6B2C">
              <w:rPr>
                <w:b/>
              </w:rPr>
              <w:t>Lichte Structuur</w:t>
            </w:r>
          </w:p>
        </w:tc>
        <w:tc>
          <w:tcPr>
            <w:tcW w:w="1873" w:type="dxa"/>
          </w:tcPr>
          <w:p w:rsidR="00365B6F" w:rsidRPr="00ED6B2C" w:rsidRDefault="0011726B" w:rsidP="0085760E">
            <w:pPr>
              <w:pStyle w:val="StandaardSV"/>
              <w:jc w:val="right"/>
              <w:rPr>
                <w:b/>
              </w:rPr>
            </w:pPr>
            <w:r>
              <w:rPr>
                <w:b/>
              </w:rPr>
              <w:t>M</w:t>
            </w:r>
            <w:r w:rsidR="003158EA" w:rsidRPr="00ED6B2C">
              <w:rPr>
                <w:b/>
              </w:rPr>
              <w:t>ax. subsidie</w:t>
            </w:r>
          </w:p>
          <w:p w:rsidR="003158EA" w:rsidRPr="00ED6B2C" w:rsidRDefault="003158EA" w:rsidP="0085760E">
            <w:pPr>
              <w:pStyle w:val="StandaardSV"/>
              <w:jc w:val="right"/>
              <w:rPr>
                <w:b/>
              </w:rPr>
            </w:pPr>
            <w:r w:rsidRPr="00ED6B2C">
              <w:rPr>
                <w:b/>
              </w:rPr>
              <w:t>basiswerking (€)</w:t>
            </w:r>
          </w:p>
        </w:tc>
        <w:tc>
          <w:tcPr>
            <w:tcW w:w="2517" w:type="dxa"/>
          </w:tcPr>
          <w:p w:rsidR="00365B6F" w:rsidRPr="00ED6B2C" w:rsidRDefault="0011726B" w:rsidP="00C83D3E">
            <w:pPr>
              <w:pStyle w:val="StandaardSV"/>
              <w:jc w:val="left"/>
              <w:rPr>
                <w:b/>
              </w:rPr>
            </w:pPr>
            <w:r>
              <w:rPr>
                <w:b/>
              </w:rPr>
              <w:t>L</w:t>
            </w:r>
            <w:r w:rsidR="00365B6F" w:rsidRPr="00ED6B2C">
              <w:rPr>
                <w:b/>
              </w:rPr>
              <w:t>ooptijd overeenkomst</w:t>
            </w:r>
          </w:p>
          <w:p w:rsidR="003158EA" w:rsidRPr="00ED6B2C" w:rsidRDefault="003158EA" w:rsidP="00C83D3E">
            <w:pPr>
              <w:pStyle w:val="StandaardSV"/>
              <w:jc w:val="left"/>
              <w:rPr>
                <w:b/>
              </w:rPr>
            </w:pPr>
            <w:r w:rsidRPr="00ED6B2C">
              <w:rPr>
                <w:b/>
              </w:rPr>
              <w:t>basiswerking</w:t>
            </w:r>
          </w:p>
        </w:tc>
      </w:tr>
      <w:tr w:rsidR="003158EA" w:rsidRPr="00ED6B2C" w:rsidTr="00685246">
        <w:tc>
          <w:tcPr>
            <w:tcW w:w="4911" w:type="dxa"/>
          </w:tcPr>
          <w:p w:rsidR="003158EA" w:rsidRPr="00685246" w:rsidRDefault="00685246" w:rsidP="00685246">
            <w:pPr>
              <w:rPr>
                <w:lang w:val="en-US"/>
              </w:rPr>
            </w:pPr>
            <w:r w:rsidRPr="00685246">
              <w:rPr>
                <w:rFonts w:ascii="Arial Narrow" w:hAnsi="Arial Narrow"/>
                <w:sz w:val="21"/>
                <w:szCs w:val="21"/>
                <w:lang w:val="en-US"/>
              </w:rPr>
              <w:t>Flanders Innovation Hub for Sustainable Chemis</w:t>
            </w:r>
            <w:r>
              <w:rPr>
                <w:rFonts w:ascii="Arial Narrow" w:hAnsi="Arial Narrow"/>
                <w:sz w:val="21"/>
                <w:szCs w:val="21"/>
                <w:lang w:val="en-US"/>
              </w:rPr>
              <w:t>try (</w:t>
            </w:r>
            <w:r w:rsidR="003158EA" w:rsidRPr="00685246">
              <w:rPr>
                <w:rFonts w:ascii="Arial Narrow" w:hAnsi="Arial Narrow"/>
                <w:sz w:val="21"/>
                <w:szCs w:val="21"/>
                <w:lang w:val="en-US"/>
              </w:rPr>
              <w:t>FISCH</w:t>
            </w:r>
            <w:r w:rsidRPr="00685246">
              <w:rPr>
                <w:rFonts w:ascii="Arial Narrow" w:hAnsi="Arial Narrow"/>
                <w:sz w:val="21"/>
                <w:szCs w:val="21"/>
                <w:lang w:val="en-US"/>
              </w:rPr>
              <w:t>)</w:t>
            </w:r>
          </w:p>
        </w:tc>
        <w:tc>
          <w:tcPr>
            <w:tcW w:w="1873" w:type="dxa"/>
          </w:tcPr>
          <w:p w:rsidR="003158EA" w:rsidRPr="00ED6B2C" w:rsidRDefault="003158EA" w:rsidP="0085760E">
            <w:pPr>
              <w:pStyle w:val="StandaardSV"/>
              <w:jc w:val="right"/>
            </w:pPr>
            <w:r w:rsidRPr="00ED6B2C">
              <w:t>2.560.000</w:t>
            </w:r>
          </w:p>
        </w:tc>
        <w:tc>
          <w:tcPr>
            <w:tcW w:w="2517" w:type="dxa"/>
          </w:tcPr>
          <w:p w:rsidR="003158EA" w:rsidRPr="00ED6B2C" w:rsidRDefault="000706F8" w:rsidP="00372626">
            <w:pPr>
              <w:pStyle w:val="StandaardSV"/>
              <w:jc w:val="left"/>
            </w:pPr>
            <w:r w:rsidRPr="00ED6B2C">
              <w:t>1/3/2012</w:t>
            </w:r>
            <w:r w:rsidR="00372626">
              <w:t>-</w:t>
            </w:r>
            <w:r w:rsidRPr="00ED6B2C">
              <w:t>29/2/2016</w:t>
            </w:r>
          </w:p>
        </w:tc>
      </w:tr>
      <w:tr w:rsidR="003158EA" w:rsidRPr="00ED6B2C" w:rsidTr="00685246">
        <w:tc>
          <w:tcPr>
            <w:tcW w:w="4911" w:type="dxa"/>
          </w:tcPr>
          <w:p w:rsidR="003158EA" w:rsidRPr="00ED6B2C" w:rsidRDefault="003158EA" w:rsidP="00685246">
            <w:pPr>
              <w:pStyle w:val="StandaardSV"/>
            </w:pPr>
            <w:r w:rsidRPr="00ED6B2C">
              <w:t>Flanders InShape</w:t>
            </w:r>
          </w:p>
        </w:tc>
        <w:tc>
          <w:tcPr>
            <w:tcW w:w="1873" w:type="dxa"/>
          </w:tcPr>
          <w:p w:rsidR="003158EA" w:rsidRPr="00ED6B2C" w:rsidRDefault="003158EA" w:rsidP="0085760E">
            <w:pPr>
              <w:pStyle w:val="StandaardSV"/>
              <w:jc w:val="right"/>
            </w:pPr>
            <w:r w:rsidRPr="00ED6B2C">
              <w:t>2.560.000</w:t>
            </w:r>
          </w:p>
        </w:tc>
        <w:tc>
          <w:tcPr>
            <w:tcW w:w="2517" w:type="dxa"/>
          </w:tcPr>
          <w:p w:rsidR="003158EA" w:rsidRPr="00ED6B2C" w:rsidRDefault="003158EA" w:rsidP="00C83D3E">
            <w:pPr>
              <w:pStyle w:val="StandaardSV"/>
              <w:jc w:val="left"/>
            </w:pPr>
            <w:r w:rsidRPr="00ED6B2C">
              <w:t>2012-2015</w:t>
            </w:r>
          </w:p>
        </w:tc>
      </w:tr>
      <w:tr w:rsidR="003158EA" w:rsidRPr="00ED6B2C" w:rsidTr="00685246">
        <w:tc>
          <w:tcPr>
            <w:tcW w:w="4911" w:type="dxa"/>
          </w:tcPr>
          <w:p w:rsidR="003158EA" w:rsidRPr="00ED6B2C" w:rsidRDefault="00CB6928" w:rsidP="00CB6928">
            <w:pPr>
              <w:pStyle w:val="StandaardSV"/>
            </w:pPr>
            <w:r>
              <w:t>Media Innovatie Centrum (</w:t>
            </w:r>
            <w:r w:rsidR="003158EA" w:rsidRPr="00ED6B2C">
              <w:t>M</w:t>
            </w:r>
            <w:r>
              <w:t>i</w:t>
            </w:r>
            <w:r w:rsidR="003158EA" w:rsidRPr="00ED6B2C">
              <w:t>X</w:t>
            </w:r>
            <w:r>
              <w:t>)</w:t>
            </w:r>
          </w:p>
        </w:tc>
        <w:tc>
          <w:tcPr>
            <w:tcW w:w="1873" w:type="dxa"/>
          </w:tcPr>
          <w:p w:rsidR="003158EA" w:rsidRPr="00ED6B2C" w:rsidRDefault="003158EA" w:rsidP="0085760E">
            <w:pPr>
              <w:pStyle w:val="StandaardSV"/>
              <w:jc w:val="right"/>
            </w:pPr>
            <w:r w:rsidRPr="00ED6B2C">
              <w:t>2.560.000</w:t>
            </w:r>
          </w:p>
        </w:tc>
        <w:tc>
          <w:tcPr>
            <w:tcW w:w="2517" w:type="dxa"/>
          </w:tcPr>
          <w:p w:rsidR="003158EA" w:rsidRPr="00ED6B2C" w:rsidRDefault="003158EA" w:rsidP="00C83D3E">
            <w:pPr>
              <w:pStyle w:val="StandaardSV"/>
              <w:jc w:val="left"/>
            </w:pPr>
            <w:r w:rsidRPr="00ED6B2C">
              <w:t>2012-2015</w:t>
            </w:r>
          </w:p>
        </w:tc>
      </w:tr>
      <w:tr w:rsidR="003158EA" w:rsidRPr="00ED6B2C" w:rsidTr="00685246">
        <w:tc>
          <w:tcPr>
            <w:tcW w:w="4911" w:type="dxa"/>
          </w:tcPr>
          <w:p w:rsidR="003158EA" w:rsidRPr="00ED6B2C" w:rsidRDefault="00685246" w:rsidP="001951BB">
            <w:pPr>
              <w:pStyle w:val="StandaardSV"/>
            </w:pPr>
            <w:r w:rsidRPr="00685246">
              <w:t>Strategisch Initiatief Materialen</w:t>
            </w:r>
            <w:r>
              <w:t xml:space="preserve"> (</w:t>
            </w:r>
            <w:r w:rsidR="003158EA" w:rsidRPr="00ED6B2C">
              <w:t>SIM</w:t>
            </w:r>
            <w:r>
              <w:t>)</w:t>
            </w:r>
          </w:p>
        </w:tc>
        <w:tc>
          <w:tcPr>
            <w:tcW w:w="1873" w:type="dxa"/>
          </w:tcPr>
          <w:p w:rsidR="003158EA" w:rsidRPr="00ED6B2C" w:rsidRDefault="003158EA" w:rsidP="0085760E">
            <w:pPr>
              <w:pStyle w:val="StandaardSV"/>
              <w:jc w:val="right"/>
            </w:pPr>
            <w:r w:rsidRPr="00ED6B2C">
              <w:t>2.560.000</w:t>
            </w:r>
          </w:p>
        </w:tc>
        <w:tc>
          <w:tcPr>
            <w:tcW w:w="2517" w:type="dxa"/>
          </w:tcPr>
          <w:p w:rsidR="003158EA" w:rsidRPr="00ED6B2C" w:rsidRDefault="003158EA" w:rsidP="00C83D3E">
            <w:pPr>
              <w:pStyle w:val="StandaardSV"/>
              <w:jc w:val="left"/>
            </w:pPr>
            <w:r w:rsidRPr="00ED6B2C">
              <w:t>2012-2015</w:t>
            </w:r>
          </w:p>
        </w:tc>
      </w:tr>
      <w:tr w:rsidR="003158EA" w:rsidRPr="00ED6B2C" w:rsidTr="00685246">
        <w:tc>
          <w:tcPr>
            <w:tcW w:w="4911" w:type="dxa"/>
          </w:tcPr>
          <w:p w:rsidR="003158EA" w:rsidRPr="00ED6B2C" w:rsidRDefault="00685246" w:rsidP="001951BB">
            <w:pPr>
              <w:pStyle w:val="StandaardSV"/>
            </w:pPr>
            <w:r w:rsidRPr="00685246">
              <w:t>Vlaams Instituut voor de Logistiek</w:t>
            </w:r>
            <w:r>
              <w:t xml:space="preserve"> (</w:t>
            </w:r>
            <w:r w:rsidR="003158EA" w:rsidRPr="00ED6B2C">
              <w:t>VIL</w:t>
            </w:r>
            <w:r>
              <w:t>)</w:t>
            </w:r>
          </w:p>
        </w:tc>
        <w:tc>
          <w:tcPr>
            <w:tcW w:w="1873" w:type="dxa"/>
          </w:tcPr>
          <w:p w:rsidR="003158EA" w:rsidRPr="00ED6B2C" w:rsidRDefault="003158EA" w:rsidP="0085760E">
            <w:pPr>
              <w:pStyle w:val="StandaardSV"/>
              <w:jc w:val="right"/>
            </w:pPr>
            <w:r w:rsidRPr="00ED6B2C">
              <w:t>2.560.000</w:t>
            </w:r>
          </w:p>
        </w:tc>
        <w:tc>
          <w:tcPr>
            <w:tcW w:w="2517" w:type="dxa"/>
          </w:tcPr>
          <w:p w:rsidR="003158EA" w:rsidRPr="00ED6B2C" w:rsidRDefault="003158EA" w:rsidP="00C83D3E">
            <w:pPr>
              <w:pStyle w:val="StandaardSV"/>
              <w:jc w:val="left"/>
            </w:pPr>
            <w:r w:rsidRPr="00ED6B2C">
              <w:t>2012-2015</w:t>
            </w:r>
          </w:p>
        </w:tc>
      </w:tr>
      <w:tr w:rsidR="003158EA" w:rsidRPr="00ED6B2C" w:rsidTr="00685246">
        <w:tc>
          <w:tcPr>
            <w:tcW w:w="4911" w:type="dxa"/>
          </w:tcPr>
          <w:p w:rsidR="003158EA" w:rsidRPr="00ED6B2C" w:rsidRDefault="00685246" w:rsidP="001951BB">
            <w:pPr>
              <w:pStyle w:val="StandaardSV"/>
            </w:pPr>
            <w:r w:rsidRPr="00685246">
              <w:t>Vlaams Instituut voor Mobiliteit</w:t>
            </w:r>
            <w:r>
              <w:t xml:space="preserve"> (</w:t>
            </w:r>
            <w:r w:rsidR="003158EA" w:rsidRPr="00ED6B2C">
              <w:t>VIM</w:t>
            </w:r>
            <w:r>
              <w:t>)</w:t>
            </w:r>
          </w:p>
        </w:tc>
        <w:tc>
          <w:tcPr>
            <w:tcW w:w="1873" w:type="dxa"/>
          </w:tcPr>
          <w:p w:rsidR="003158EA" w:rsidRPr="00ED6B2C" w:rsidRDefault="003158EA" w:rsidP="0085760E">
            <w:pPr>
              <w:pStyle w:val="StandaardSV"/>
              <w:jc w:val="right"/>
            </w:pPr>
            <w:r w:rsidRPr="00ED6B2C">
              <w:t>2.560.000</w:t>
            </w:r>
          </w:p>
        </w:tc>
        <w:tc>
          <w:tcPr>
            <w:tcW w:w="2517" w:type="dxa"/>
          </w:tcPr>
          <w:p w:rsidR="003158EA" w:rsidRPr="00ED6B2C" w:rsidRDefault="003158EA" w:rsidP="00C83D3E">
            <w:pPr>
              <w:pStyle w:val="StandaardSV"/>
              <w:jc w:val="left"/>
            </w:pPr>
            <w:r w:rsidRPr="00ED6B2C">
              <w:t>2012-2015</w:t>
            </w:r>
          </w:p>
        </w:tc>
      </w:tr>
      <w:tr w:rsidR="003158EA" w:rsidRPr="00ED6B2C" w:rsidTr="00685246">
        <w:tc>
          <w:tcPr>
            <w:tcW w:w="4911" w:type="dxa"/>
          </w:tcPr>
          <w:p w:rsidR="003158EA" w:rsidRPr="00ED6B2C" w:rsidRDefault="003158EA" w:rsidP="001951BB">
            <w:pPr>
              <w:pStyle w:val="StandaardSV"/>
            </w:pPr>
            <w:r w:rsidRPr="00ED6B2C">
              <w:t>Flanders’ FOOD</w:t>
            </w:r>
            <w:r w:rsidR="00050748" w:rsidRPr="0011726B">
              <w:rPr>
                <w:b/>
                <w:sz w:val="20"/>
              </w:rPr>
              <w:t>*</w:t>
            </w:r>
          </w:p>
        </w:tc>
        <w:tc>
          <w:tcPr>
            <w:tcW w:w="1873" w:type="dxa"/>
          </w:tcPr>
          <w:p w:rsidR="003158EA" w:rsidRPr="00ED6B2C" w:rsidRDefault="0023618B" w:rsidP="0085760E">
            <w:pPr>
              <w:pStyle w:val="StandaardSV"/>
              <w:jc w:val="right"/>
            </w:pPr>
            <w:r w:rsidRPr="00ED6B2C">
              <w:t>1.280.000</w:t>
            </w:r>
          </w:p>
        </w:tc>
        <w:tc>
          <w:tcPr>
            <w:tcW w:w="2517" w:type="dxa"/>
          </w:tcPr>
          <w:p w:rsidR="003158EA" w:rsidRPr="00ED6B2C" w:rsidRDefault="0023618B" w:rsidP="00372626">
            <w:pPr>
              <w:pStyle w:val="StandaardSV"/>
              <w:jc w:val="left"/>
            </w:pPr>
            <w:r w:rsidRPr="00ED6B2C">
              <w:t>1/12/2011</w:t>
            </w:r>
            <w:r w:rsidR="00372626">
              <w:t>-</w:t>
            </w:r>
            <w:r w:rsidRPr="00ED6B2C">
              <w:t>31/12/201</w:t>
            </w:r>
            <w:r w:rsidR="00EB5950">
              <w:t>3</w:t>
            </w:r>
          </w:p>
        </w:tc>
      </w:tr>
      <w:tr w:rsidR="003158EA" w:rsidRPr="00ED6B2C" w:rsidTr="00685246">
        <w:tc>
          <w:tcPr>
            <w:tcW w:w="4911" w:type="dxa"/>
          </w:tcPr>
          <w:p w:rsidR="003158EA" w:rsidRPr="00ED6B2C" w:rsidRDefault="003158EA" w:rsidP="001951BB">
            <w:pPr>
              <w:pStyle w:val="StandaardSV"/>
            </w:pPr>
            <w:r w:rsidRPr="00ED6B2C">
              <w:t>De Sociale Innovatiefabriek</w:t>
            </w:r>
          </w:p>
        </w:tc>
        <w:tc>
          <w:tcPr>
            <w:tcW w:w="1873" w:type="dxa"/>
          </w:tcPr>
          <w:p w:rsidR="003158EA" w:rsidRPr="00ED6B2C" w:rsidRDefault="003158EA" w:rsidP="0085760E">
            <w:pPr>
              <w:pStyle w:val="StandaardSV"/>
              <w:jc w:val="right"/>
            </w:pPr>
            <w:r w:rsidRPr="00ED6B2C">
              <w:t>2.560.000</w:t>
            </w:r>
          </w:p>
        </w:tc>
        <w:tc>
          <w:tcPr>
            <w:tcW w:w="2517" w:type="dxa"/>
          </w:tcPr>
          <w:p w:rsidR="003158EA" w:rsidRPr="00ED6B2C" w:rsidRDefault="0023618B" w:rsidP="00C83D3E">
            <w:pPr>
              <w:pStyle w:val="StandaardSV"/>
              <w:jc w:val="left"/>
            </w:pPr>
            <w:r w:rsidRPr="00ED6B2C">
              <w:t>2013-2016</w:t>
            </w:r>
          </w:p>
        </w:tc>
      </w:tr>
      <w:tr w:rsidR="003158EA" w:rsidRPr="00ED6B2C" w:rsidTr="00685246">
        <w:tc>
          <w:tcPr>
            <w:tcW w:w="4911" w:type="dxa"/>
          </w:tcPr>
          <w:p w:rsidR="003158EA" w:rsidRPr="00ED6B2C" w:rsidRDefault="003158EA" w:rsidP="0011726B">
            <w:pPr>
              <w:pStyle w:val="StandaardSV"/>
            </w:pPr>
            <w:r w:rsidRPr="00ED6B2C">
              <w:t xml:space="preserve">Flanders’ </w:t>
            </w:r>
            <w:r w:rsidR="0011726B">
              <w:t>DRIVE</w:t>
            </w:r>
          </w:p>
        </w:tc>
        <w:tc>
          <w:tcPr>
            <w:tcW w:w="1873" w:type="dxa"/>
          </w:tcPr>
          <w:p w:rsidR="003158EA" w:rsidRPr="00ED6B2C" w:rsidRDefault="003158EA" w:rsidP="0085760E">
            <w:pPr>
              <w:pStyle w:val="StandaardSV"/>
              <w:jc w:val="right"/>
            </w:pPr>
            <w:r w:rsidRPr="00ED6B2C">
              <w:t>2.560.000</w:t>
            </w:r>
          </w:p>
        </w:tc>
        <w:tc>
          <w:tcPr>
            <w:tcW w:w="2517" w:type="dxa"/>
          </w:tcPr>
          <w:p w:rsidR="003158EA" w:rsidRPr="00ED6B2C" w:rsidRDefault="0023618B" w:rsidP="00C83D3E">
            <w:pPr>
              <w:pStyle w:val="StandaardSV"/>
              <w:jc w:val="left"/>
            </w:pPr>
            <w:r w:rsidRPr="00ED6B2C">
              <w:t>2013-2016</w:t>
            </w:r>
          </w:p>
        </w:tc>
      </w:tr>
      <w:tr w:rsidR="003158EA" w:rsidRPr="00ED6B2C" w:rsidTr="00685246">
        <w:tc>
          <w:tcPr>
            <w:tcW w:w="4911" w:type="dxa"/>
          </w:tcPr>
          <w:p w:rsidR="003158EA" w:rsidRPr="00ED6B2C" w:rsidRDefault="003158EA" w:rsidP="000F22D3">
            <w:pPr>
              <w:pStyle w:val="StandaardSV"/>
            </w:pPr>
            <w:r w:rsidRPr="00ED6B2C">
              <w:t>Flanders Synergy</w:t>
            </w:r>
          </w:p>
        </w:tc>
        <w:tc>
          <w:tcPr>
            <w:tcW w:w="1873" w:type="dxa"/>
          </w:tcPr>
          <w:p w:rsidR="003158EA" w:rsidRPr="00ED6B2C" w:rsidRDefault="003158EA" w:rsidP="0085760E">
            <w:pPr>
              <w:pStyle w:val="StandaardSV"/>
              <w:jc w:val="right"/>
            </w:pPr>
            <w:r w:rsidRPr="00ED6B2C">
              <w:t>2.</w:t>
            </w:r>
            <w:r w:rsidR="0023618B" w:rsidRPr="00ED6B2C">
              <w:t>40</w:t>
            </w:r>
            <w:r w:rsidRPr="00ED6B2C">
              <w:t>0.000</w:t>
            </w:r>
          </w:p>
        </w:tc>
        <w:tc>
          <w:tcPr>
            <w:tcW w:w="2517" w:type="dxa"/>
          </w:tcPr>
          <w:p w:rsidR="003158EA" w:rsidRPr="00ED6B2C" w:rsidRDefault="0023618B" w:rsidP="00372626">
            <w:pPr>
              <w:pStyle w:val="StandaardSV"/>
              <w:jc w:val="left"/>
            </w:pPr>
            <w:r w:rsidRPr="00ED6B2C">
              <w:t>1/4/2013</w:t>
            </w:r>
            <w:r w:rsidR="00372626">
              <w:t>-</w:t>
            </w:r>
            <w:r w:rsidRPr="00ED6B2C">
              <w:t>31/12/2016</w:t>
            </w:r>
          </w:p>
        </w:tc>
      </w:tr>
    </w:tbl>
    <w:p w:rsidR="009A722D" w:rsidRPr="0011726B" w:rsidRDefault="0023618B" w:rsidP="00F6635B">
      <w:pPr>
        <w:ind w:left="567" w:hanging="207"/>
        <w:jc w:val="both"/>
        <w:rPr>
          <w:b/>
          <w:sz w:val="20"/>
        </w:rPr>
      </w:pPr>
      <w:r w:rsidRPr="0011726B">
        <w:rPr>
          <w:b/>
          <w:sz w:val="20"/>
        </w:rPr>
        <w:t>*</w:t>
      </w:r>
      <w:r w:rsidRPr="0011726B">
        <w:rPr>
          <w:b/>
          <w:sz w:val="20"/>
        </w:rPr>
        <w:tab/>
      </w:r>
      <w:r w:rsidR="00050748" w:rsidRPr="0011726B">
        <w:rPr>
          <w:b/>
          <w:sz w:val="20"/>
        </w:rPr>
        <w:t xml:space="preserve">Bij de tussentijdse evaluatie van de tweede overeenkomst van Flanders’ FOOD is besloten om de tweede biënnale via de modaliteiten van de </w:t>
      </w:r>
      <w:r w:rsidR="00770F3E">
        <w:rPr>
          <w:b/>
          <w:sz w:val="20"/>
        </w:rPr>
        <w:t>L</w:t>
      </w:r>
      <w:r w:rsidR="00050748" w:rsidRPr="0011726B">
        <w:rPr>
          <w:b/>
          <w:sz w:val="20"/>
        </w:rPr>
        <w:t xml:space="preserve">ichte </w:t>
      </w:r>
      <w:r w:rsidR="00770F3E">
        <w:rPr>
          <w:b/>
          <w:sz w:val="20"/>
        </w:rPr>
        <w:t>S</w:t>
      </w:r>
      <w:r w:rsidR="00050748" w:rsidRPr="0011726B">
        <w:rPr>
          <w:b/>
          <w:sz w:val="20"/>
        </w:rPr>
        <w:t>tru</w:t>
      </w:r>
      <w:r w:rsidRPr="0011726B">
        <w:rPr>
          <w:b/>
          <w:sz w:val="20"/>
        </w:rPr>
        <w:t>cturen te ondersteunen. De in de tabel opgenomen gegevens betreffen die voor de basiswerking van deze tweede biënnale.</w:t>
      </w:r>
    </w:p>
    <w:p w:rsidR="004E314C" w:rsidRPr="00372626" w:rsidRDefault="004E314C" w:rsidP="00F6635B">
      <w:pPr>
        <w:ind w:left="360"/>
        <w:jc w:val="both"/>
        <w:rPr>
          <w:sz w:val="22"/>
          <w:szCs w:val="22"/>
        </w:rPr>
      </w:pPr>
    </w:p>
    <w:p w:rsidR="007C03C3" w:rsidRPr="00372626" w:rsidRDefault="004E314C" w:rsidP="00F6635B">
      <w:pPr>
        <w:ind w:left="360" w:hanging="360"/>
        <w:jc w:val="both"/>
        <w:rPr>
          <w:sz w:val="22"/>
          <w:szCs w:val="22"/>
        </w:rPr>
      </w:pPr>
      <w:r w:rsidRPr="00372626">
        <w:rPr>
          <w:sz w:val="22"/>
          <w:szCs w:val="22"/>
        </w:rPr>
        <w:t>2a</w:t>
      </w:r>
      <w:r w:rsidR="007C03C3" w:rsidRPr="00372626">
        <w:rPr>
          <w:sz w:val="22"/>
          <w:szCs w:val="22"/>
        </w:rPr>
        <w:t>.</w:t>
      </w:r>
      <w:r w:rsidR="007C03C3" w:rsidRPr="00372626">
        <w:rPr>
          <w:sz w:val="22"/>
          <w:szCs w:val="22"/>
        </w:rPr>
        <w:tab/>
        <w:t xml:space="preserve">Onderstaande tabel geeft een overzicht van </w:t>
      </w:r>
      <w:r w:rsidRPr="00372626">
        <w:rPr>
          <w:sz w:val="22"/>
          <w:szCs w:val="22"/>
        </w:rPr>
        <w:t>de max</w:t>
      </w:r>
      <w:r w:rsidR="000706F8" w:rsidRPr="00372626">
        <w:rPr>
          <w:sz w:val="22"/>
          <w:szCs w:val="22"/>
        </w:rPr>
        <w:t>imale</w:t>
      </w:r>
      <w:r w:rsidRPr="00372626">
        <w:rPr>
          <w:sz w:val="22"/>
          <w:szCs w:val="22"/>
        </w:rPr>
        <w:t xml:space="preserve"> omvang van het gereserveerde projectbudget </w:t>
      </w:r>
      <w:r w:rsidR="007C03C3" w:rsidRPr="00372626">
        <w:rPr>
          <w:sz w:val="22"/>
          <w:szCs w:val="22"/>
        </w:rPr>
        <w:t xml:space="preserve">per </w:t>
      </w:r>
      <w:r w:rsidR="00770F3E">
        <w:rPr>
          <w:sz w:val="22"/>
          <w:szCs w:val="22"/>
        </w:rPr>
        <w:t>L</w:t>
      </w:r>
      <w:r w:rsidR="007C03C3" w:rsidRPr="00372626">
        <w:rPr>
          <w:sz w:val="22"/>
          <w:szCs w:val="22"/>
        </w:rPr>
        <w:t xml:space="preserve">ichte </w:t>
      </w:r>
      <w:r w:rsidR="00770F3E">
        <w:rPr>
          <w:sz w:val="22"/>
          <w:szCs w:val="22"/>
        </w:rPr>
        <w:t>S</w:t>
      </w:r>
      <w:r w:rsidR="007C03C3" w:rsidRPr="00372626">
        <w:rPr>
          <w:sz w:val="22"/>
          <w:szCs w:val="22"/>
        </w:rPr>
        <w:t xml:space="preserve">tructuur voor </w:t>
      </w:r>
      <w:r w:rsidRPr="00372626">
        <w:rPr>
          <w:sz w:val="22"/>
          <w:szCs w:val="22"/>
        </w:rPr>
        <w:t>2012 en 2013</w:t>
      </w:r>
      <w:r w:rsidR="00C83D3E" w:rsidRPr="00372626">
        <w:rPr>
          <w:sz w:val="22"/>
          <w:szCs w:val="22"/>
        </w:rPr>
        <w:t xml:space="preserve"> (bedragen in euro)</w:t>
      </w:r>
      <w:r w:rsidR="007C03C3" w:rsidRPr="00372626">
        <w:rPr>
          <w:sz w:val="22"/>
          <w:szCs w:val="22"/>
        </w:rPr>
        <w:t>.</w:t>
      </w:r>
    </w:p>
    <w:p w:rsidR="001951BB" w:rsidRPr="00372626" w:rsidRDefault="001951BB" w:rsidP="00C83D3E">
      <w:pPr>
        <w:pStyle w:val="StandaardSV"/>
        <w:ind w:left="360"/>
        <w:jc w:val="left"/>
        <w:rPr>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206"/>
        <w:gridCol w:w="1316"/>
      </w:tblGrid>
      <w:tr w:rsidR="007C03C3" w:rsidRPr="00ED6B2C" w:rsidTr="00C83D3E">
        <w:tc>
          <w:tcPr>
            <w:tcW w:w="2483" w:type="dxa"/>
          </w:tcPr>
          <w:p w:rsidR="007C03C3" w:rsidRPr="00ED6B2C" w:rsidRDefault="007C03C3" w:rsidP="007C03C3">
            <w:pPr>
              <w:pStyle w:val="StandaardSV"/>
              <w:rPr>
                <w:b/>
              </w:rPr>
            </w:pPr>
            <w:r w:rsidRPr="00ED6B2C">
              <w:rPr>
                <w:b/>
              </w:rPr>
              <w:t>Lichte Structuur</w:t>
            </w:r>
          </w:p>
        </w:tc>
        <w:tc>
          <w:tcPr>
            <w:tcW w:w="1206" w:type="dxa"/>
          </w:tcPr>
          <w:p w:rsidR="007C03C3" w:rsidRPr="00ED6B2C" w:rsidRDefault="007C03C3" w:rsidP="00C83D3E">
            <w:pPr>
              <w:pStyle w:val="StandaardSV"/>
              <w:jc w:val="right"/>
              <w:rPr>
                <w:b/>
              </w:rPr>
            </w:pPr>
            <w:r w:rsidRPr="00ED6B2C">
              <w:rPr>
                <w:b/>
              </w:rPr>
              <w:t>2012</w:t>
            </w:r>
          </w:p>
        </w:tc>
        <w:tc>
          <w:tcPr>
            <w:tcW w:w="1316" w:type="dxa"/>
          </w:tcPr>
          <w:p w:rsidR="007C03C3" w:rsidRPr="00ED6B2C" w:rsidRDefault="007C03C3" w:rsidP="00C83D3E">
            <w:pPr>
              <w:pStyle w:val="StandaardSV"/>
              <w:jc w:val="right"/>
              <w:rPr>
                <w:b/>
              </w:rPr>
            </w:pPr>
            <w:r w:rsidRPr="00ED6B2C">
              <w:rPr>
                <w:b/>
              </w:rPr>
              <w:t>2013</w:t>
            </w:r>
          </w:p>
        </w:tc>
      </w:tr>
      <w:tr w:rsidR="007C03C3" w:rsidRPr="00ED6B2C" w:rsidTr="00C83D3E">
        <w:tc>
          <w:tcPr>
            <w:tcW w:w="2483" w:type="dxa"/>
          </w:tcPr>
          <w:p w:rsidR="007C03C3" w:rsidRPr="00ED6B2C" w:rsidRDefault="007C03C3" w:rsidP="007C03C3">
            <w:pPr>
              <w:pStyle w:val="StandaardSV"/>
            </w:pPr>
            <w:r w:rsidRPr="00ED6B2C">
              <w:t>FISCH</w:t>
            </w:r>
            <w:r w:rsidR="00A507C7" w:rsidRPr="00C83D3E">
              <w:rPr>
                <w:b/>
                <w:sz w:val="20"/>
              </w:rPr>
              <w:t>*</w:t>
            </w:r>
          </w:p>
        </w:tc>
        <w:tc>
          <w:tcPr>
            <w:tcW w:w="1206" w:type="dxa"/>
          </w:tcPr>
          <w:p w:rsidR="007C03C3" w:rsidRPr="00ED6B2C" w:rsidRDefault="007C03C3" w:rsidP="00C83D3E">
            <w:pPr>
              <w:pStyle w:val="StandaardSV"/>
              <w:jc w:val="right"/>
            </w:pPr>
            <w:r w:rsidRPr="00ED6B2C">
              <w:t>2.461.000</w:t>
            </w:r>
          </w:p>
        </w:tc>
        <w:tc>
          <w:tcPr>
            <w:tcW w:w="1316" w:type="dxa"/>
          </w:tcPr>
          <w:p w:rsidR="007C03C3" w:rsidRPr="00ED6B2C" w:rsidRDefault="007C03C3" w:rsidP="00C83D3E">
            <w:pPr>
              <w:pStyle w:val="StandaardSV"/>
              <w:jc w:val="right"/>
            </w:pPr>
            <w:r w:rsidRPr="00ED6B2C">
              <w:t>5.000.000</w:t>
            </w:r>
          </w:p>
        </w:tc>
      </w:tr>
      <w:tr w:rsidR="007C03C3" w:rsidRPr="00ED6B2C" w:rsidTr="00C83D3E">
        <w:tc>
          <w:tcPr>
            <w:tcW w:w="2483" w:type="dxa"/>
          </w:tcPr>
          <w:p w:rsidR="007C03C3" w:rsidRPr="00ED6B2C" w:rsidRDefault="007C03C3" w:rsidP="00685246">
            <w:pPr>
              <w:pStyle w:val="StandaardSV"/>
            </w:pPr>
            <w:r w:rsidRPr="00ED6B2C">
              <w:t>Flanders InShape</w:t>
            </w:r>
            <w:r w:rsidR="00C83D3E" w:rsidRPr="00C83D3E">
              <w:rPr>
                <w:b/>
                <w:sz w:val="20"/>
              </w:rPr>
              <w:t>*</w:t>
            </w:r>
          </w:p>
        </w:tc>
        <w:tc>
          <w:tcPr>
            <w:tcW w:w="1206" w:type="dxa"/>
          </w:tcPr>
          <w:p w:rsidR="007C03C3" w:rsidRPr="00ED6B2C" w:rsidRDefault="007C03C3" w:rsidP="00C83D3E">
            <w:pPr>
              <w:pStyle w:val="StandaardSV"/>
              <w:jc w:val="right"/>
            </w:pPr>
            <w:r w:rsidRPr="00ED6B2C">
              <w:t>1.000.000</w:t>
            </w:r>
          </w:p>
        </w:tc>
        <w:tc>
          <w:tcPr>
            <w:tcW w:w="1316" w:type="dxa"/>
          </w:tcPr>
          <w:p w:rsidR="007C03C3" w:rsidRPr="00ED6B2C" w:rsidRDefault="007C03C3" w:rsidP="00C83D3E">
            <w:pPr>
              <w:pStyle w:val="StandaardSV"/>
              <w:jc w:val="right"/>
            </w:pPr>
            <w:r w:rsidRPr="00ED6B2C">
              <w:t>1.200.000</w:t>
            </w:r>
          </w:p>
        </w:tc>
      </w:tr>
      <w:tr w:rsidR="007C03C3" w:rsidRPr="00ED6B2C" w:rsidTr="00C83D3E">
        <w:tc>
          <w:tcPr>
            <w:tcW w:w="2483" w:type="dxa"/>
          </w:tcPr>
          <w:p w:rsidR="007C03C3" w:rsidRPr="00ED6B2C" w:rsidRDefault="007C03C3" w:rsidP="007C03C3">
            <w:pPr>
              <w:pStyle w:val="StandaardSV"/>
            </w:pPr>
            <w:r w:rsidRPr="00ED6B2C">
              <w:t>VIL</w:t>
            </w:r>
            <w:r w:rsidR="00C83D3E" w:rsidRPr="00C83D3E">
              <w:rPr>
                <w:b/>
                <w:sz w:val="20"/>
              </w:rPr>
              <w:t>*</w:t>
            </w:r>
          </w:p>
        </w:tc>
        <w:tc>
          <w:tcPr>
            <w:tcW w:w="1206" w:type="dxa"/>
          </w:tcPr>
          <w:p w:rsidR="007C03C3" w:rsidRPr="00ED6B2C" w:rsidRDefault="007C03C3" w:rsidP="00C83D3E">
            <w:pPr>
              <w:pStyle w:val="StandaardSV"/>
              <w:jc w:val="right"/>
            </w:pPr>
            <w:r w:rsidRPr="00ED6B2C">
              <w:t>2.000.000</w:t>
            </w:r>
          </w:p>
        </w:tc>
        <w:tc>
          <w:tcPr>
            <w:tcW w:w="1316" w:type="dxa"/>
          </w:tcPr>
          <w:p w:rsidR="007C03C3" w:rsidRPr="00ED6B2C" w:rsidRDefault="007C03C3" w:rsidP="00C83D3E">
            <w:pPr>
              <w:pStyle w:val="StandaardSV"/>
              <w:jc w:val="right"/>
            </w:pPr>
            <w:r w:rsidRPr="00ED6B2C">
              <w:t>1.400.000</w:t>
            </w:r>
          </w:p>
        </w:tc>
      </w:tr>
      <w:tr w:rsidR="007C03C3" w:rsidRPr="00ED6B2C" w:rsidTr="00C83D3E">
        <w:tc>
          <w:tcPr>
            <w:tcW w:w="2483" w:type="dxa"/>
          </w:tcPr>
          <w:p w:rsidR="007C03C3" w:rsidRPr="00ED6B2C" w:rsidRDefault="007C03C3" w:rsidP="007C03C3">
            <w:pPr>
              <w:pStyle w:val="StandaardSV"/>
            </w:pPr>
            <w:r w:rsidRPr="00ED6B2C">
              <w:t>VIM</w:t>
            </w:r>
            <w:r w:rsidR="00C83D3E" w:rsidRPr="00C83D3E">
              <w:rPr>
                <w:b/>
                <w:sz w:val="20"/>
              </w:rPr>
              <w:t>*</w:t>
            </w:r>
          </w:p>
        </w:tc>
        <w:tc>
          <w:tcPr>
            <w:tcW w:w="1206" w:type="dxa"/>
          </w:tcPr>
          <w:p w:rsidR="007C03C3" w:rsidRPr="00ED6B2C" w:rsidRDefault="007C03C3" w:rsidP="00C83D3E">
            <w:pPr>
              <w:pStyle w:val="StandaardSV"/>
              <w:jc w:val="right"/>
            </w:pPr>
            <w:r w:rsidRPr="00ED6B2C">
              <w:t>2.000.000</w:t>
            </w:r>
          </w:p>
        </w:tc>
        <w:tc>
          <w:tcPr>
            <w:tcW w:w="1316" w:type="dxa"/>
          </w:tcPr>
          <w:p w:rsidR="007C03C3" w:rsidRPr="00ED6B2C" w:rsidRDefault="007C03C3" w:rsidP="00C83D3E">
            <w:pPr>
              <w:pStyle w:val="StandaardSV"/>
              <w:jc w:val="right"/>
            </w:pPr>
            <w:r w:rsidRPr="00ED6B2C">
              <w:t>1.400.000</w:t>
            </w:r>
          </w:p>
        </w:tc>
      </w:tr>
      <w:tr w:rsidR="007C03C3" w:rsidRPr="00ED6B2C" w:rsidTr="00C83D3E">
        <w:tc>
          <w:tcPr>
            <w:tcW w:w="2483" w:type="dxa"/>
          </w:tcPr>
          <w:p w:rsidR="007C03C3" w:rsidRPr="00ED6B2C" w:rsidRDefault="007C03C3" w:rsidP="007C03C3">
            <w:pPr>
              <w:pStyle w:val="StandaardSV"/>
              <w:rPr>
                <w:lang w:val="en-US"/>
              </w:rPr>
            </w:pPr>
            <w:r w:rsidRPr="00ED6B2C">
              <w:rPr>
                <w:lang w:val="en-US"/>
              </w:rPr>
              <w:t>SIM</w:t>
            </w:r>
            <w:r w:rsidR="00C83D3E" w:rsidRPr="00C83D3E">
              <w:rPr>
                <w:b/>
                <w:sz w:val="20"/>
              </w:rPr>
              <w:t>*</w:t>
            </w:r>
          </w:p>
        </w:tc>
        <w:tc>
          <w:tcPr>
            <w:tcW w:w="1206" w:type="dxa"/>
          </w:tcPr>
          <w:p w:rsidR="007C03C3" w:rsidRPr="00ED6B2C" w:rsidRDefault="007C03C3" w:rsidP="00C83D3E">
            <w:pPr>
              <w:pStyle w:val="StandaardSV"/>
              <w:jc w:val="right"/>
              <w:rPr>
                <w:lang w:val="en-US"/>
              </w:rPr>
            </w:pPr>
            <w:r w:rsidRPr="00ED6B2C">
              <w:rPr>
                <w:lang w:val="en-US"/>
              </w:rPr>
              <w:t>7.000.000</w:t>
            </w:r>
          </w:p>
        </w:tc>
        <w:tc>
          <w:tcPr>
            <w:tcW w:w="1316" w:type="dxa"/>
          </w:tcPr>
          <w:p w:rsidR="007C03C3" w:rsidRPr="00ED6B2C" w:rsidRDefault="007C03C3" w:rsidP="00C83D3E">
            <w:pPr>
              <w:pStyle w:val="StandaardSV"/>
              <w:jc w:val="right"/>
              <w:rPr>
                <w:lang w:val="en-US"/>
              </w:rPr>
            </w:pPr>
            <w:r w:rsidRPr="00ED6B2C">
              <w:rPr>
                <w:lang w:val="en-US"/>
              </w:rPr>
              <w:t>6.000.000</w:t>
            </w:r>
          </w:p>
        </w:tc>
      </w:tr>
      <w:tr w:rsidR="007C03C3" w:rsidRPr="00ED6B2C" w:rsidTr="00C83D3E">
        <w:tc>
          <w:tcPr>
            <w:tcW w:w="2483" w:type="dxa"/>
          </w:tcPr>
          <w:p w:rsidR="007C03C3" w:rsidRPr="00ED6B2C" w:rsidRDefault="007C03C3" w:rsidP="00CB6928">
            <w:pPr>
              <w:pStyle w:val="StandaardSV"/>
              <w:rPr>
                <w:lang w:val="en-US"/>
              </w:rPr>
            </w:pPr>
            <w:r w:rsidRPr="00ED6B2C">
              <w:rPr>
                <w:lang w:val="en-US"/>
              </w:rPr>
              <w:t>M</w:t>
            </w:r>
            <w:r w:rsidR="00CB6928">
              <w:rPr>
                <w:lang w:val="en-US"/>
              </w:rPr>
              <w:t>i</w:t>
            </w:r>
            <w:r w:rsidRPr="00ED6B2C">
              <w:rPr>
                <w:lang w:val="en-US"/>
              </w:rPr>
              <w:t>X</w:t>
            </w:r>
          </w:p>
        </w:tc>
        <w:tc>
          <w:tcPr>
            <w:tcW w:w="1206" w:type="dxa"/>
          </w:tcPr>
          <w:p w:rsidR="007C03C3" w:rsidRPr="00ED6B2C" w:rsidRDefault="007C03C3" w:rsidP="00C83D3E">
            <w:pPr>
              <w:pStyle w:val="StandaardSV"/>
              <w:jc w:val="right"/>
              <w:rPr>
                <w:lang w:val="en-US"/>
              </w:rPr>
            </w:pPr>
            <w:r w:rsidRPr="00ED6B2C">
              <w:rPr>
                <w:lang w:val="en-US"/>
              </w:rPr>
              <w:t>4.500.000</w:t>
            </w:r>
          </w:p>
        </w:tc>
        <w:tc>
          <w:tcPr>
            <w:tcW w:w="1316" w:type="dxa"/>
          </w:tcPr>
          <w:p w:rsidR="007C03C3" w:rsidRPr="00ED6B2C" w:rsidRDefault="007C03C3" w:rsidP="00C83D3E">
            <w:pPr>
              <w:pStyle w:val="StandaardSV"/>
              <w:jc w:val="right"/>
              <w:rPr>
                <w:lang w:val="en-US"/>
              </w:rPr>
            </w:pPr>
            <w:r w:rsidRPr="00ED6B2C">
              <w:rPr>
                <w:lang w:val="en-US"/>
              </w:rPr>
              <w:t>4.600.000</w:t>
            </w:r>
          </w:p>
        </w:tc>
      </w:tr>
      <w:tr w:rsidR="007C03C3" w:rsidRPr="00ED6B2C" w:rsidTr="00C83D3E">
        <w:tc>
          <w:tcPr>
            <w:tcW w:w="2483" w:type="dxa"/>
          </w:tcPr>
          <w:p w:rsidR="007C03C3" w:rsidRPr="00ED6B2C" w:rsidRDefault="007C03C3" w:rsidP="00C83D3E">
            <w:pPr>
              <w:pStyle w:val="StandaardSV"/>
              <w:rPr>
                <w:lang w:val="en-US"/>
              </w:rPr>
            </w:pPr>
            <w:r w:rsidRPr="00ED6B2C">
              <w:rPr>
                <w:lang w:val="en-US"/>
              </w:rPr>
              <w:t>Flanders</w:t>
            </w:r>
            <w:r w:rsidR="00C83D3E">
              <w:rPr>
                <w:lang w:val="en-US"/>
              </w:rPr>
              <w:t>’</w:t>
            </w:r>
            <w:r w:rsidRPr="00ED6B2C">
              <w:rPr>
                <w:lang w:val="en-US"/>
              </w:rPr>
              <w:t xml:space="preserve"> FOOD</w:t>
            </w:r>
            <w:r w:rsidR="00C83D3E" w:rsidRPr="00C83D3E">
              <w:rPr>
                <w:b/>
                <w:sz w:val="20"/>
              </w:rPr>
              <w:t>*</w:t>
            </w:r>
          </w:p>
        </w:tc>
        <w:tc>
          <w:tcPr>
            <w:tcW w:w="1206" w:type="dxa"/>
          </w:tcPr>
          <w:p w:rsidR="007C03C3" w:rsidRPr="00ED6B2C" w:rsidRDefault="007C03C3" w:rsidP="00C83D3E">
            <w:pPr>
              <w:pStyle w:val="StandaardSV"/>
              <w:jc w:val="right"/>
              <w:rPr>
                <w:lang w:val="en-US"/>
              </w:rPr>
            </w:pPr>
            <w:r w:rsidRPr="00ED6B2C">
              <w:rPr>
                <w:lang w:val="en-US"/>
              </w:rPr>
              <w:t>1.360.000</w:t>
            </w:r>
          </w:p>
        </w:tc>
        <w:tc>
          <w:tcPr>
            <w:tcW w:w="1316" w:type="dxa"/>
          </w:tcPr>
          <w:p w:rsidR="007C03C3" w:rsidRPr="00ED6B2C" w:rsidRDefault="007C03C3" w:rsidP="00C83D3E">
            <w:pPr>
              <w:pStyle w:val="StandaardSV"/>
              <w:jc w:val="right"/>
              <w:rPr>
                <w:lang w:val="en-US"/>
              </w:rPr>
            </w:pPr>
            <w:r w:rsidRPr="00ED6B2C">
              <w:rPr>
                <w:lang w:val="en-US"/>
              </w:rPr>
              <w:t>0</w:t>
            </w:r>
          </w:p>
        </w:tc>
      </w:tr>
      <w:tr w:rsidR="007C03C3" w:rsidRPr="00ED6B2C" w:rsidTr="00C83D3E">
        <w:tc>
          <w:tcPr>
            <w:tcW w:w="2483" w:type="dxa"/>
          </w:tcPr>
          <w:p w:rsidR="007C03C3" w:rsidRPr="00ED6B2C" w:rsidRDefault="007C03C3" w:rsidP="00C83D3E">
            <w:pPr>
              <w:pStyle w:val="StandaardSV"/>
              <w:rPr>
                <w:lang w:val="en-US"/>
              </w:rPr>
            </w:pPr>
            <w:r w:rsidRPr="00ED6B2C">
              <w:rPr>
                <w:lang w:val="en-US"/>
              </w:rPr>
              <w:t>Flanders</w:t>
            </w:r>
            <w:r w:rsidR="00C83D3E">
              <w:rPr>
                <w:lang w:val="en-US"/>
              </w:rPr>
              <w:t>’</w:t>
            </w:r>
            <w:r w:rsidRPr="00ED6B2C">
              <w:rPr>
                <w:lang w:val="en-US"/>
              </w:rPr>
              <w:t xml:space="preserve"> </w:t>
            </w:r>
            <w:r w:rsidR="00C83D3E">
              <w:rPr>
                <w:lang w:val="en-US"/>
              </w:rPr>
              <w:t>DRIVE</w:t>
            </w:r>
          </w:p>
        </w:tc>
        <w:tc>
          <w:tcPr>
            <w:tcW w:w="1206" w:type="dxa"/>
          </w:tcPr>
          <w:p w:rsidR="007C03C3" w:rsidRPr="00ED6B2C" w:rsidRDefault="007C03C3" w:rsidP="00C83D3E">
            <w:pPr>
              <w:pStyle w:val="StandaardSV"/>
              <w:jc w:val="right"/>
              <w:rPr>
                <w:lang w:val="en-US"/>
              </w:rPr>
            </w:pPr>
          </w:p>
        </w:tc>
        <w:tc>
          <w:tcPr>
            <w:tcW w:w="1316" w:type="dxa"/>
          </w:tcPr>
          <w:p w:rsidR="007C03C3" w:rsidRPr="00ED6B2C" w:rsidRDefault="007C03C3" w:rsidP="00C83D3E">
            <w:pPr>
              <w:pStyle w:val="StandaardSV"/>
              <w:jc w:val="right"/>
              <w:rPr>
                <w:lang w:val="en-US"/>
              </w:rPr>
            </w:pPr>
            <w:r w:rsidRPr="00ED6B2C">
              <w:rPr>
                <w:lang w:val="en-US"/>
              </w:rPr>
              <w:t>10.000.000</w:t>
            </w:r>
          </w:p>
        </w:tc>
      </w:tr>
      <w:tr w:rsidR="007C03C3" w:rsidRPr="00ED6B2C" w:rsidTr="00C83D3E">
        <w:tc>
          <w:tcPr>
            <w:tcW w:w="2483" w:type="dxa"/>
          </w:tcPr>
          <w:p w:rsidR="007C03C3" w:rsidRPr="00ED6B2C" w:rsidRDefault="007C03C3" w:rsidP="000F22D3">
            <w:pPr>
              <w:pStyle w:val="StandaardSV"/>
            </w:pPr>
            <w:r w:rsidRPr="00ED6B2C">
              <w:t>Flanders Synergy</w:t>
            </w:r>
          </w:p>
        </w:tc>
        <w:tc>
          <w:tcPr>
            <w:tcW w:w="1206" w:type="dxa"/>
          </w:tcPr>
          <w:p w:rsidR="007C03C3" w:rsidRPr="00ED6B2C" w:rsidRDefault="007C03C3" w:rsidP="00C83D3E">
            <w:pPr>
              <w:pStyle w:val="StandaardSV"/>
              <w:jc w:val="right"/>
            </w:pPr>
          </w:p>
        </w:tc>
        <w:tc>
          <w:tcPr>
            <w:tcW w:w="1316" w:type="dxa"/>
          </w:tcPr>
          <w:p w:rsidR="007C03C3" w:rsidRPr="00ED6B2C" w:rsidRDefault="007C03C3" w:rsidP="00C83D3E">
            <w:pPr>
              <w:pStyle w:val="StandaardSV"/>
              <w:jc w:val="right"/>
            </w:pPr>
            <w:r w:rsidRPr="00ED6B2C">
              <w:t>2.363.800</w:t>
            </w:r>
          </w:p>
        </w:tc>
      </w:tr>
      <w:tr w:rsidR="007C03C3" w:rsidRPr="00ED6B2C" w:rsidTr="00C83D3E">
        <w:tc>
          <w:tcPr>
            <w:tcW w:w="2483" w:type="dxa"/>
          </w:tcPr>
          <w:p w:rsidR="007C03C3" w:rsidRPr="00ED6B2C" w:rsidRDefault="007C03C3" w:rsidP="007C03C3">
            <w:pPr>
              <w:pStyle w:val="StandaardSV"/>
            </w:pPr>
            <w:r w:rsidRPr="00ED6B2C">
              <w:t>Sociale Innovatiefabriek</w:t>
            </w:r>
          </w:p>
        </w:tc>
        <w:tc>
          <w:tcPr>
            <w:tcW w:w="1206" w:type="dxa"/>
          </w:tcPr>
          <w:p w:rsidR="007C03C3" w:rsidRPr="00ED6B2C" w:rsidRDefault="007C03C3" w:rsidP="00C83D3E">
            <w:pPr>
              <w:pStyle w:val="StandaardSV"/>
              <w:jc w:val="right"/>
            </w:pPr>
          </w:p>
        </w:tc>
        <w:tc>
          <w:tcPr>
            <w:tcW w:w="1316" w:type="dxa"/>
          </w:tcPr>
          <w:p w:rsidR="007C03C3" w:rsidRPr="00ED6B2C" w:rsidRDefault="007C03C3" w:rsidP="00C83D3E">
            <w:pPr>
              <w:pStyle w:val="StandaardSV"/>
              <w:jc w:val="right"/>
            </w:pPr>
            <w:r w:rsidRPr="00ED6B2C">
              <w:t>160.000</w:t>
            </w:r>
          </w:p>
        </w:tc>
      </w:tr>
    </w:tbl>
    <w:p w:rsidR="004D0B20" w:rsidRPr="00C83D3E" w:rsidRDefault="00A507C7" w:rsidP="00F6635B">
      <w:pPr>
        <w:pStyle w:val="StandaardSV"/>
        <w:ind w:left="567" w:hanging="141"/>
        <w:rPr>
          <w:b/>
          <w:sz w:val="20"/>
        </w:rPr>
      </w:pPr>
      <w:r w:rsidRPr="00C83D3E">
        <w:rPr>
          <w:b/>
          <w:sz w:val="20"/>
        </w:rPr>
        <w:t>*</w:t>
      </w:r>
      <w:r w:rsidRPr="00C83D3E">
        <w:rPr>
          <w:b/>
          <w:sz w:val="20"/>
        </w:rPr>
        <w:tab/>
        <w:t>Het gereserveerd</w:t>
      </w:r>
      <w:r w:rsidR="00372626">
        <w:rPr>
          <w:b/>
          <w:sz w:val="20"/>
        </w:rPr>
        <w:t>e</w:t>
      </w:r>
      <w:r w:rsidRPr="00C83D3E">
        <w:rPr>
          <w:b/>
          <w:sz w:val="20"/>
        </w:rPr>
        <w:t xml:space="preserve"> projectbudget 2012 is in het kader van de overgangsfase naar het </w:t>
      </w:r>
      <w:r w:rsidR="00770F3E">
        <w:rPr>
          <w:b/>
          <w:sz w:val="20"/>
        </w:rPr>
        <w:t>L</w:t>
      </w:r>
      <w:r w:rsidRPr="00C83D3E">
        <w:rPr>
          <w:b/>
          <w:sz w:val="20"/>
        </w:rPr>
        <w:t xml:space="preserve">ichte </w:t>
      </w:r>
      <w:r w:rsidR="00770F3E">
        <w:rPr>
          <w:b/>
          <w:sz w:val="20"/>
        </w:rPr>
        <w:t>S</w:t>
      </w:r>
      <w:r w:rsidRPr="00C83D3E">
        <w:rPr>
          <w:b/>
          <w:sz w:val="20"/>
        </w:rPr>
        <w:t xml:space="preserve">tructuur-kader overdraagbaar naar </w:t>
      </w:r>
      <w:r w:rsidR="00604EEF" w:rsidRPr="00C83D3E">
        <w:rPr>
          <w:b/>
          <w:sz w:val="20"/>
        </w:rPr>
        <w:t>het volgende jaar</w:t>
      </w:r>
      <w:r w:rsidRPr="00C83D3E">
        <w:rPr>
          <w:b/>
          <w:sz w:val="20"/>
        </w:rPr>
        <w:t>.</w:t>
      </w:r>
    </w:p>
    <w:p w:rsidR="0011726B" w:rsidRDefault="0011726B" w:rsidP="00F6635B">
      <w:pPr>
        <w:jc w:val="both"/>
        <w:rPr>
          <w:sz w:val="22"/>
        </w:rPr>
      </w:pPr>
      <w:r>
        <w:br w:type="page"/>
      </w:r>
    </w:p>
    <w:p w:rsidR="00A507C7" w:rsidRPr="0085760E" w:rsidRDefault="00A507C7" w:rsidP="00F6635B">
      <w:pPr>
        <w:ind w:left="426" w:hanging="426"/>
        <w:jc w:val="both"/>
        <w:rPr>
          <w:sz w:val="22"/>
          <w:szCs w:val="22"/>
        </w:rPr>
      </w:pPr>
      <w:r w:rsidRPr="0085760E">
        <w:rPr>
          <w:sz w:val="22"/>
          <w:szCs w:val="22"/>
        </w:rPr>
        <w:lastRenderedPageBreak/>
        <w:t>2b.</w:t>
      </w:r>
      <w:r w:rsidRPr="0085760E">
        <w:rPr>
          <w:sz w:val="22"/>
          <w:szCs w:val="22"/>
        </w:rPr>
        <w:tab/>
        <w:t xml:space="preserve">Onderstaande tabel geeft een overzicht van </w:t>
      </w:r>
      <w:r w:rsidR="004D0B20" w:rsidRPr="0085760E">
        <w:rPr>
          <w:sz w:val="22"/>
          <w:szCs w:val="22"/>
        </w:rPr>
        <w:t xml:space="preserve">het gereserveerd projectbudget dat is toegekend aan projecten. Per </w:t>
      </w:r>
      <w:r w:rsidR="00770F3E">
        <w:rPr>
          <w:sz w:val="22"/>
          <w:szCs w:val="22"/>
        </w:rPr>
        <w:t>L</w:t>
      </w:r>
      <w:r w:rsidR="004D0B20" w:rsidRPr="0085760E">
        <w:rPr>
          <w:sz w:val="22"/>
          <w:szCs w:val="22"/>
        </w:rPr>
        <w:t xml:space="preserve">ichte </w:t>
      </w:r>
      <w:r w:rsidR="00770F3E">
        <w:rPr>
          <w:sz w:val="22"/>
          <w:szCs w:val="22"/>
        </w:rPr>
        <w:t>S</w:t>
      </w:r>
      <w:r w:rsidR="004D0B20" w:rsidRPr="0085760E">
        <w:rPr>
          <w:sz w:val="22"/>
          <w:szCs w:val="22"/>
        </w:rPr>
        <w:t xml:space="preserve">tructuur is aangegeven hoeveel </w:t>
      </w:r>
      <w:r w:rsidR="004D0818" w:rsidRPr="0085760E">
        <w:rPr>
          <w:sz w:val="22"/>
          <w:szCs w:val="22"/>
        </w:rPr>
        <w:t>er per projecttype is toegekend</w:t>
      </w:r>
      <w:r w:rsidR="001B03E7" w:rsidRPr="0085760E">
        <w:rPr>
          <w:sz w:val="22"/>
          <w:szCs w:val="22"/>
        </w:rPr>
        <w:t xml:space="preserve"> en het maximale subsidiepercentage voor </w:t>
      </w:r>
      <w:r w:rsidR="002E3EC1" w:rsidRPr="0085760E">
        <w:rPr>
          <w:sz w:val="22"/>
          <w:szCs w:val="22"/>
        </w:rPr>
        <w:t>deze</w:t>
      </w:r>
      <w:r w:rsidR="001B03E7" w:rsidRPr="0085760E">
        <w:rPr>
          <w:sz w:val="22"/>
          <w:szCs w:val="22"/>
        </w:rPr>
        <w:t xml:space="preserve"> project</w:t>
      </w:r>
      <w:r w:rsidR="002E3EC1" w:rsidRPr="0085760E">
        <w:rPr>
          <w:sz w:val="22"/>
          <w:szCs w:val="22"/>
        </w:rPr>
        <w:t>en</w:t>
      </w:r>
      <w:r w:rsidR="001B03E7" w:rsidRPr="0085760E">
        <w:rPr>
          <w:sz w:val="22"/>
          <w:szCs w:val="22"/>
        </w:rPr>
        <w:t>. De</w:t>
      </w:r>
      <w:r w:rsidR="0087633E" w:rsidRPr="0085760E">
        <w:rPr>
          <w:sz w:val="22"/>
          <w:szCs w:val="22"/>
        </w:rPr>
        <w:t xml:space="preserve"> tabel geeft de status weer op 1 april 2013.</w:t>
      </w:r>
    </w:p>
    <w:p w:rsidR="00A507C7" w:rsidRPr="0085760E" w:rsidRDefault="00A507C7" w:rsidP="00F6635B">
      <w:pPr>
        <w:pStyle w:val="StandaardSV"/>
        <w:ind w:left="426"/>
        <w:rPr>
          <w:szCs w:val="22"/>
        </w:rPr>
      </w:pPr>
    </w:p>
    <w:tbl>
      <w:tblPr>
        <w:tblW w:w="90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866"/>
        <w:gridCol w:w="1391"/>
        <w:gridCol w:w="1881"/>
        <w:gridCol w:w="1396"/>
      </w:tblGrid>
      <w:tr w:rsidR="004D0818" w:rsidRPr="00ED6B2C" w:rsidTr="0011726B">
        <w:tc>
          <w:tcPr>
            <w:tcW w:w="2483" w:type="dxa"/>
          </w:tcPr>
          <w:p w:rsidR="004D0818" w:rsidRPr="00ED6B2C" w:rsidRDefault="004D0818" w:rsidP="00A507C7">
            <w:pPr>
              <w:pStyle w:val="StandaardSV"/>
              <w:rPr>
                <w:b/>
              </w:rPr>
            </w:pPr>
            <w:r w:rsidRPr="00ED6B2C">
              <w:rPr>
                <w:b/>
              </w:rPr>
              <w:t>Lichte Structuur</w:t>
            </w:r>
          </w:p>
        </w:tc>
        <w:tc>
          <w:tcPr>
            <w:tcW w:w="3257" w:type="dxa"/>
            <w:gridSpan w:val="2"/>
          </w:tcPr>
          <w:p w:rsidR="004D0818" w:rsidRPr="00ED6B2C" w:rsidRDefault="004D0818" w:rsidP="00880DBB">
            <w:pPr>
              <w:pStyle w:val="StandaardSV"/>
              <w:jc w:val="center"/>
              <w:rPr>
                <w:b/>
              </w:rPr>
            </w:pPr>
            <w:r w:rsidRPr="00ED6B2C">
              <w:rPr>
                <w:b/>
              </w:rPr>
              <w:t>2012</w:t>
            </w:r>
          </w:p>
        </w:tc>
        <w:tc>
          <w:tcPr>
            <w:tcW w:w="3277" w:type="dxa"/>
            <w:gridSpan w:val="2"/>
          </w:tcPr>
          <w:p w:rsidR="004D0818" w:rsidRPr="00ED6B2C" w:rsidRDefault="004D0818" w:rsidP="00880DBB">
            <w:pPr>
              <w:pStyle w:val="StandaardSV"/>
              <w:jc w:val="center"/>
              <w:rPr>
                <w:b/>
              </w:rPr>
            </w:pPr>
            <w:r w:rsidRPr="00ED6B2C">
              <w:rPr>
                <w:b/>
              </w:rPr>
              <w:t>2013</w:t>
            </w:r>
          </w:p>
        </w:tc>
      </w:tr>
      <w:tr w:rsidR="004D0818" w:rsidRPr="00ED6B2C" w:rsidTr="0011726B">
        <w:tc>
          <w:tcPr>
            <w:tcW w:w="2483" w:type="dxa"/>
          </w:tcPr>
          <w:p w:rsidR="004D0818" w:rsidRPr="00ED6B2C" w:rsidRDefault="004D0818" w:rsidP="00A507C7">
            <w:pPr>
              <w:pStyle w:val="StandaardSV"/>
            </w:pPr>
          </w:p>
        </w:tc>
        <w:tc>
          <w:tcPr>
            <w:tcW w:w="1866" w:type="dxa"/>
          </w:tcPr>
          <w:p w:rsidR="0011726B" w:rsidRDefault="0011726B" w:rsidP="0011726B">
            <w:pPr>
              <w:pStyle w:val="StandaardSV"/>
              <w:jc w:val="left"/>
            </w:pPr>
            <w:r>
              <w:t>P</w:t>
            </w:r>
            <w:r w:rsidR="004D0818" w:rsidRPr="00ED6B2C">
              <w:t>rojecttype</w:t>
            </w:r>
          </w:p>
          <w:p w:rsidR="004D0818" w:rsidRPr="0085760E" w:rsidRDefault="00C83D3E" w:rsidP="0011726B">
            <w:pPr>
              <w:pStyle w:val="StandaardSV"/>
              <w:jc w:val="left"/>
              <w:rPr>
                <w:i/>
              </w:rPr>
            </w:pPr>
            <w:r w:rsidRPr="0085760E">
              <w:rPr>
                <w:i/>
              </w:rPr>
              <w:t>(max. subsidie-%)</w:t>
            </w:r>
          </w:p>
        </w:tc>
        <w:tc>
          <w:tcPr>
            <w:tcW w:w="1391" w:type="dxa"/>
          </w:tcPr>
          <w:p w:rsidR="0011726B" w:rsidRDefault="0011726B" w:rsidP="0011726B">
            <w:pPr>
              <w:pStyle w:val="StandaardSV"/>
              <w:jc w:val="right"/>
            </w:pPr>
            <w:r>
              <w:t>T</w:t>
            </w:r>
            <w:r w:rsidR="004D0818" w:rsidRPr="00ED6B2C">
              <w:t>oegekende</w:t>
            </w:r>
          </w:p>
          <w:p w:rsidR="004D0818" w:rsidRPr="00ED6B2C" w:rsidRDefault="004D0818" w:rsidP="0011726B">
            <w:pPr>
              <w:pStyle w:val="StandaardSV"/>
              <w:jc w:val="right"/>
            </w:pPr>
            <w:r w:rsidRPr="00ED6B2C">
              <w:t>subsidie</w:t>
            </w:r>
            <w:r w:rsidR="0011726B">
              <w:t xml:space="preserve"> (€)</w:t>
            </w:r>
          </w:p>
        </w:tc>
        <w:tc>
          <w:tcPr>
            <w:tcW w:w="1881" w:type="dxa"/>
          </w:tcPr>
          <w:p w:rsidR="0011726B" w:rsidRDefault="0011726B" w:rsidP="00C83D3E">
            <w:pPr>
              <w:pStyle w:val="StandaardSV"/>
              <w:jc w:val="left"/>
            </w:pPr>
            <w:r w:rsidRPr="00ED6B2C">
              <w:t>P</w:t>
            </w:r>
            <w:r w:rsidR="004D0818" w:rsidRPr="00ED6B2C">
              <w:t>rojecttype</w:t>
            </w:r>
          </w:p>
          <w:p w:rsidR="004D0818" w:rsidRPr="0085760E" w:rsidRDefault="004D0818" w:rsidP="00C83D3E">
            <w:pPr>
              <w:pStyle w:val="StandaardSV"/>
              <w:jc w:val="left"/>
              <w:rPr>
                <w:i/>
              </w:rPr>
            </w:pPr>
            <w:r w:rsidRPr="0085760E">
              <w:rPr>
                <w:i/>
              </w:rPr>
              <w:t>(max. subsidie</w:t>
            </w:r>
            <w:r w:rsidR="00C83D3E" w:rsidRPr="0085760E">
              <w:rPr>
                <w:i/>
              </w:rPr>
              <w:t>-</w:t>
            </w:r>
            <w:r w:rsidR="0011726B" w:rsidRPr="0085760E">
              <w:rPr>
                <w:i/>
              </w:rPr>
              <w:t>%</w:t>
            </w:r>
            <w:r w:rsidRPr="0085760E">
              <w:rPr>
                <w:i/>
              </w:rPr>
              <w:t>)</w:t>
            </w:r>
          </w:p>
        </w:tc>
        <w:tc>
          <w:tcPr>
            <w:tcW w:w="1396" w:type="dxa"/>
          </w:tcPr>
          <w:p w:rsidR="0011726B" w:rsidRDefault="0011726B" w:rsidP="0085760E">
            <w:pPr>
              <w:pStyle w:val="StandaardSV"/>
              <w:jc w:val="right"/>
            </w:pPr>
            <w:r>
              <w:t>T</w:t>
            </w:r>
            <w:r w:rsidR="004D0818" w:rsidRPr="00ED6B2C">
              <w:t>oegekende</w:t>
            </w:r>
          </w:p>
          <w:p w:rsidR="004D0818" w:rsidRPr="00ED6B2C" w:rsidRDefault="0011726B" w:rsidP="0085760E">
            <w:pPr>
              <w:pStyle w:val="StandaardSV"/>
              <w:jc w:val="right"/>
            </w:pPr>
            <w:r w:rsidRPr="00ED6B2C">
              <w:t>S</w:t>
            </w:r>
            <w:r w:rsidR="004D0818" w:rsidRPr="00ED6B2C">
              <w:t>ubsidie</w:t>
            </w:r>
            <w:r>
              <w:t xml:space="preserve"> (€)</w:t>
            </w:r>
          </w:p>
        </w:tc>
      </w:tr>
      <w:tr w:rsidR="004D0818" w:rsidRPr="00ED6B2C" w:rsidTr="0011726B">
        <w:tc>
          <w:tcPr>
            <w:tcW w:w="2483" w:type="dxa"/>
          </w:tcPr>
          <w:p w:rsidR="004D0818" w:rsidRPr="00ED6B2C" w:rsidRDefault="004D0818" w:rsidP="00A507C7">
            <w:pPr>
              <w:pStyle w:val="StandaardSV"/>
            </w:pPr>
            <w:r w:rsidRPr="00ED6B2C">
              <w:t>FISCH</w:t>
            </w:r>
          </w:p>
        </w:tc>
        <w:tc>
          <w:tcPr>
            <w:tcW w:w="1866" w:type="dxa"/>
          </w:tcPr>
          <w:p w:rsidR="004D0818" w:rsidRPr="00ED6B2C" w:rsidRDefault="002E3EC1" w:rsidP="0011726B">
            <w:pPr>
              <w:pStyle w:val="StandaardSV"/>
              <w:jc w:val="left"/>
            </w:pPr>
            <w:r w:rsidRPr="00ED6B2C">
              <w:t>VIS</w:t>
            </w:r>
            <w:r w:rsidRPr="00ED6B2C">
              <w:rPr>
                <w:vertAlign w:val="superscript"/>
              </w:rPr>
              <w:t xml:space="preserve">1 </w:t>
            </w:r>
            <w:r w:rsidRPr="0085760E">
              <w:rPr>
                <w:i/>
              </w:rPr>
              <w:t>(80%)</w:t>
            </w:r>
          </w:p>
          <w:p w:rsidR="002E3EC1" w:rsidRPr="00ED6B2C" w:rsidRDefault="002E3EC1" w:rsidP="0011726B">
            <w:pPr>
              <w:pStyle w:val="StandaardSV"/>
              <w:jc w:val="left"/>
            </w:pPr>
            <w:r w:rsidRPr="00ED6B2C">
              <w:t>ICON</w:t>
            </w:r>
            <w:r w:rsidRPr="00ED6B2C">
              <w:rPr>
                <w:vertAlign w:val="superscript"/>
              </w:rPr>
              <w:t>2</w:t>
            </w:r>
            <w:r w:rsidRPr="00ED6B2C">
              <w:t xml:space="preserve"> </w:t>
            </w:r>
            <w:r w:rsidRPr="0085760E">
              <w:rPr>
                <w:i/>
              </w:rPr>
              <w:t>(65%)</w:t>
            </w:r>
          </w:p>
        </w:tc>
        <w:tc>
          <w:tcPr>
            <w:tcW w:w="1391" w:type="dxa"/>
          </w:tcPr>
          <w:p w:rsidR="004D0818" w:rsidRPr="00ED6B2C" w:rsidRDefault="002E3EC1" w:rsidP="0011726B">
            <w:pPr>
              <w:pStyle w:val="StandaardSV"/>
              <w:jc w:val="right"/>
            </w:pPr>
            <w:r w:rsidRPr="00ED6B2C">
              <w:t>416.444</w:t>
            </w:r>
          </w:p>
          <w:p w:rsidR="002E3EC1" w:rsidRPr="00ED6B2C" w:rsidRDefault="002E3EC1" w:rsidP="0011726B">
            <w:pPr>
              <w:pStyle w:val="StandaardSV"/>
              <w:jc w:val="right"/>
            </w:pPr>
            <w:r w:rsidRPr="00ED6B2C">
              <w:t>673.322</w:t>
            </w:r>
          </w:p>
        </w:tc>
        <w:tc>
          <w:tcPr>
            <w:tcW w:w="1881" w:type="dxa"/>
          </w:tcPr>
          <w:p w:rsidR="004D0818" w:rsidRPr="00ED6B2C" w:rsidRDefault="004D0818" w:rsidP="00C83D3E">
            <w:pPr>
              <w:pStyle w:val="StandaardSV"/>
              <w:jc w:val="left"/>
            </w:pPr>
          </w:p>
        </w:tc>
        <w:tc>
          <w:tcPr>
            <w:tcW w:w="1396" w:type="dxa"/>
          </w:tcPr>
          <w:p w:rsidR="004D0818" w:rsidRPr="00ED6B2C" w:rsidRDefault="004D0818" w:rsidP="0085760E">
            <w:pPr>
              <w:pStyle w:val="StandaardSV"/>
              <w:jc w:val="right"/>
            </w:pPr>
          </w:p>
        </w:tc>
      </w:tr>
      <w:tr w:rsidR="004D0818" w:rsidRPr="00ED6B2C" w:rsidTr="0011726B">
        <w:tc>
          <w:tcPr>
            <w:tcW w:w="2483" w:type="dxa"/>
          </w:tcPr>
          <w:p w:rsidR="004D0818" w:rsidRPr="00ED6B2C" w:rsidRDefault="004D0818" w:rsidP="00685246">
            <w:pPr>
              <w:pStyle w:val="StandaardSV"/>
            </w:pPr>
            <w:r w:rsidRPr="00ED6B2C">
              <w:t>Flanders InShape</w:t>
            </w:r>
          </w:p>
        </w:tc>
        <w:tc>
          <w:tcPr>
            <w:tcW w:w="1866" w:type="dxa"/>
          </w:tcPr>
          <w:p w:rsidR="004D0818" w:rsidRPr="00ED6B2C" w:rsidRDefault="001B03E7" w:rsidP="0011726B">
            <w:pPr>
              <w:pStyle w:val="StandaardSV"/>
              <w:jc w:val="left"/>
            </w:pPr>
            <w:r w:rsidRPr="00ED6B2C">
              <w:t>VIS</w:t>
            </w:r>
            <w:r w:rsidRPr="00ED6B2C">
              <w:rPr>
                <w:vertAlign w:val="superscript"/>
              </w:rPr>
              <w:t>1</w:t>
            </w:r>
            <w:r w:rsidRPr="00ED6B2C">
              <w:t xml:space="preserve"> </w:t>
            </w:r>
            <w:r w:rsidRPr="0085760E">
              <w:rPr>
                <w:i/>
              </w:rPr>
              <w:t>(80%)</w:t>
            </w:r>
          </w:p>
        </w:tc>
        <w:tc>
          <w:tcPr>
            <w:tcW w:w="1391" w:type="dxa"/>
          </w:tcPr>
          <w:p w:rsidR="004D0818" w:rsidRPr="00ED6B2C" w:rsidRDefault="001B03E7" w:rsidP="0011726B">
            <w:pPr>
              <w:pStyle w:val="StandaardSV"/>
              <w:jc w:val="right"/>
            </w:pPr>
            <w:r w:rsidRPr="00ED6B2C">
              <w:t>300.000</w:t>
            </w:r>
          </w:p>
        </w:tc>
        <w:tc>
          <w:tcPr>
            <w:tcW w:w="1881" w:type="dxa"/>
          </w:tcPr>
          <w:p w:rsidR="004D0818" w:rsidRPr="00ED6B2C" w:rsidRDefault="004D0818" w:rsidP="00C83D3E">
            <w:pPr>
              <w:pStyle w:val="StandaardSV"/>
              <w:jc w:val="left"/>
            </w:pPr>
          </w:p>
        </w:tc>
        <w:tc>
          <w:tcPr>
            <w:tcW w:w="1396" w:type="dxa"/>
          </w:tcPr>
          <w:p w:rsidR="004D0818" w:rsidRPr="00ED6B2C" w:rsidRDefault="004D0818" w:rsidP="0085760E">
            <w:pPr>
              <w:pStyle w:val="StandaardSV"/>
              <w:jc w:val="right"/>
            </w:pPr>
          </w:p>
        </w:tc>
      </w:tr>
      <w:tr w:rsidR="004D0818" w:rsidRPr="00ED6B2C" w:rsidTr="0011726B">
        <w:tc>
          <w:tcPr>
            <w:tcW w:w="2483" w:type="dxa"/>
          </w:tcPr>
          <w:p w:rsidR="004D0818" w:rsidRPr="00ED6B2C" w:rsidRDefault="004D0818" w:rsidP="00A507C7">
            <w:pPr>
              <w:pStyle w:val="StandaardSV"/>
            </w:pPr>
            <w:r w:rsidRPr="00ED6B2C">
              <w:t>VIL</w:t>
            </w:r>
          </w:p>
        </w:tc>
        <w:tc>
          <w:tcPr>
            <w:tcW w:w="1866" w:type="dxa"/>
          </w:tcPr>
          <w:p w:rsidR="004D0818" w:rsidRPr="00ED6B2C" w:rsidRDefault="004D0818" w:rsidP="0011726B">
            <w:pPr>
              <w:pStyle w:val="StandaardSV"/>
              <w:jc w:val="left"/>
            </w:pPr>
            <w:r w:rsidRPr="00ED6B2C">
              <w:t>VIS</w:t>
            </w:r>
            <w:r w:rsidR="001B03E7" w:rsidRPr="00ED6B2C">
              <w:rPr>
                <w:vertAlign w:val="superscript"/>
              </w:rPr>
              <w:t>1</w:t>
            </w:r>
            <w:r w:rsidRPr="00ED6B2C">
              <w:t xml:space="preserve"> </w:t>
            </w:r>
            <w:r w:rsidRPr="0085760E">
              <w:rPr>
                <w:i/>
              </w:rPr>
              <w:t>(80%)</w:t>
            </w:r>
          </w:p>
        </w:tc>
        <w:tc>
          <w:tcPr>
            <w:tcW w:w="1391" w:type="dxa"/>
          </w:tcPr>
          <w:p w:rsidR="004D0818" w:rsidRPr="00ED6B2C" w:rsidRDefault="004D0818" w:rsidP="0011726B">
            <w:pPr>
              <w:pStyle w:val="StandaardSV"/>
              <w:jc w:val="right"/>
            </w:pPr>
            <w:r w:rsidRPr="00ED6B2C">
              <w:t>1.504.017</w:t>
            </w:r>
          </w:p>
        </w:tc>
        <w:tc>
          <w:tcPr>
            <w:tcW w:w="1881" w:type="dxa"/>
          </w:tcPr>
          <w:p w:rsidR="004D0818" w:rsidRPr="00ED6B2C" w:rsidRDefault="004D0818" w:rsidP="00C83D3E">
            <w:pPr>
              <w:pStyle w:val="StandaardSV"/>
              <w:jc w:val="left"/>
            </w:pPr>
          </w:p>
        </w:tc>
        <w:tc>
          <w:tcPr>
            <w:tcW w:w="1396" w:type="dxa"/>
          </w:tcPr>
          <w:p w:rsidR="004D0818" w:rsidRPr="00ED6B2C" w:rsidRDefault="004D0818" w:rsidP="0085760E">
            <w:pPr>
              <w:pStyle w:val="StandaardSV"/>
              <w:jc w:val="right"/>
            </w:pPr>
          </w:p>
        </w:tc>
      </w:tr>
      <w:tr w:rsidR="004D0818" w:rsidRPr="00ED6B2C" w:rsidTr="0011726B">
        <w:tc>
          <w:tcPr>
            <w:tcW w:w="2483" w:type="dxa"/>
          </w:tcPr>
          <w:p w:rsidR="004D0818" w:rsidRPr="00ED6B2C" w:rsidRDefault="004D0818" w:rsidP="00A507C7">
            <w:pPr>
              <w:pStyle w:val="StandaardSV"/>
            </w:pPr>
            <w:r w:rsidRPr="00ED6B2C">
              <w:t>VIM</w:t>
            </w:r>
          </w:p>
        </w:tc>
        <w:tc>
          <w:tcPr>
            <w:tcW w:w="1866" w:type="dxa"/>
          </w:tcPr>
          <w:p w:rsidR="004D0818" w:rsidRPr="00ED6B2C" w:rsidRDefault="004D0818" w:rsidP="0011726B">
            <w:pPr>
              <w:pStyle w:val="StandaardSV"/>
              <w:jc w:val="left"/>
            </w:pPr>
            <w:r w:rsidRPr="00ED6B2C">
              <w:t>VIS</w:t>
            </w:r>
            <w:r w:rsidR="001B03E7" w:rsidRPr="00ED6B2C">
              <w:rPr>
                <w:vertAlign w:val="superscript"/>
              </w:rPr>
              <w:t>1</w:t>
            </w:r>
            <w:r w:rsidRPr="00ED6B2C">
              <w:t xml:space="preserve"> </w:t>
            </w:r>
            <w:r w:rsidRPr="0085760E">
              <w:rPr>
                <w:i/>
              </w:rPr>
              <w:t>(80%)</w:t>
            </w:r>
          </w:p>
        </w:tc>
        <w:tc>
          <w:tcPr>
            <w:tcW w:w="1391" w:type="dxa"/>
          </w:tcPr>
          <w:p w:rsidR="004D0818" w:rsidRPr="00ED6B2C" w:rsidRDefault="004D0818" w:rsidP="0011726B">
            <w:pPr>
              <w:pStyle w:val="StandaardSV"/>
              <w:jc w:val="right"/>
            </w:pPr>
            <w:r w:rsidRPr="00ED6B2C">
              <w:t>1.281.967</w:t>
            </w:r>
          </w:p>
        </w:tc>
        <w:tc>
          <w:tcPr>
            <w:tcW w:w="1881" w:type="dxa"/>
          </w:tcPr>
          <w:p w:rsidR="004D0818" w:rsidRPr="00ED6B2C" w:rsidRDefault="004D0818" w:rsidP="00C83D3E">
            <w:pPr>
              <w:pStyle w:val="StandaardSV"/>
              <w:jc w:val="left"/>
            </w:pPr>
          </w:p>
        </w:tc>
        <w:tc>
          <w:tcPr>
            <w:tcW w:w="1396" w:type="dxa"/>
          </w:tcPr>
          <w:p w:rsidR="004D0818" w:rsidRPr="00ED6B2C" w:rsidRDefault="004D0818" w:rsidP="0085760E">
            <w:pPr>
              <w:pStyle w:val="StandaardSV"/>
              <w:jc w:val="right"/>
            </w:pPr>
          </w:p>
        </w:tc>
      </w:tr>
      <w:tr w:rsidR="004D0818" w:rsidRPr="00ED6B2C" w:rsidTr="0011726B">
        <w:tc>
          <w:tcPr>
            <w:tcW w:w="2483" w:type="dxa"/>
          </w:tcPr>
          <w:p w:rsidR="004D0818" w:rsidRPr="00ED6B2C" w:rsidRDefault="004D0818" w:rsidP="00A507C7">
            <w:pPr>
              <w:pStyle w:val="StandaardSV"/>
              <w:rPr>
                <w:lang w:val="nl-BE"/>
              </w:rPr>
            </w:pPr>
            <w:r w:rsidRPr="00ED6B2C">
              <w:rPr>
                <w:lang w:val="nl-BE"/>
              </w:rPr>
              <w:t>SIM</w:t>
            </w:r>
          </w:p>
        </w:tc>
        <w:tc>
          <w:tcPr>
            <w:tcW w:w="1866" w:type="dxa"/>
          </w:tcPr>
          <w:p w:rsidR="004D0818" w:rsidRPr="00ED6B2C" w:rsidRDefault="00AC2862" w:rsidP="0011726B">
            <w:pPr>
              <w:pStyle w:val="StandaardSV"/>
              <w:jc w:val="left"/>
              <w:rPr>
                <w:lang w:val="nl-BE"/>
              </w:rPr>
            </w:pPr>
            <w:r w:rsidRPr="00ED6B2C">
              <w:rPr>
                <w:lang w:val="nl-BE"/>
              </w:rPr>
              <w:t>ICON</w:t>
            </w:r>
            <w:r w:rsidRPr="00ED6B2C">
              <w:rPr>
                <w:vertAlign w:val="superscript"/>
                <w:lang w:val="nl-BE"/>
              </w:rPr>
              <w:t xml:space="preserve">2 </w:t>
            </w:r>
            <w:r w:rsidRPr="0085760E">
              <w:rPr>
                <w:i/>
                <w:lang w:val="nl-BE"/>
              </w:rPr>
              <w:t>(100%</w:t>
            </w:r>
            <w:r w:rsidR="00AB109F" w:rsidRPr="0085760E">
              <w:rPr>
                <w:i/>
                <w:vertAlign w:val="superscript"/>
                <w:lang w:val="nl-BE"/>
              </w:rPr>
              <w:t>3</w:t>
            </w:r>
            <w:r w:rsidRPr="0085760E">
              <w:rPr>
                <w:i/>
                <w:lang w:val="nl-BE"/>
              </w:rPr>
              <w:t>)</w:t>
            </w:r>
          </w:p>
          <w:p w:rsidR="00AC2862" w:rsidRPr="00ED6B2C" w:rsidRDefault="00AC2862" w:rsidP="0011726B">
            <w:pPr>
              <w:pStyle w:val="StandaardSV"/>
              <w:jc w:val="left"/>
              <w:rPr>
                <w:lang w:val="nl-BE"/>
              </w:rPr>
            </w:pPr>
            <w:r w:rsidRPr="00ED6B2C">
              <w:rPr>
                <w:lang w:val="nl-BE"/>
              </w:rPr>
              <w:t>SBO</w:t>
            </w:r>
            <w:r w:rsidR="00AB109F" w:rsidRPr="00ED6B2C">
              <w:rPr>
                <w:vertAlign w:val="superscript"/>
                <w:lang w:val="nl-BE"/>
              </w:rPr>
              <w:t>4</w:t>
            </w:r>
            <w:r w:rsidR="002E3EC1" w:rsidRPr="00ED6B2C">
              <w:rPr>
                <w:lang w:val="nl-BE"/>
              </w:rPr>
              <w:t xml:space="preserve"> </w:t>
            </w:r>
            <w:r w:rsidR="002E3EC1" w:rsidRPr="0085760E">
              <w:rPr>
                <w:i/>
                <w:lang w:val="nl-BE"/>
              </w:rPr>
              <w:t>(100%)</w:t>
            </w:r>
          </w:p>
        </w:tc>
        <w:tc>
          <w:tcPr>
            <w:tcW w:w="1391" w:type="dxa"/>
          </w:tcPr>
          <w:p w:rsidR="002E3EC1" w:rsidRPr="00ED6B2C" w:rsidRDefault="002E3EC1" w:rsidP="0011726B">
            <w:pPr>
              <w:pStyle w:val="StandaardSV"/>
              <w:jc w:val="right"/>
              <w:rPr>
                <w:lang w:val="nl-BE"/>
              </w:rPr>
            </w:pPr>
            <w:r w:rsidRPr="00ED6B2C">
              <w:rPr>
                <w:lang w:val="nl-BE"/>
              </w:rPr>
              <w:t>1.293.252</w:t>
            </w:r>
          </w:p>
          <w:p w:rsidR="004D0818" w:rsidRPr="00ED6B2C" w:rsidRDefault="002E3EC1" w:rsidP="0011726B">
            <w:pPr>
              <w:pStyle w:val="StandaardSV"/>
              <w:jc w:val="right"/>
              <w:rPr>
                <w:lang w:val="nl-BE"/>
              </w:rPr>
            </w:pPr>
            <w:r w:rsidRPr="00ED6B2C">
              <w:rPr>
                <w:lang w:val="nl-BE"/>
              </w:rPr>
              <w:t>4.962.428</w:t>
            </w:r>
          </w:p>
        </w:tc>
        <w:tc>
          <w:tcPr>
            <w:tcW w:w="1881" w:type="dxa"/>
          </w:tcPr>
          <w:p w:rsidR="004D0818" w:rsidRPr="00ED6B2C" w:rsidRDefault="004D0818" w:rsidP="00C83D3E">
            <w:pPr>
              <w:pStyle w:val="StandaardSV"/>
              <w:jc w:val="left"/>
              <w:rPr>
                <w:lang w:val="nl-BE"/>
              </w:rPr>
            </w:pPr>
          </w:p>
        </w:tc>
        <w:tc>
          <w:tcPr>
            <w:tcW w:w="1396" w:type="dxa"/>
          </w:tcPr>
          <w:p w:rsidR="004D0818" w:rsidRPr="00ED6B2C" w:rsidRDefault="004D0818" w:rsidP="0085760E">
            <w:pPr>
              <w:pStyle w:val="StandaardSV"/>
              <w:jc w:val="right"/>
              <w:rPr>
                <w:lang w:val="nl-BE"/>
              </w:rPr>
            </w:pPr>
          </w:p>
        </w:tc>
      </w:tr>
      <w:tr w:rsidR="004D0818" w:rsidRPr="00ED6B2C" w:rsidTr="0011726B">
        <w:tc>
          <w:tcPr>
            <w:tcW w:w="2483" w:type="dxa"/>
          </w:tcPr>
          <w:p w:rsidR="004D0818" w:rsidRPr="00ED6B2C" w:rsidRDefault="004D0818" w:rsidP="00CB6928">
            <w:pPr>
              <w:pStyle w:val="StandaardSV"/>
              <w:rPr>
                <w:lang w:val="nl-BE"/>
              </w:rPr>
            </w:pPr>
            <w:r w:rsidRPr="00ED6B2C">
              <w:rPr>
                <w:lang w:val="nl-BE"/>
              </w:rPr>
              <w:t>M</w:t>
            </w:r>
            <w:r w:rsidR="00CB6928">
              <w:rPr>
                <w:lang w:val="nl-BE"/>
              </w:rPr>
              <w:t>i</w:t>
            </w:r>
            <w:r w:rsidRPr="00ED6B2C">
              <w:rPr>
                <w:lang w:val="nl-BE"/>
              </w:rPr>
              <w:t>X</w:t>
            </w:r>
          </w:p>
        </w:tc>
        <w:tc>
          <w:tcPr>
            <w:tcW w:w="1866" w:type="dxa"/>
          </w:tcPr>
          <w:p w:rsidR="004D0818" w:rsidRPr="00ED6B2C" w:rsidRDefault="001B03E7" w:rsidP="0011726B">
            <w:pPr>
              <w:pStyle w:val="StandaardSV"/>
              <w:jc w:val="left"/>
              <w:rPr>
                <w:lang w:val="nl-BE"/>
              </w:rPr>
            </w:pPr>
            <w:r w:rsidRPr="00ED6B2C">
              <w:rPr>
                <w:lang w:val="nl-BE"/>
              </w:rPr>
              <w:t>ICON</w:t>
            </w:r>
            <w:r w:rsidR="002E2BAD" w:rsidRPr="00ED6B2C">
              <w:rPr>
                <w:vertAlign w:val="superscript"/>
                <w:lang w:val="nl-BE"/>
              </w:rPr>
              <w:t>2</w:t>
            </w:r>
            <w:r w:rsidRPr="00ED6B2C">
              <w:rPr>
                <w:lang w:val="nl-BE"/>
              </w:rPr>
              <w:t xml:space="preserve"> </w:t>
            </w:r>
            <w:r w:rsidRPr="0085760E">
              <w:rPr>
                <w:i/>
                <w:lang w:val="nl-BE"/>
              </w:rPr>
              <w:t>(</w:t>
            </w:r>
            <w:r w:rsidR="002E2BAD" w:rsidRPr="0085760E">
              <w:rPr>
                <w:i/>
                <w:lang w:val="nl-BE"/>
              </w:rPr>
              <w:t>59-79%)</w:t>
            </w:r>
          </w:p>
        </w:tc>
        <w:tc>
          <w:tcPr>
            <w:tcW w:w="1391" w:type="dxa"/>
          </w:tcPr>
          <w:p w:rsidR="004D0818" w:rsidRPr="00ED6B2C" w:rsidRDefault="001B03E7" w:rsidP="0011726B">
            <w:pPr>
              <w:pStyle w:val="StandaardSV"/>
              <w:jc w:val="right"/>
              <w:rPr>
                <w:lang w:val="nl-BE"/>
              </w:rPr>
            </w:pPr>
            <w:r w:rsidRPr="00ED6B2C">
              <w:rPr>
                <w:lang w:val="nl-BE"/>
              </w:rPr>
              <w:t>4.419.261</w:t>
            </w:r>
          </w:p>
        </w:tc>
        <w:tc>
          <w:tcPr>
            <w:tcW w:w="1881" w:type="dxa"/>
          </w:tcPr>
          <w:p w:rsidR="004D0818" w:rsidRPr="00ED6B2C" w:rsidRDefault="00863FE2" w:rsidP="00C83D3E">
            <w:pPr>
              <w:pStyle w:val="StandaardSV"/>
              <w:jc w:val="left"/>
              <w:rPr>
                <w:lang w:val="nl-BE"/>
              </w:rPr>
            </w:pPr>
            <w:r w:rsidRPr="00ED6B2C">
              <w:rPr>
                <w:lang w:val="nl-BE"/>
              </w:rPr>
              <w:t>ICON</w:t>
            </w:r>
            <w:r w:rsidRPr="00ED6B2C">
              <w:rPr>
                <w:vertAlign w:val="superscript"/>
                <w:lang w:val="nl-BE"/>
              </w:rPr>
              <w:t>2</w:t>
            </w:r>
            <w:r w:rsidRPr="00ED6B2C">
              <w:rPr>
                <w:lang w:val="nl-BE"/>
              </w:rPr>
              <w:t xml:space="preserve"> </w:t>
            </w:r>
            <w:r w:rsidRPr="0085760E">
              <w:rPr>
                <w:i/>
                <w:lang w:val="nl-BE"/>
              </w:rPr>
              <w:t>(76%)</w:t>
            </w:r>
          </w:p>
        </w:tc>
        <w:tc>
          <w:tcPr>
            <w:tcW w:w="1396" w:type="dxa"/>
          </w:tcPr>
          <w:p w:rsidR="004D0818" w:rsidRPr="00ED6B2C" w:rsidRDefault="00863FE2" w:rsidP="0085760E">
            <w:pPr>
              <w:pStyle w:val="StandaardSV"/>
              <w:jc w:val="right"/>
              <w:rPr>
                <w:lang w:val="nl-BE"/>
              </w:rPr>
            </w:pPr>
            <w:r w:rsidRPr="00ED6B2C">
              <w:rPr>
                <w:lang w:val="nl-BE"/>
              </w:rPr>
              <w:t>463.658</w:t>
            </w:r>
          </w:p>
        </w:tc>
      </w:tr>
      <w:tr w:rsidR="004D0818" w:rsidRPr="00ED6B2C" w:rsidTr="0011726B">
        <w:tc>
          <w:tcPr>
            <w:tcW w:w="2483" w:type="dxa"/>
          </w:tcPr>
          <w:p w:rsidR="004D0818" w:rsidRPr="00ED6B2C" w:rsidRDefault="004D0818" w:rsidP="0011726B">
            <w:pPr>
              <w:pStyle w:val="StandaardSV"/>
              <w:rPr>
                <w:lang w:val="en-US"/>
              </w:rPr>
            </w:pPr>
            <w:r w:rsidRPr="00ED6B2C">
              <w:rPr>
                <w:lang w:val="nl-BE"/>
              </w:rPr>
              <w:t>Flanders</w:t>
            </w:r>
            <w:r w:rsidR="0011726B">
              <w:rPr>
                <w:lang w:val="en-US"/>
              </w:rPr>
              <w:t>’</w:t>
            </w:r>
            <w:r w:rsidRPr="00ED6B2C">
              <w:rPr>
                <w:lang w:val="en-US"/>
              </w:rPr>
              <w:t xml:space="preserve"> FOOD</w:t>
            </w:r>
          </w:p>
        </w:tc>
        <w:tc>
          <w:tcPr>
            <w:tcW w:w="1866" w:type="dxa"/>
          </w:tcPr>
          <w:p w:rsidR="004D0818" w:rsidRPr="00ED6B2C" w:rsidRDefault="001B03E7" w:rsidP="0011726B">
            <w:pPr>
              <w:pStyle w:val="StandaardSV"/>
              <w:jc w:val="left"/>
              <w:rPr>
                <w:lang w:val="en-US"/>
              </w:rPr>
            </w:pPr>
            <w:r w:rsidRPr="00ED6B2C">
              <w:rPr>
                <w:lang w:val="en-US"/>
              </w:rPr>
              <w:t>VIS</w:t>
            </w:r>
            <w:r w:rsidRPr="00ED6B2C">
              <w:rPr>
                <w:vertAlign w:val="superscript"/>
                <w:lang w:val="en-US"/>
              </w:rPr>
              <w:t>1</w:t>
            </w:r>
            <w:r w:rsidRPr="00ED6B2C">
              <w:rPr>
                <w:lang w:val="en-US"/>
              </w:rPr>
              <w:t xml:space="preserve"> </w:t>
            </w:r>
            <w:r w:rsidRPr="0085760E">
              <w:rPr>
                <w:i/>
                <w:lang w:val="en-US"/>
              </w:rPr>
              <w:t>(80%)</w:t>
            </w:r>
          </w:p>
        </w:tc>
        <w:tc>
          <w:tcPr>
            <w:tcW w:w="1391" w:type="dxa"/>
          </w:tcPr>
          <w:p w:rsidR="004D0818" w:rsidRPr="00ED6B2C" w:rsidRDefault="00387E04" w:rsidP="0011726B">
            <w:pPr>
              <w:pStyle w:val="StandaardSV"/>
              <w:jc w:val="right"/>
              <w:rPr>
                <w:lang w:val="en-US"/>
              </w:rPr>
            </w:pPr>
            <w:r>
              <w:rPr>
                <w:lang w:val="en-US"/>
              </w:rPr>
              <w:t>1.334</w:t>
            </w:r>
            <w:r w:rsidR="001B03E7" w:rsidRPr="00ED6B2C">
              <w:rPr>
                <w:lang w:val="en-US"/>
              </w:rPr>
              <w:t>.952</w:t>
            </w:r>
          </w:p>
        </w:tc>
        <w:tc>
          <w:tcPr>
            <w:tcW w:w="1881" w:type="dxa"/>
          </w:tcPr>
          <w:p w:rsidR="004D0818" w:rsidRPr="00ED6B2C" w:rsidRDefault="004D0818" w:rsidP="00C83D3E">
            <w:pPr>
              <w:pStyle w:val="StandaardSV"/>
              <w:jc w:val="left"/>
              <w:rPr>
                <w:lang w:val="en-US"/>
              </w:rPr>
            </w:pPr>
          </w:p>
        </w:tc>
        <w:tc>
          <w:tcPr>
            <w:tcW w:w="1396" w:type="dxa"/>
          </w:tcPr>
          <w:p w:rsidR="004D0818" w:rsidRPr="00ED6B2C" w:rsidRDefault="004D0818" w:rsidP="0085760E">
            <w:pPr>
              <w:pStyle w:val="StandaardSV"/>
              <w:jc w:val="right"/>
              <w:rPr>
                <w:lang w:val="en-US"/>
              </w:rPr>
            </w:pPr>
          </w:p>
        </w:tc>
      </w:tr>
      <w:tr w:rsidR="004D0818" w:rsidRPr="00ED6B2C" w:rsidTr="0011726B">
        <w:tc>
          <w:tcPr>
            <w:tcW w:w="2483" w:type="dxa"/>
          </w:tcPr>
          <w:p w:rsidR="004D0818" w:rsidRPr="00ED6B2C" w:rsidRDefault="004D0818" w:rsidP="0085760E">
            <w:pPr>
              <w:pStyle w:val="StandaardSV"/>
              <w:rPr>
                <w:lang w:val="en-US"/>
              </w:rPr>
            </w:pPr>
            <w:r w:rsidRPr="00ED6B2C">
              <w:rPr>
                <w:lang w:val="en-US"/>
              </w:rPr>
              <w:t>Flanders</w:t>
            </w:r>
            <w:r w:rsidR="0011726B">
              <w:rPr>
                <w:lang w:val="en-US"/>
              </w:rPr>
              <w:t>’</w:t>
            </w:r>
            <w:r w:rsidRPr="00ED6B2C">
              <w:rPr>
                <w:lang w:val="en-US"/>
              </w:rPr>
              <w:t xml:space="preserve"> D</w:t>
            </w:r>
            <w:r w:rsidR="0085760E">
              <w:rPr>
                <w:lang w:val="en-US"/>
              </w:rPr>
              <w:t>RIVE</w:t>
            </w:r>
          </w:p>
        </w:tc>
        <w:tc>
          <w:tcPr>
            <w:tcW w:w="1866" w:type="dxa"/>
          </w:tcPr>
          <w:p w:rsidR="004D0818" w:rsidRPr="00ED6B2C" w:rsidRDefault="0011726B" w:rsidP="0011726B">
            <w:pPr>
              <w:pStyle w:val="StandaardSV"/>
              <w:jc w:val="left"/>
              <w:rPr>
                <w:lang w:val="en-US"/>
              </w:rPr>
            </w:pPr>
            <w:r>
              <w:rPr>
                <w:lang w:val="en-US"/>
              </w:rPr>
              <w:t>NVT</w:t>
            </w:r>
          </w:p>
        </w:tc>
        <w:tc>
          <w:tcPr>
            <w:tcW w:w="1391" w:type="dxa"/>
          </w:tcPr>
          <w:p w:rsidR="004D0818" w:rsidRPr="00ED6B2C" w:rsidRDefault="0011726B" w:rsidP="0011726B">
            <w:pPr>
              <w:pStyle w:val="StandaardSV"/>
              <w:jc w:val="right"/>
              <w:rPr>
                <w:lang w:val="en-US"/>
              </w:rPr>
            </w:pPr>
            <w:r>
              <w:rPr>
                <w:lang w:val="en-US"/>
              </w:rPr>
              <w:t>NVT</w:t>
            </w:r>
          </w:p>
        </w:tc>
        <w:tc>
          <w:tcPr>
            <w:tcW w:w="1881" w:type="dxa"/>
          </w:tcPr>
          <w:p w:rsidR="004D0818" w:rsidRPr="00ED6B2C" w:rsidRDefault="00AB109F" w:rsidP="00C83D3E">
            <w:pPr>
              <w:pStyle w:val="StandaardSV"/>
              <w:jc w:val="left"/>
              <w:rPr>
                <w:lang w:val="en-US"/>
              </w:rPr>
            </w:pPr>
            <w:r w:rsidRPr="00ED6B2C">
              <w:rPr>
                <w:lang w:val="en-US"/>
              </w:rPr>
              <w:t>VIS</w:t>
            </w:r>
            <w:r w:rsidR="00892082">
              <w:rPr>
                <w:vertAlign w:val="superscript"/>
                <w:lang w:val="en-US"/>
              </w:rPr>
              <w:t>1</w:t>
            </w:r>
            <w:r w:rsidRPr="00ED6B2C">
              <w:rPr>
                <w:lang w:val="en-US"/>
              </w:rPr>
              <w:t xml:space="preserve"> </w:t>
            </w:r>
            <w:r w:rsidRPr="0085760E">
              <w:rPr>
                <w:i/>
                <w:lang w:val="en-US"/>
              </w:rPr>
              <w:t>(80%)</w:t>
            </w:r>
          </w:p>
          <w:p w:rsidR="00AB109F" w:rsidRPr="00ED6B2C" w:rsidRDefault="00AB109F" w:rsidP="00C83D3E">
            <w:pPr>
              <w:pStyle w:val="StandaardSV"/>
              <w:jc w:val="left"/>
              <w:rPr>
                <w:lang w:val="en-US"/>
              </w:rPr>
            </w:pPr>
            <w:r w:rsidRPr="00ED6B2C">
              <w:rPr>
                <w:lang w:val="en-US"/>
              </w:rPr>
              <w:t>COOP</w:t>
            </w:r>
            <w:r w:rsidRPr="00ED6B2C">
              <w:rPr>
                <w:vertAlign w:val="superscript"/>
                <w:lang w:val="en-US"/>
              </w:rPr>
              <w:t>5</w:t>
            </w:r>
            <w:r w:rsidRPr="00ED6B2C">
              <w:rPr>
                <w:lang w:val="en-US"/>
              </w:rPr>
              <w:t xml:space="preserve"> </w:t>
            </w:r>
            <w:r w:rsidRPr="0085760E">
              <w:rPr>
                <w:i/>
                <w:lang w:val="en-US"/>
              </w:rPr>
              <w:t>(50-52%)</w:t>
            </w:r>
          </w:p>
        </w:tc>
        <w:tc>
          <w:tcPr>
            <w:tcW w:w="1396" w:type="dxa"/>
          </w:tcPr>
          <w:p w:rsidR="004D0818" w:rsidRPr="00ED6B2C" w:rsidRDefault="00AB109F" w:rsidP="0085760E">
            <w:pPr>
              <w:pStyle w:val="StandaardSV"/>
              <w:jc w:val="right"/>
              <w:rPr>
                <w:lang w:val="en-US"/>
              </w:rPr>
            </w:pPr>
            <w:r w:rsidRPr="00ED6B2C">
              <w:rPr>
                <w:lang w:val="en-US"/>
              </w:rPr>
              <w:t>3.772.339</w:t>
            </w:r>
          </w:p>
          <w:p w:rsidR="00AB109F" w:rsidRPr="00ED6B2C" w:rsidRDefault="00AB109F" w:rsidP="0085760E">
            <w:pPr>
              <w:pStyle w:val="StandaardSV"/>
              <w:jc w:val="right"/>
              <w:rPr>
                <w:lang w:val="en-US"/>
              </w:rPr>
            </w:pPr>
            <w:r w:rsidRPr="00ED6B2C">
              <w:rPr>
                <w:lang w:val="en-US"/>
              </w:rPr>
              <w:t>1.527.545</w:t>
            </w:r>
          </w:p>
        </w:tc>
      </w:tr>
      <w:tr w:rsidR="004D0818" w:rsidRPr="00ED6B2C" w:rsidTr="0011726B">
        <w:tc>
          <w:tcPr>
            <w:tcW w:w="2483" w:type="dxa"/>
          </w:tcPr>
          <w:p w:rsidR="004D0818" w:rsidRPr="00ED6B2C" w:rsidRDefault="004D0818" w:rsidP="000F22D3">
            <w:pPr>
              <w:pStyle w:val="StandaardSV"/>
            </w:pPr>
            <w:r w:rsidRPr="00ED6B2C">
              <w:t>Flanders Synergy</w:t>
            </w:r>
          </w:p>
        </w:tc>
        <w:tc>
          <w:tcPr>
            <w:tcW w:w="1866" w:type="dxa"/>
          </w:tcPr>
          <w:p w:rsidR="004D0818" w:rsidRPr="00ED6B2C" w:rsidRDefault="0011726B" w:rsidP="0011726B">
            <w:pPr>
              <w:pStyle w:val="StandaardSV"/>
              <w:jc w:val="left"/>
            </w:pPr>
            <w:r>
              <w:t>NVT</w:t>
            </w:r>
          </w:p>
        </w:tc>
        <w:tc>
          <w:tcPr>
            <w:tcW w:w="1391" w:type="dxa"/>
          </w:tcPr>
          <w:p w:rsidR="004D0818" w:rsidRPr="00ED6B2C" w:rsidRDefault="0011726B" w:rsidP="0011726B">
            <w:pPr>
              <w:pStyle w:val="StandaardSV"/>
              <w:jc w:val="right"/>
            </w:pPr>
            <w:r>
              <w:t>NVT</w:t>
            </w:r>
          </w:p>
        </w:tc>
        <w:tc>
          <w:tcPr>
            <w:tcW w:w="1881" w:type="dxa"/>
          </w:tcPr>
          <w:p w:rsidR="004D0818" w:rsidRPr="00ED6B2C" w:rsidRDefault="004D0818" w:rsidP="00C83D3E">
            <w:pPr>
              <w:pStyle w:val="StandaardSV"/>
              <w:jc w:val="left"/>
            </w:pPr>
          </w:p>
        </w:tc>
        <w:tc>
          <w:tcPr>
            <w:tcW w:w="1396" w:type="dxa"/>
          </w:tcPr>
          <w:p w:rsidR="004D0818" w:rsidRPr="00ED6B2C" w:rsidRDefault="004D0818" w:rsidP="0085760E">
            <w:pPr>
              <w:pStyle w:val="StandaardSV"/>
              <w:jc w:val="right"/>
            </w:pPr>
          </w:p>
        </w:tc>
      </w:tr>
      <w:tr w:rsidR="004D0818" w:rsidRPr="00ED6B2C" w:rsidTr="0011726B">
        <w:tc>
          <w:tcPr>
            <w:tcW w:w="2483" w:type="dxa"/>
          </w:tcPr>
          <w:p w:rsidR="004D0818" w:rsidRPr="00ED6B2C" w:rsidRDefault="004D0818" w:rsidP="00A507C7">
            <w:pPr>
              <w:pStyle w:val="StandaardSV"/>
            </w:pPr>
            <w:r w:rsidRPr="00ED6B2C">
              <w:t>Sociale Innovatiefabriek</w:t>
            </w:r>
          </w:p>
        </w:tc>
        <w:tc>
          <w:tcPr>
            <w:tcW w:w="1866" w:type="dxa"/>
          </w:tcPr>
          <w:p w:rsidR="004D0818" w:rsidRPr="00ED6B2C" w:rsidRDefault="0011726B" w:rsidP="0011726B">
            <w:pPr>
              <w:pStyle w:val="StandaardSV"/>
              <w:jc w:val="left"/>
            </w:pPr>
            <w:r>
              <w:t>NVT</w:t>
            </w:r>
          </w:p>
        </w:tc>
        <w:tc>
          <w:tcPr>
            <w:tcW w:w="1391" w:type="dxa"/>
          </w:tcPr>
          <w:p w:rsidR="004D0818" w:rsidRPr="00ED6B2C" w:rsidRDefault="0011726B" w:rsidP="0011726B">
            <w:pPr>
              <w:pStyle w:val="StandaardSV"/>
              <w:jc w:val="right"/>
            </w:pPr>
            <w:r>
              <w:t>NVT</w:t>
            </w:r>
          </w:p>
        </w:tc>
        <w:tc>
          <w:tcPr>
            <w:tcW w:w="1881" w:type="dxa"/>
          </w:tcPr>
          <w:p w:rsidR="004D0818" w:rsidRPr="00ED6B2C" w:rsidRDefault="004D0818" w:rsidP="00C83D3E">
            <w:pPr>
              <w:pStyle w:val="StandaardSV"/>
              <w:jc w:val="left"/>
            </w:pPr>
          </w:p>
        </w:tc>
        <w:tc>
          <w:tcPr>
            <w:tcW w:w="1396" w:type="dxa"/>
          </w:tcPr>
          <w:p w:rsidR="004D0818" w:rsidRPr="00ED6B2C" w:rsidRDefault="004D0818" w:rsidP="0085760E">
            <w:pPr>
              <w:pStyle w:val="StandaardSV"/>
              <w:jc w:val="right"/>
            </w:pPr>
          </w:p>
        </w:tc>
      </w:tr>
    </w:tbl>
    <w:p w:rsidR="004D0818" w:rsidRPr="00ED6B2C" w:rsidRDefault="002E2BAD" w:rsidP="00F6635B">
      <w:pPr>
        <w:pStyle w:val="StandaardSV"/>
        <w:ind w:left="426"/>
        <w:rPr>
          <w:sz w:val="20"/>
        </w:rPr>
      </w:pPr>
      <w:r w:rsidRPr="00ED6B2C">
        <w:rPr>
          <w:sz w:val="20"/>
          <w:vertAlign w:val="superscript"/>
        </w:rPr>
        <w:t xml:space="preserve">1 </w:t>
      </w:r>
      <w:r w:rsidR="004D0818" w:rsidRPr="00ED6B2C">
        <w:rPr>
          <w:sz w:val="20"/>
        </w:rPr>
        <w:t xml:space="preserve">VIS = </w:t>
      </w:r>
      <w:r w:rsidR="00AB109F" w:rsidRPr="00ED6B2C">
        <w:rPr>
          <w:sz w:val="20"/>
        </w:rPr>
        <w:t>project gesteund op basis van het besluit van de Vlaamse Regering van 20 juli 2006 tot regeling van steun aan projecten van innovatiestimulering, technologisch advies en collectief onderzoek op verzoek van Vlaamse Innovatiesamenwerkingsverbanden (VIS).</w:t>
      </w:r>
    </w:p>
    <w:p w:rsidR="004D0818" w:rsidRPr="00ED6B2C" w:rsidRDefault="002E2BAD" w:rsidP="00F6635B">
      <w:pPr>
        <w:pStyle w:val="StandaardSV"/>
        <w:ind w:left="426"/>
        <w:rPr>
          <w:sz w:val="20"/>
        </w:rPr>
      </w:pPr>
      <w:r w:rsidRPr="00ED6B2C">
        <w:rPr>
          <w:sz w:val="20"/>
          <w:vertAlign w:val="superscript"/>
        </w:rPr>
        <w:t xml:space="preserve">2 </w:t>
      </w:r>
      <w:r w:rsidR="004D0818" w:rsidRPr="00ED6B2C">
        <w:rPr>
          <w:sz w:val="20"/>
        </w:rPr>
        <w:t xml:space="preserve">ICON = </w:t>
      </w:r>
      <w:r w:rsidR="004107CA" w:rsidRPr="00ED6B2C">
        <w:rPr>
          <w:sz w:val="20"/>
        </w:rPr>
        <w:t>Interdisciplinair Co</w:t>
      </w:r>
      <w:r w:rsidR="00AB109F" w:rsidRPr="00ED6B2C">
        <w:rPr>
          <w:sz w:val="20"/>
        </w:rPr>
        <w:t>öperatief O</w:t>
      </w:r>
      <w:r w:rsidR="004107CA" w:rsidRPr="00ED6B2C">
        <w:rPr>
          <w:sz w:val="20"/>
        </w:rPr>
        <w:t>N</w:t>
      </w:r>
      <w:r w:rsidR="00AB109F" w:rsidRPr="00ED6B2C">
        <w:rPr>
          <w:sz w:val="20"/>
        </w:rPr>
        <w:t>derzoek</w:t>
      </w:r>
      <w:r w:rsidR="004107CA" w:rsidRPr="00ED6B2C">
        <w:rPr>
          <w:sz w:val="20"/>
        </w:rPr>
        <w:t xml:space="preserve">sproject, waarbij het aandeel van de bedrijven gesteund wordt op basis van het besluit van de Vlaamse </w:t>
      </w:r>
      <w:r w:rsidR="000706F8" w:rsidRPr="00ED6B2C">
        <w:rPr>
          <w:sz w:val="20"/>
        </w:rPr>
        <w:t>R</w:t>
      </w:r>
      <w:r w:rsidR="004107CA" w:rsidRPr="00ED6B2C">
        <w:rPr>
          <w:sz w:val="20"/>
        </w:rPr>
        <w:t xml:space="preserve">egering tot regeling van de steun aan projecten van onderzoek en ontwikkeling van het bedrijfsleven in Vlaanderen van 12 december 2008 en het aandeel </w:t>
      </w:r>
      <w:r w:rsidR="000706F8" w:rsidRPr="00ED6B2C">
        <w:rPr>
          <w:sz w:val="20"/>
        </w:rPr>
        <w:t xml:space="preserve">onderzoek door </w:t>
      </w:r>
      <w:r w:rsidR="004107CA" w:rsidRPr="00ED6B2C">
        <w:rPr>
          <w:sz w:val="20"/>
        </w:rPr>
        <w:t>de</w:t>
      </w:r>
      <w:r w:rsidR="007F756F" w:rsidRPr="00ED6B2C">
        <w:rPr>
          <w:sz w:val="20"/>
        </w:rPr>
        <w:t xml:space="preserve"> onderzoeksinstellingen op basis van het b</w:t>
      </w:r>
      <w:r w:rsidR="004107CA" w:rsidRPr="00ED6B2C">
        <w:rPr>
          <w:sz w:val="20"/>
        </w:rPr>
        <w:t xml:space="preserve">esluit van de Vlaamse </w:t>
      </w:r>
      <w:r w:rsidR="000706F8" w:rsidRPr="00ED6B2C">
        <w:rPr>
          <w:sz w:val="20"/>
        </w:rPr>
        <w:t>Regering</w:t>
      </w:r>
      <w:r w:rsidR="004107CA" w:rsidRPr="00ED6B2C">
        <w:rPr>
          <w:sz w:val="20"/>
        </w:rPr>
        <w:t xml:space="preserve"> houdende de instelling van een financieringskanaal</w:t>
      </w:r>
      <w:r w:rsidR="007F756F" w:rsidRPr="00ED6B2C">
        <w:rPr>
          <w:sz w:val="20"/>
        </w:rPr>
        <w:t xml:space="preserve"> </w:t>
      </w:r>
      <w:r w:rsidR="004107CA" w:rsidRPr="00ED6B2C">
        <w:rPr>
          <w:sz w:val="20"/>
        </w:rPr>
        <w:t>voor het strategisch basisonderzoek</w:t>
      </w:r>
      <w:r w:rsidR="007F756F" w:rsidRPr="00ED6B2C">
        <w:rPr>
          <w:sz w:val="20"/>
        </w:rPr>
        <w:t xml:space="preserve"> (SBO)</w:t>
      </w:r>
      <w:r w:rsidR="004107CA" w:rsidRPr="00ED6B2C">
        <w:rPr>
          <w:sz w:val="20"/>
        </w:rPr>
        <w:t xml:space="preserve"> in Vlaanderen</w:t>
      </w:r>
      <w:r w:rsidR="007F756F" w:rsidRPr="00ED6B2C">
        <w:rPr>
          <w:sz w:val="20"/>
        </w:rPr>
        <w:t xml:space="preserve"> van 3 oktober 2003.</w:t>
      </w:r>
    </w:p>
    <w:p w:rsidR="00AB109F" w:rsidRPr="00ED6B2C" w:rsidRDefault="00AB109F" w:rsidP="00F6635B">
      <w:pPr>
        <w:pStyle w:val="StandaardSV"/>
        <w:ind w:left="426"/>
        <w:rPr>
          <w:sz w:val="20"/>
        </w:rPr>
      </w:pPr>
      <w:r w:rsidRPr="00ED6B2C">
        <w:rPr>
          <w:sz w:val="20"/>
          <w:vertAlign w:val="superscript"/>
        </w:rPr>
        <w:t>3</w:t>
      </w:r>
      <w:r w:rsidRPr="00ED6B2C">
        <w:rPr>
          <w:sz w:val="20"/>
        </w:rPr>
        <w:t xml:space="preserve"> De subsidie voor het aandeel van de bedrijven in het project (volgens de steunpercentages van de IWT O&amp;O-bedrijfsprojecten) komt ten laste van de IWT-budgetlijn voor O&amp;O-bedrijfsprojecten. Het aandeel van de onderzoeksinstellingen in het SIM-ICON-project komt ten laste van het gereserveerd projectbudget</w:t>
      </w:r>
      <w:r w:rsidR="000706F8" w:rsidRPr="00ED6B2C">
        <w:rPr>
          <w:sz w:val="20"/>
        </w:rPr>
        <w:t>. Het steunpercentage aan de onderzoeksinstellingen is 100%</w:t>
      </w:r>
      <w:r w:rsidRPr="00ED6B2C">
        <w:rPr>
          <w:sz w:val="20"/>
        </w:rPr>
        <w:t>.</w:t>
      </w:r>
    </w:p>
    <w:p w:rsidR="007F756F" w:rsidRPr="00ED6B2C" w:rsidRDefault="00AB109F" w:rsidP="00F6635B">
      <w:pPr>
        <w:pStyle w:val="StandaardSV"/>
        <w:ind w:left="426"/>
        <w:rPr>
          <w:sz w:val="20"/>
        </w:rPr>
      </w:pPr>
      <w:r w:rsidRPr="00ED6B2C">
        <w:rPr>
          <w:sz w:val="20"/>
          <w:vertAlign w:val="superscript"/>
        </w:rPr>
        <w:t xml:space="preserve">4 </w:t>
      </w:r>
      <w:r w:rsidR="00AC2862" w:rsidRPr="00ED6B2C">
        <w:rPr>
          <w:sz w:val="20"/>
        </w:rPr>
        <w:t>SBO =</w:t>
      </w:r>
      <w:r w:rsidR="007F756F" w:rsidRPr="00ED6B2C">
        <w:rPr>
          <w:sz w:val="20"/>
        </w:rPr>
        <w:t xml:space="preserve"> project gesteund op basis van het besluit van de Vlaamse </w:t>
      </w:r>
      <w:r w:rsidR="000706F8" w:rsidRPr="00ED6B2C">
        <w:rPr>
          <w:sz w:val="20"/>
        </w:rPr>
        <w:t>Regering</w:t>
      </w:r>
      <w:r w:rsidR="007F756F" w:rsidRPr="00ED6B2C">
        <w:rPr>
          <w:sz w:val="20"/>
        </w:rPr>
        <w:t xml:space="preserve"> houdende de instelling van een financieringskanaal voor het strategisch basisonderzoek (SBO) in Vlaanderen van 3 oktober 2003.</w:t>
      </w:r>
    </w:p>
    <w:p w:rsidR="00AB109F" w:rsidRPr="00ED6B2C" w:rsidRDefault="00AB109F" w:rsidP="00F6635B">
      <w:pPr>
        <w:pStyle w:val="StandaardSV"/>
        <w:ind w:left="426"/>
        <w:rPr>
          <w:sz w:val="20"/>
        </w:rPr>
      </w:pPr>
      <w:r w:rsidRPr="00ED6B2C">
        <w:rPr>
          <w:sz w:val="20"/>
          <w:vertAlign w:val="superscript"/>
        </w:rPr>
        <w:t>5</w:t>
      </w:r>
      <w:r w:rsidRPr="00ED6B2C">
        <w:rPr>
          <w:sz w:val="20"/>
        </w:rPr>
        <w:t xml:space="preserve"> COOP =</w:t>
      </w:r>
      <w:r w:rsidR="007F756F" w:rsidRPr="00ED6B2C">
        <w:rPr>
          <w:sz w:val="20"/>
        </w:rPr>
        <w:t xml:space="preserve"> coöperatief onderzoeksproject gesteund op basis van het besluit van de Vlaamse </w:t>
      </w:r>
      <w:r w:rsidR="000706F8" w:rsidRPr="00ED6B2C">
        <w:rPr>
          <w:sz w:val="20"/>
        </w:rPr>
        <w:t>Regering</w:t>
      </w:r>
      <w:r w:rsidR="007F756F" w:rsidRPr="00ED6B2C">
        <w:rPr>
          <w:sz w:val="20"/>
        </w:rPr>
        <w:t xml:space="preserve"> tot regeling van de steun aan projecten van onderzoek en ontwikkeling van het bedrijfsleven in Vlaanderen van 12 december 2008</w:t>
      </w:r>
      <w:r w:rsidR="00C83D3E">
        <w:rPr>
          <w:sz w:val="20"/>
        </w:rPr>
        <w:t>.</w:t>
      </w:r>
    </w:p>
    <w:p w:rsidR="00A507C7" w:rsidRPr="00ED6B2C" w:rsidRDefault="00A507C7" w:rsidP="00F6635B">
      <w:pPr>
        <w:pStyle w:val="StandaardSV"/>
        <w:ind w:left="426"/>
      </w:pPr>
    </w:p>
    <w:p w:rsidR="007F756F" w:rsidRPr="00ED6B2C" w:rsidRDefault="00ED6B2C" w:rsidP="00F6635B">
      <w:pPr>
        <w:pStyle w:val="StandaardSV"/>
        <w:ind w:left="426" w:hanging="426"/>
      </w:pPr>
      <w:r w:rsidRPr="00ED6B2C">
        <w:t>3a.</w:t>
      </w:r>
      <w:r w:rsidRPr="00ED6B2C">
        <w:tab/>
      </w:r>
      <w:r w:rsidR="00056680" w:rsidRPr="00ED6B2C">
        <w:t xml:space="preserve">Onderstaande tabel geeft een overzicht van het aantal leden van </w:t>
      </w:r>
      <w:r w:rsidR="00372626">
        <w:t>elke</w:t>
      </w:r>
      <w:r w:rsidR="00056680" w:rsidRPr="00ED6B2C">
        <w:t xml:space="preserve"> </w:t>
      </w:r>
      <w:r w:rsidR="00372626">
        <w:t>Lichte Structuur</w:t>
      </w:r>
      <w:r w:rsidR="000175D8" w:rsidRPr="00ED6B2C">
        <w:t>. Met uitzonde</w:t>
      </w:r>
      <w:r w:rsidR="000706F8" w:rsidRPr="00ED6B2C">
        <w:t xml:space="preserve">ring van Flanders’ </w:t>
      </w:r>
      <w:r w:rsidR="00372626">
        <w:t>DRIVE</w:t>
      </w:r>
      <w:r w:rsidR="000706F8" w:rsidRPr="00ED6B2C">
        <w:t xml:space="preserve">, </w:t>
      </w:r>
      <w:r w:rsidR="000175D8" w:rsidRPr="00ED6B2C">
        <w:t>M</w:t>
      </w:r>
      <w:r w:rsidR="00372626">
        <w:t>i</w:t>
      </w:r>
      <w:r w:rsidR="000175D8" w:rsidRPr="00ED6B2C">
        <w:t xml:space="preserve">X </w:t>
      </w:r>
      <w:r w:rsidR="000706F8" w:rsidRPr="00ED6B2C">
        <w:t xml:space="preserve">en de Sociale Innovatiefabriek </w:t>
      </w:r>
      <w:r w:rsidR="000175D8" w:rsidRPr="00ED6B2C">
        <w:t xml:space="preserve">zijn de tarieven van het lidmaatschap beschikbaar op de websites van de Lichte Structuren. </w:t>
      </w:r>
      <w:r w:rsidR="0077751A" w:rsidRPr="00ED6B2C">
        <w:t>Voor Flanders’ D</w:t>
      </w:r>
      <w:r w:rsidR="00372626">
        <w:t>RIVE</w:t>
      </w:r>
      <w:r w:rsidR="0077751A" w:rsidRPr="00ED6B2C">
        <w:t xml:space="preserve"> bedraagt het jaarlijks lidgeld 620 euro voor bedrijven met minder dan 50 werknemers en 1</w:t>
      </w:r>
      <w:r w:rsidR="00372626">
        <w:t>.</w:t>
      </w:r>
      <w:r w:rsidR="0077751A" w:rsidRPr="00ED6B2C">
        <w:t>240 euro voor bedrijven met meer dan 50 werknemers.</w:t>
      </w:r>
      <w:r w:rsidR="000175D8" w:rsidRPr="00ED6B2C">
        <w:t xml:space="preserve"> </w:t>
      </w:r>
      <w:r w:rsidR="0077751A" w:rsidRPr="00ED6B2C">
        <w:t>M</w:t>
      </w:r>
      <w:r w:rsidR="00372626">
        <w:t>i</w:t>
      </w:r>
      <w:r w:rsidR="0077751A" w:rsidRPr="00ED6B2C">
        <w:t>X is geen ledenorganisatie.</w:t>
      </w:r>
      <w:r w:rsidR="00892082">
        <w:t xml:space="preserve"> De sector wordt vertegenwoordigd via de Programmacommissie die een bijdrage doet voor de cofinanciering van de basiswerking. </w:t>
      </w:r>
      <w:r w:rsidR="000706F8" w:rsidRPr="00ED6B2C">
        <w:t>De Sociale Innovatiefabriek wordt momenteel opgestart. De tarieven voor het lidmaatschap moeten nog verder uitgewerkt worden.</w:t>
      </w:r>
    </w:p>
    <w:p w:rsidR="0077751A" w:rsidRPr="00ED6B2C" w:rsidRDefault="0077751A" w:rsidP="00F6635B">
      <w:pPr>
        <w:pStyle w:val="StandaardSV"/>
        <w:ind w:left="426"/>
      </w:pPr>
    </w:p>
    <w:tbl>
      <w:tblPr>
        <w:tblW w:w="40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1518"/>
      </w:tblGrid>
      <w:tr w:rsidR="007F756F" w:rsidRPr="00ED6B2C" w:rsidTr="0011726B">
        <w:tc>
          <w:tcPr>
            <w:tcW w:w="2483" w:type="dxa"/>
          </w:tcPr>
          <w:p w:rsidR="007F756F" w:rsidRPr="00ED6B2C" w:rsidRDefault="007F756F" w:rsidP="0011726B">
            <w:pPr>
              <w:pStyle w:val="StandaardSV"/>
              <w:jc w:val="left"/>
              <w:rPr>
                <w:b/>
              </w:rPr>
            </w:pPr>
            <w:r w:rsidRPr="00ED6B2C">
              <w:rPr>
                <w:b/>
              </w:rPr>
              <w:t>Lichte Structuur</w:t>
            </w:r>
          </w:p>
        </w:tc>
        <w:tc>
          <w:tcPr>
            <w:tcW w:w="1518" w:type="dxa"/>
          </w:tcPr>
          <w:p w:rsidR="007F756F" w:rsidRPr="00ED6B2C" w:rsidRDefault="0011726B" w:rsidP="0011726B">
            <w:pPr>
              <w:pStyle w:val="StandaardSV"/>
              <w:jc w:val="right"/>
              <w:rPr>
                <w:b/>
              </w:rPr>
            </w:pPr>
            <w:r>
              <w:rPr>
                <w:b/>
              </w:rPr>
              <w:t>A</w:t>
            </w:r>
            <w:r w:rsidR="007F756F" w:rsidRPr="00ED6B2C">
              <w:rPr>
                <w:b/>
              </w:rPr>
              <w:t>antal leden</w:t>
            </w:r>
          </w:p>
        </w:tc>
      </w:tr>
      <w:tr w:rsidR="007F756F" w:rsidRPr="00ED6B2C" w:rsidTr="0011726B">
        <w:tc>
          <w:tcPr>
            <w:tcW w:w="2483" w:type="dxa"/>
          </w:tcPr>
          <w:p w:rsidR="007F756F" w:rsidRPr="00ED6B2C" w:rsidRDefault="007F756F" w:rsidP="0011726B">
            <w:pPr>
              <w:pStyle w:val="StandaardSV"/>
              <w:jc w:val="left"/>
            </w:pPr>
            <w:r w:rsidRPr="00ED6B2C">
              <w:t>FISCH</w:t>
            </w:r>
          </w:p>
        </w:tc>
        <w:tc>
          <w:tcPr>
            <w:tcW w:w="1518" w:type="dxa"/>
          </w:tcPr>
          <w:p w:rsidR="007F756F" w:rsidRPr="00ED6B2C" w:rsidRDefault="00056680" w:rsidP="0011726B">
            <w:pPr>
              <w:pStyle w:val="StandaardSV"/>
              <w:jc w:val="right"/>
            </w:pPr>
            <w:r w:rsidRPr="00ED6B2C">
              <w:t>35</w:t>
            </w:r>
          </w:p>
        </w:tc>
      </w:tr>
      <w:tr w:rsidR="007F756F" w:rsidRPr="00ED6B2C" w:rsidTr="0011726B">
        <w:tc>
          <w:tcPr>
            <w:tcW w:w="2483" w:type="dxa"/>
          </w:tcPr>
          <w:p w:rsidR="007F756F" w:rsidRPr="00ED6B2C" w:rsidRDefault="007F756F" w:rsidP="00685246">
            <w:pPr>
              <w:pStyle w:val="StandaardSV"/>
              <w:jc w:val="left"/>
            </w:pPr>
            <w:r w:rsidRPr="00ED6B2C">
              <w:t>Flanders InShape</w:t>
            </w:r>
          </w:p>
        </w:tc>
        <w:tc>
          <w:tcPr>
            <w:tcW w:w="1518" w:type="dxa"/>
          </w:tcPr>
          <w:p w:rsidR="007F756F" w:rsidRPr="00ED6B2C" w:rsidRDefault="00056680" w:rsidP="0011726B">
            <w:pPr>
              <w:pStyle w:val="StandaardSV"/>
              <w:jc w:val="right"/>
            </w:pPr>
            <w:r w:rsidRPr="00ED6B2C">
              <w:t>21</w:t>
            </w:r>
          </w:p>
        </w:tc>
      </w:tr>
      <w:tr w:rsidR="007F756F" w:rsidRPr="00ED6B2C" w:rsidTr="0011726B">
        <w:tc>
          <w:tcPr>
            <w:tcW w:w="2483" w:type="dxa"/>
          </w:tcPr>
          <w:p w:rsidR="007F756F" w:rsidRPr="00ED6B2C" w:rsidRDefault="007F756F" w:rsidP="0011726B">
            <w:pPr>
              <w:pStyle w:val="StandaardSV"/>
              <w:jc w:val="left"/>
            </w:pPr>
            <w:r w:rsidRPr="00ED6B2C">
              <w:t>VIL</w:t>
            </w:r>
          </w:p>
        </w:tc>
        <w:tc>
          <w:tcPr>
            <w:tcW w:w="1518" w:type="dxa"/>
          </w:tcPr>
          <w:p w:rsidR="007F756F" w:rsidRPr="00ED6B2C" w:rsidRDefault="0077751A" w:rsidP="0011726B">
            <w:pPr>
              <w:pStyle w:val="StandaardSV"/>
              <w:jc w:val="right"/>
            </w:pPr>
            <w:r w:rsidRPr="00ED6B2C">
              <w:t>366</w:t>
            </w:r>
          </w:p>
        </w:tc>
      </w:tr>
      <w:tr w:rsidR="007F756F" w:rsidRPr="00ED6B2C" w:rsidTr="0011726B">
        <w:tc>
          <w:tcPr>
            <w:tcW w:w="2483" w:type="dxa"/>
          </w:tcPr>
          <w:p w:rsidR="007F756F" w:rsidRPr="00ED6B2C" w:rsidRDefault="007F756F" w:rsidP="0011726B">
            <w:pPr>
              <w:pStyle w:val="StandaardSV"/>
              <w:jc w:val="left"/>
            </w:pPr>
            <w:r w:rsidRPr="00ED6B2C">
              <w:t>VIM</w:t>
            </w:r>
          </w:p>
        </w:tc>
        <w:tc>
          <w:tcPr>
            <w:tcW w:w="1518" w:type="dxa"/>
          </w:tcPr>
          <w:p w:rsidR="007F756F" w:rsidRPr="00ED6B2C" w:rsidRDefault="00100C44" w:rsidP="0011726B">
            <w:pPr>
              <w:pStyle w:val="StandaardSV"/>
              <w:jc w:val="right"/>
            </w:pPr>
            <w:r w:rsidRPr="00ED6B2C">
              <w:t>244</w:t>
            </w:r>
          </w:p>
        </w:tc>
      </w:tr>
      <w:tr w:rsidR="007F756F" w:rsidRPr="00ED6B2C" w:rsidTr="0011726B">
        <w:tc>
          <w:tcPr>
            <w:tcW w:w="2483" w:type="dxa"/>
          </w:tcPr>
          <w:p w:rsidR="007F756F" w:rsidRPr="00ED6B2C" w:rsidRDefault="007F756F" w:rsidP="0011726B">
            <w:pPr>
              <w:pStyle w:val="StandaardSV"/>
              <w:jc w:val="left"/>
              <w:rPr>
                <w:lang w:val="nl-BE"/>
              </w:rPr>
            </w:pPr>
            <w:r w:rsidRPr="00ED6B2C">
              <w:rPr>
                <w:lang w:val="nl-BE"/>
              </w:rPr>
              <w:t>SIM</w:t>
            </w:r>
          </w:p>
        </w:tc>
        <w:tc>
          <w:tcPr>
            <w:tcW w:w="1518" w:type="dxa"/>
          </w:tcPr>
          <w:p w:rsidR="007F756F" w:rsidRPr="00ED6B2C" w:rsidRDefault="003B0E5D" w:rsidP="0011726B">
            <w:pPr>
              <w:pStyle w:val="StandaardSV"/>
              <w:jc w:val="right"/>
              <w:rPr>
                <w:lang w:val="nl-BE"/>
              </w:rPr>
            </w:pPr>
            <w:r w:rsidRPr="00ED6B2C">
              <w:rPr>
                <w:lang w:val="nl-BE"/>
              </w:rPr>
              <w:t>21</w:t>
            </w:r>
          </w:p>
        </w:tc>
      </w:tr>
      <w:tr w:rsidR="007F756F" w:rsidRPr="00ED6B2C" w:rsidTr="0011726B">
        <w:tc>
          <w:tcPr>
            <w:tcW w:w="2483" w:type="dxa"/>
          </w:tcPr>
          <w:p w:rsidR="007F756F" w:rsidRPr="00ED6B2C" w:rsidRDefault="007F756F" w:rsidP="00CB6928">
            <w:pPr>
              <w:pStyle w:val="StandaardSV"/>
              <w:jc w:val="left"/>
              <w:rPr>
                <w:lang w:val="nl-BE"/>
              </w:rPr>
            </w:pPr>
            <w:r w:rsidRPr="00ED6B2C">
              <w:rPr>
                <w:lang w:val="nl-BE"/>
              </w:rPr>
              <w:t>M</w:t>
            </w:r>
            <w:r w:rsidR="00CB6928">
              <w:rPr>
                <w:lang w:val="nl-BE"/>
              </w:rPr>
              <w:t>i</w:t>
            </w:r>
            <w:r w:rsidRPr="00ED6B2C">
              <w:rPr>
                <w:lang w:val="nl-BE"/>
              </w:rPr>
              <w:t>X</w:t>
            </w:r>
          </w:p>
        </w:tc>
        <w:tc>
          <w:tcPr>
            <w:tcW w:w="1518" w:type="dxa"/>
          </w:tcPr>
          <w:p w:rsidR="007F756F" w:rsidRPr="00ED6B2C" w:rsidRDefault="00126A1D" w:rsidP="0011726B">
            <w:pPr>
              <w:pStyle w:val="StandaardSV"/>
              <w:jc w:val="right"/>
              <w:rPr>
                <w:lang w:val="nl-BE"/>
              </w:rPr>
            </w:pPr>
            <w:r w:rsidRPr="00ED6B2C">
              <w:rPr>
                <w:lang w:val="nl-BE"/>
              </w:rPr>
              <w:t>-</w:t>
            </w:r>
          </w:p>
        </w:tc>
      </w:tr>
      <w:tr w:rsidR="007F756F" w:rsidRPr="00ED6B2C" w:rsidTr="0011726B">
        <w:tc>
          <w:tcPr>
            <w:tcW w:w="2483" w:type="dxa"/>
          </w:tcPr>
          <w:p w:rsidR="007F756F" w:rsidRPr="00ED6B2C" w:rsidRDefault="007F756F" w:rsidP="0011726B">
            <w:pPr>
              <w:pStyle w:val="StandaardSV"/>
              <w:jc w:val="left"/>
              <w:rPr>
                <w:lang w:val="nl-BE"/>
              </w:rPr>
            </w:pPr>
            <w:r w:rsidRPr="00ED6B2C">
              <w:rPr>
                <w:lang w:val="nl-BE"/>
              </w:rPr>
              <w:t>Flanders</w:t>
            </w:r>
            <w:r w:rsidR="0011726B">
              <w:rPr>
                <w:lang w:val="nl-BE"/>
              </w:rPr>
              <w:t>’</w:t>
            </w:r>
            <w:r w:rsidRPr="00ED6B2C">
              <w:rPr>
                <w:lang w:val="nl-BE"/>
              </w:rPr>
              <w:t xml:space="preserve"> FOOD</w:t>
            </w:r>
          </w:p>
        </w:tc>
        <w:tc>
          <w:tcPr>
            <w:tcW w:w="1518" w:type="dxa"/>
          </w:tcPr>
          <w:p w:rsidR="007F756F" w:rsidRPr="00ED6B2C" w:rsidRDefault="003B0E5D" w:rsidP="0011726B">
            <w:pPr>
              <w:pStyle w:val="StandaardSV"/>
              <w:jc w:val="right"/>
              <w:rPr>
                <w:lang w:val="nl-BE"/>
              </w:rPr>
            </w:pPr>
            <w:r w:rsidRPr="00ED6B2C">
              <w:rPr>
                <w:lang w:val="nl-BE"/>
              </w:rPr>
              <w:t>282</w:t>
            </w:r>
          </w:p>
        </w:tc>
      </w:tr>
      <w:tr w:rsidR="007F756F" w:rsidRPr="00ED6B2C" w:rsidTr="0011726B">
        <w:tc>
          <w:tcPr>
            <w:tcW w:w="2483" w:type="dxa"/>
          </w:tcPr>
          <w:p w:rsidR="007F756F" w:rsidRPr="00ED6B2C" w:rsidRDefault="007F756F" w:rsidP="0011726B">
            <w:pPr>
              <w:pStyle w:val="StandaardSV"/>
              <w:jc w:val="left"/>
              <w:rPr>
                <w:lang w:val="en-US"/>
              </w:rPr>
            </w:pPr>
            <w:r w:rsidRPr="00ED6B2C">
              <w:rPr>
                <w:lang w:val="en-US"/>
              </w:rPr>
              <w:lastRenderedPageBreak/>
              <w:t>Flanders</w:t>
            </w:r>
            <w:r w:rsidR="0011726B">
              <w:rPr>
                <w:lang w:val="en-US"/>
              </w:rPr>
              <w:t>’</w:t>
            </w:r>
            <w:r w:rsidRPr="00ED6B2C">
              <w:rPr>
                <w:lang w:val="en-US"/>
              </w:rPr>
              <w:t xml:space="preserve"> </w:t>
            </w:r>
            <w:r w:rsidR="0011726B">
              <w:rPr>
                <w:lang w:val="en-US"/>
              </w:rPr>
              <w:t>DRIVE</w:t>
            </w:r>
          </w:p>
        </w:tc>
        <w:tc>
          <w:tcPr>
            <w:tcW w:w="1518" w:type="dxa"/>
          </w:tcPr>
          <w:p w:rsidR="007F756F" w:rsidRPr="00ED6B2C" w:rsidRDefault="0077751A" w:rsidP="0011726B">
            <w:pPr>
              <w:pStyle w:val="StandaardSV"/>
              <w:jc w:val="right"/>
              <w:rPr>
                <w:lang w:val="en-US"/>
              </w:rPr>
            </w:pPr>
            <w:r w:rsidRPr="00ED6B2C">
              <w:rPr>
                <w:lang w:val="en-US"/>
              </w:rPr>
              <w:t>167</w:t>
            </w:r>
          </w:p>
        </w:tc>
      </w:tr>
      <w:tr w:rsidR="007F756F" w:rsidRPr="00ED6B2C" w:rsidTr="0011726B">
        <w:tc>
          <w:tcPr>
            <w:tcW w:w="2483" w:type="dxa"/>
          </w:tcPr>
          <w:p w:rsidR="007F756F" w:rsidRPr="00ED6B2C" w:rsidRDefault="007F756F" w:rsidP="000F22D3">
            <w:pPr>
              <w:pStyle w:val="StandaardSV"/>
              <w:jc w:val="left"/>
            </w:pPr>
            <w:r w:rsidRPr="00ED6B2C">
              <w:t>Flanders Synergy</w:t>
            </w:r>
          </w:p>
        </w:tc>
        <w:tc>
          <w:tcPr>
            <w:tcW w:w="1518" w:type="dxa"/>
          </w:tcPr>
          <w:p w:rsidR="007F756F" w:rsidRPr="00ED6B2C" w:rsidRDefault="00100C44" w:rsidP="0011726B">
            <w:pPr>
              <w:pStyle w:val="StandaardSV"/>
              <w:jc w:val="right"/>
            </w:pPr>
            <w:r w:rsidRPr="00ED6B2C">
              <w:t>147</w:t>
            </w:r>
          </w:p>
        </w:tc>
      </w:tr>
      <w:tr w:rsidR="007F756F" w:rsidRPr="00ED6B2C" w:rsidTr="0011726B">
        <w:tc>
          <w:tcPr>
            <w:tcW w:w="2483" w:type="dxa"/>
          </w:tcPr>
          <w:p w:rsidR="007F756F" w:rsidRPr="00ED6B2C" w:rsidRDefault="007F756F" w:rsidP="0011726B">
            <w:pPr>
              <w:pStyle w:val="StandaardSV"/>
              <w:jc w:val="left"/>
            </w:pPr>
            <w:r w:rsidRPr="00ED6B2C">
              <w:t>Sociale Innovatiefabriek</w:t>
            </w:r>
          </w:p>
        </w:tc>
        <w:tc>
          <w:tcPr>
            <w:tcW w:w="1518" w:type="dxa"/>
          </w:tcPr>
          <w:p w:rsidR="007F756F" w:rsidRPr="00ED6B2C" w:rsidRDefault="006B56E7" w:rsidP="0011726B">
            <w:pPr>
              <w:pStyle w:val="StandaardSV"/>
              <w:jc w:val="right"/>
            </w:pPr>
            <w:r>
              <w:t>16</w:t>
            </w:r>
          </w:p>
        </w:tc>
      </w:tr>
    </w:tbl>
    <w:p w:rsidR="001951BB" w:rsidRPr="00ED6B2C" w:rsidRDefault="001951BB" w:rsidP="000F22D3">
      <w:pPr>
        <w:pStyle w:val="StandaardSV"/>
        <w:ind w:left="426"/>
        <w:jc w:val="left"/>
      </w:pPr>
    </w:p>
    <w:p w:rsidR="00220504" w:rsidRPr="00ED6B2C" w:rsidRDefault="00220504" w:rsidP="00F6635B">
      <w:pPr>
        <w:pStyle w:val="StandaardSV"/>
        <w:ind w:left="426" w:hanging="426"/>
      </w:pPr>
      <w:r w:rsidRPr="00372626">
        <w:rPr>
          <w:sz w:val="20"/>
        </w:rPr>
        <w:t>3b</w:t>
      </w:r>
      <w:r w:rsidR="00372626" w:rsidRPr="00372626">
        <w:rPr>
          <w:sz w:val="20"/>
        </w:rPr>
        <w:t>-c</w:t>
      </w:r>
      <w:r w:rsidRPr="00ED6B2C">
        <w:t>.</w:t>
      </w:r>
      <w:r w:rsidRPr="00ED6B2C">
        <w:tab/>
        <w:t xml:space="preserve">De ondersteuning van de </w:t>
      </w:r>
      <w:r w:rsidR="00012CDC">
        <w:t>L</w:t>
      </w:r>
      <w:r w:rsidRPr="00ED6B2C">
        <w:t>ic</w:t>
      </w:r>
      <w:r w:rsidR="00CA59BA" w:rsidRPr="00ED6B2C">
        <w:t xml:space="preserve">hte </w:t>
      </w:r>
      <w:r w:rsidR="00012CDC">
        <w:t>S</w:t>
      </w:r>
      <w:r w:rsidR="00CA59BA" w:rsidRPr="00ED6B2C">
        <w:t xml:space="preserve">tructuren is tweeledig: ondersteuning van de basiswerking en een gereserveerd projectbudget voor projecten. Voor de basiswerking geldt een minimale </w:t>
      </w:r>
      <w:r w:rsidR="00012CDC">
        <w:br/>
      </w:r>
      <w:r w:rsidR="00CA59BA" w:rsidRPr="00ED6B2C">
        <w:t>cofinancie</w:t>
      </w:r>
      <w:r w:rsidR="00851F5D" w:rsidRPr="00ED6B2C">
        <w:t>ring van 2</w:t>
      </w:r>
      <w:r w:rsidR="00CA59BA" w:rsidRPr="00ED6B2C">
        <w:t xml:space="preserve">0%. Het steunpercentage van de projecten, gesteund met middelen van het geoormerkte projectbudget van de Lichte Structuur, is afhankelijk van het toepasselijk </w:t>
      </w:r>
      <w:r w:rsidR="00012CDC">
        <w:br/>
      </w:r>
      <w:r w:rsidR="00CA59BA" w:rsidRPr="00ED6B2C">
        <w:t>reglementair kader.</w:t>
      </w:r>
      <w:r w:rsidR="0053007D" w:rsidRPr="00ED6B2C">
        <w:t xml:space="preserve"> </w:t>
      </w:r>
      <w:r w:rsidR="000175D8" w:rsidRPr="00ED6B2C">
        <w:t xml:space="preserve">Deze projecten kunnen door de Lichte Structuur of derden (bedrijven, </w:t>
      </w:r>
      <w:r w:rsidR="00012CDC">
        <w:br/>
      </w:r>
      <w:r w:rsidR="000175D8" w:rsidRPr="00ED6B2C">
        <w:t xml:space="preserve">onderzoeksinstellingen, …) uitgevoerd worden, afhankelijk van de modaliteiten van het </w:t>
      </w:r>
      <w:r w:rsidR="00012CDC">
        <w:br/>
      </w:r>
      <w:r w:rsidR="000175D8" w:rsidRPr="00ED6B2C">
        <w:t xml:space="preserve">projecttype. </w:t>
      </w:r>
      <w:r w:rsidR="0053007D" w:rsidRPr="00ED6B2C">
        <w:t xml:space="preserve">De rapportering over deze subsidies gebeurt op projectniveau. Een totaal overzicht van ontvangen inkomsten op organisatieniveau </w:t>
      </w:r>
      <w:r w:rsidR="00851F5D" w:rsidRPr="00ED6B2C">
        <w:t xml:space="preserve">van de Lichte Structuur </w:t>
      </w:r>
      <w:r w:rsidR="0053007D" w:rsidRPr="00ED6B2C">
        <w:t>maakt geen structureel onderdeel uit van de rapportering aan het IWT.</w:t>
      </w:r>
      <w:r w:rsidR="000175D8" w:rsidRPr="00ED6B2C">
        <w:t xml:space="preserve"> Onderstaande tabel geeft een overzicht van de </w:t>
      </w:r>
      <w:r w:rsidR="00851F5D" w:rsidRPr="00ED6B2C">
        <w:t xml:space="preserve">maximale steunpercentages voor de basiswerking van de </w:t>
      </w:r>
      <w:r w:rsidR="00372626">
        <w:t>L</w:t>
      </w:r>
      <w:r w:rsidR="00851F5D" w:rsidRPr="00ED6B2C">
        <w:t xml:space="preserve">ichte </w:t>
      </w:r>
      <w:r w:rsidR="00372626">
        <w:t>S</w:t>
      </w:r>
      <w:r w:rsidR="00851F5D" w:rsidRPr="00ED6B2C">
        <w:t>tructuren.</w:t>
      </w:r>
    </w:p>
    <w:p w:rsidR="0053007D" w:rsidRPr="00ED6B2C" w:rsidRDefault="0053007D" w:rsidP="000F22D3">
      <w:pPr>
        <w:pStyle w:val="StandaardSV"/>
        <w:ind w:left="852" w:hanging="426"/>
        <w:jc w:val="lef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4573"/>
      </w:tblGrid>
      <w:tr w:rsidR="00851F5D" w:rsidRPr="00ED6B2C" w:rsidTr="0011726B">
        <w:tc>
          <w:tcPr>
            <w:tcW w:w="2483" w:type="dxa"/>
          </w:tcPr>
          <w:p w:rsidR="00851F5D" w:rsidRPr="00ED6B2C" w:rsidRDefault="00851F5D" w:rsidP="0011726B">
            <w:pPr>
              <w:pStyle w:val="StandaardSV"/>
              <w:jc w:val="left"/>
              <w:rPr>
                <w:b/>
              </w:rPr>
            </w:pPr>
            <w:r w:rsidRPr="00ED6B2C">
              <w:rPr>
                <w:b/>
              </w:rPr>
              <w:t>Lichte Structuur</w:t>
            </w:r>
          </w:p>
        </w:tc>
        <w:tc>
          <w:tcPr>
            <w:tcW w:w="4573" w:type="dxa"/>
          </w:tcPr>
          <w:p w:rsidR="00851F5D" w:rsidRPr="00ED6B2C" w:rsidRDefault="0011726B" w:rsidP="0011726B">
            <w:pPr>
              <w:pStyle w:val="StandaardSV"/>
              <w:jc w:val="left"/>
              <w:rPr>
                <w:b/>
              </w:rPr>
            </w:pPr>
            <w:r>
              <w:rPr>
                <w:b/>
              </w:rPr>
              <w:t>M</w:t>
            </w:r>
            <w:r w:rsidR="00851F5D" w:rsidRPr="00ED6B2C">
              <w:rPr>
                <w:b/>
              </w:rPr>
              <w:t>aximaal steunpercentage basiswerking (%)</w:t>
            </w:r>
          </w:p>
        </w:tc>
      </w:tr>
      <w:tr w:rsidR="00851F5D" w:rsidRPr="00ED6B2C" w:rsidTr="0011726B">
        <w:tc>
          <w:tcPr>
            <w:tcW w:w="2483" w:type="dxa"/>
          </w:tcPr>
          <w:p w:rsidR="00851F5D" w:rsidRPr="00ED6B2C" w:rsidRDefault="00851F5D" w:rsidP="0011726B">
            <w:pPr>
              <w:pStyle w:val="StandaardSV"/>
              <w:jc w:val="left"/>
            </w:pPr>
            <w:r w:rsidRPr="00ED6B2C">
              <w:t>FISCH</w:t>
            </w:r>
          </w:p>
        </w:tc>
        <w:tc>
          <w:tcPr>
            <w:tcW w:w="4573" w:type="dxa"/>
          </w:tcPr>
          <w:p w:rsidR="00851F5D" w:rsidRPr="00ED6B2C" w:rsidRDefault="00851F5D" w:rsidP="0011726B">
            <w:pPr>
              <w:pStyle w:val="StandaardSV"/>
              <w:jc w:val="left"/>
            </w:pPr>
            <w:r w:rsidRPr="00ED6B2C">
              <w:t>80%</w:t>
            </w:r>
          </w:p>
        </w:tc>
      </w:tr>
      <w:tr w:rsidR="00851F5D" w:rsidRPr="00ED6B2C" w:rsidTr="0011726B">
        <w:tc>
          <w:tcPr>
            <w:tcW w:w="2483" w:type="dxa"/>
          </w:tcPr>
          <w:p w:rsidR="00851F5D" w:rsidRPr="00ED6B2C" w:rsidRDefault="00851F5D" w:rsidP="00685246">
            <w:pPr>
              <w:pStyle w:val="StandaardSV"/>
              <w:jc w:val="left"/>
            </w:pPr>
            <w:r w:rsidRPr="00ED6B2C">
              <w:t>Flanders InShape</w:t>
            </w:r>
          </w:p>
        </w:tc>
        <w:tc>
          <w:tcPr>
            <w:tcW w:w="4573" w:type="dxa"/>
          </w:tcPr>
          <w:p w:rsidR="00851F5D" w:rsidRPr="00ED6B2C" w:rsidRDefault="00851F5D" w:rsidP="0011726B">
            <w:pPr>
              <w:pStyle w:val="StandaardSV"/>
              <w:jc w:val="left"/>
            </w:pPr>
            <w:r w:rsidRPr="00ED6B2C">
              <w:t>80%</w:t>
            </w:r>
          </w:p>
        </w:tc>
      </w:tr>
      <w:tr w:rsidR="00851F5D" w:rsidRPr="00ED6B2C" w:rsidTr="0011726B">
        <w:tc>
          <w:tcPr>
            <w:tcW w:w="2483" w:type="dxa"/>
          </w:tcPr>
          <w:p w:rsidR="00851F5D" w:rsidRPr="00ED6B2C" w:rsidRDefault="00851F5D" w:rsidP="0011726B">
            <w:pPr>
              <w:pStyle w:val="StandaardSV"/>
              <w:jc w:val="left"/>
            </w:pPr>
            <w:r w:rsidRPr="00ED6B2C">
              <w:t>VIL</w:t>
            </w:r>
          </w:p>
        </w:tc>
        <w:tc>
          <w:tcPr>
            <w:tcW w:w="4573" w:type="dxa"/>
          </w:tcPr>
          <w:p w:rsidR="00851F5D" w:rsidRPr="00ED6B2C" w:rsidRDefault="00851F5D" w:rsidP="0011726B">
            <w:pPr>
              <w:pStyle w:val="StandaardSV"/>
              <w:jc w:val="left"/>
            </w:pPr>
            <w:r w:rsidRPr="00ED6B2C">
              <w:t>80%</w:t>
            </w:r>
          </w:p>
        </w:tc>
      </w:tr>
      <w:tr w:rsidR="00851F5D" w:rsidRPr="00ED6B2C" w:rsidTr="0011726B">
        <w:tc>
          <w:tcPr>
            <w:tcW w:w="2483" w:type="dxa"/>
          </w:tcPr>
          <w:p w:rsidR="00851F5D" w:rsidRPr="00ED6B2C" w:rsidRDefault="00851F5D" w:rsidP="0011726B">
            <w:pPr>
              <w:pStyle w:val="StandaardSV"/>
              <w:jc w:val="left"/>
            </w:pPr>
            <w:r w:rsidRPr="00ED6B2C">
              <w:t>VIM</w:t>
            </w:r>
          </w:p>
        </w:tc>
        <w:tc>
          <w:tcPr>
            <w:tcW w:w="4573" w:type="dxa"/>
          </w:tcPr>
          <w:p w:rsidR="00851F5D" w:rsidRPr="00ED6B2C" w:rsidRDefault="00851F5D" w:rsidP="0011726B">
            <w:pPr>
              <w:pStyle w:val="StandaardSV"/>
              <w:jc w:val="left"/>
            </w:pPr>
            <w:r w:rsidRPr="00ED6B2C">
              <w:t>80%</w:t>
            </w:r>
          </w:p>
        </w:tc>
      </w:tr>
      <w:tr w:rsidR="00851F5D" w:rsidRPr="00ED6B2C" w:rsidTr="0011726B">
        <w:tc>
          <w:tcPr>
            <w:tcW w:w="2483" w:type="dxa"/>
          </w:tcPr>
          <w:p w:rsidR="00851F5D" w:rsidRPr="00ED6B2C" w:rsidRDefault="00851F5D" w:rsidP="0011726B">
            <w:pPr>
              <w:pStyle w:val="StandaardSV"/>
              <w:jc w:val="left"/>
            </w:pPr>
            <w:r w:rsidRPr="00ED6B2C">
              <w:t>SIM</w:t>
            </w:r>
          </w:p>
        </w:tc>
        <w:tc>
          <w:tcPr>
            <w:tcW w:w="4573" w:type="dxa"/>
          </w:tcPr>
          <w:p w:rsidR="00851F5D" w:rsidRPr="00ED6B2C" w:rsidRDefault="00851F5D" w:rsidP="0011726B">
            <w:pPr>
              <w:pStyle w:val="StandaardSV"/>
              <w:jc w:val="left"/>
            </w:pPr>
            <w:r w:rsidRPr="00ED6B2C">
              <w:t>80%</w:t>
            </w:r>
          </w:p>
        </w:tc>
      </w:tr>
      <w:tr w:rsidR="00851F5D" w:rsidRPr="00ED6B2C" w:rsidTr="0011726B">
        <w:tc>
          <w:tcPr>
            <w:tcW w:w="2483" w:type="dxa"/>
          </w:tcPr>
          <w:p w:rsidR="00851F5D" w:rsidRPr="00ED6B2C" w:rsidRDefault="00851F5D" w:rsidP="00CB6928">
            <w:pPr>
              <w:pStyle w:val="StandaardSV"/>
              <w:jc w:val="left"/>
            </w:pPr>
            <w:r w:rsidRPr="00ED6B2C">
              <w:t>M</w:t>
            </w:r>
            <w:r w:rsidR="00CB6928">
              <w:t>i</w:t>
            </w:r>
            <w:r w:rsidRPr="00ED6B2C">
              <w:t>X</w:t>
            </w:r>
          </w:p>
        </w:tc>
        <w:tc>
          <w:tcPr>
            <w:tcW w:w="4573" w:type="dxa"/>
          </w:tcPr>
          <w:p w:rsidR="00851F5D" w:rsidRPr="00ED6B2C" w:rsidRDefault="00851F5D" w:rsidP="0011726B">
            <w:pPr>
              <w:pStyle w:val="StandaardSV"/>
              <w:jc w:val="left"/>
            </w:pPr>
            <w:r w:rsidRPr="00ED6B2C">
              <w:t>80%</w:t>
            </w:r>
          </w:p>
        </w:tc>
      </w:tr>
      <w:tr w:rsidR="00851F5D" w:rsidRPr="00ED6B2C" w:rsidTr="0011726B">
        <w:tc>
          <w:tcPr>
            <w:tcW w:w="2483" w:type="dxa"/>
          </w:tcPr>
          <w:p w:rsidR="00851F5D" w:rsidRPr="00ED6B2C" w:rsidRDefault="00851F5D" w:rsidP="0011726B">
            <w:pPr>
              <w:pStyle w:val="StandaardSV"/>
              <w:jc w:val="left"/>
              <w:rPr>
                <w:lang w:val="en-US"/>
              </w:rPr>
            </w:pPr>
            <w:r w:rsidRPr="00ED6B2C">
              <w:rPr>
                <w:lang w:val="en-US"/>
              </w:rPr>
              <w:t>Flanders</w:t>
            </w:r>
            <w:r w:rsidR="0011726B">
              <w:rPr>
                <w:lang w:val="en-US"/>
              </w:rPr>
              <w:t>’</w:t>
            </w:r>
            <w:r w:rsidRPr="00ED6B2C">
              <w:rPr>
                <w:lang w:val="en-US"/>
              </w:rPr>
              <w:t xml:space="preserve"> FOOD</w:t>
            </w:r>
            <w:r w:rsidRPr="0011726B">
              <w:rPr>
                <w:b/>
                <w:sz w:val="20"/>
                <w:lang w:val="en-US"/>
              </w:rPr>
              <w:t>*</w:t>
            </w:r>
          </w:p>
        </w:tc>
        <w:tc>
          <w:tcPr>
            <w:tcW w:w="4573" w:type="dxa"/>
          </w:tcPr>
          <w:p w:rsidR="00851F5D" w:rsidRPr="00ED6B2C" w:rsidRDefault="00851F5D" w:rsidP="0011726B">
            <w:pPr>
              <w:pStyle w:val="StandaardSV"/>
              <w:jc w:val="left"/>
              <w:rPr>
                <w:lang w:val="en-US"/>
              </w:rPr>
            </w:pPr>
            <w:r w:rsidRPr="00ED6B2C">
              <w:rPr>
                <w:lang w:val="en-US"/>
              </w:rPr>
              <w:t>80%</w:t>
            </w:r>
          </w:p>
        </w:tc>
      </w:tr>
      <w:tr w:rsidR="00851F5D" w:rsidRPr="00ED6B2C" w:rsidTr="0011726B">
        <w:tc>
          <w:tcPr>
            <w:tcW w:w="2483" w:type="dxa"/>
          </w:tcPr>
          <w:p w:rsidR="00851F5D" w:rsidRPr="00ED6B2C" w:rsidRDefault="00851F5D" w:rsidP="0011726B">
            <w:pPr>
              <w:pStyle w:val="StandaardSV"/>
              <w:jc w:val="left"/>
              <w:rPr>
                <w:lang w:val="en-US"/>
              </w:rPr>
            </w:pPr>
            <w:r w:rsidRPr="00ED6B2C">
              <w:rPr>
                <w:lang w:val="en-US"/>
              </w:rPr>
              <w:t>Flanders</w:t>
            </w:r>
            <w:r w:rsidR="0011726B">
              <w:rPr>
                <w:lang w:val="en-US"/>
              </w:rPr>
              <w:t>’</w:t>
            </w:r>
            <w:r w:rsidRPr="00ED6B2C">
              <w:rPr>
                <w:lang w:val="en-US"/>
              </w:rPr>
              <w:t xml:space="preserve"> </w:t>
            </w:r>
            <w:r w:rsidR="0011726B">
              <w:rPr>
                <w:lang w:val="en-US"/>
              </w:rPr>
              <w:t>DRIVE</w:t>
            </w:r>
          </w:p>
        </w:tc>
        <w:tc>
          <w:tcPr>
            <w:tcW w:w="4573" w:type="dxa"/>
          </w:tcPr>
          <w:p w:rsidR="00851F5D" w:rsidRPr="00ED6B2C" w:rsidRDefault="00851F5D" w:rsidP="0011726B">
            <w:pPr>
              <w:pStyle w:val="StandaardSV"/>
              <w:jc w:val="left"/>
              <w:rPr>
                <w:lang w:val="en-US"/>
              </w:rPr>
            </w:pPr>
            <w:r w:rsidRPr="00ED6B2C">
              <w:rPr>
                <w:lang w:val="en-US"/>
              </w:rPr>
              <w:t>2013-2014: 80%</w:t>
            </w:r>
          </w:p>
          <w:p w:rsidR="00851F5D" w:rsidRPr="00ED6B2C" w:rsidRDefault="00851F5D" w:rsidP="0011726B">
            <w:pPr>
              <w:pStyle w:val="StandaardSV"/>
              <w:jc w:val="left"/>
              <w:rPr>
                <w:lang w:val="en-US"/>
              </w:rPr>
            </w:pPr>
            <w:r w:rsidRPr="00ED6B2C">
              <w:rPr>
                <w:lang w:val="en-US"/>
              </w:rPr>
              <w:t>2015-2016: 75%</w:t>
            </w:r>
          </w:p>
        </w:tc>
      </w:tr>
      <w:tr w:rsidR="00851F5D" w:rsidRPr="00ED6B2C" w:rsidTr="0011726B">
        <w:tc>
          <w:tcPr>
            <w:tcW w:w="2483" w:type="dxa"/>
          </w:tcPr>
          <w:p w:rsidR="00851F5D" w:rsidRPr="00ED6B2C" w:rsidRDefault="00851F5D" w:rsidP="000F22D3">
            <w:pPr>
              <w:pStyle w:val="StandaardSV"/>
              <w:jc w:val="left"/>
            </w:pPr>
            <w:r w:rsidRPr="00ED6B2C">
              <w:t>Flanders Synergy</w:t>
            </w:r>
          </w:p>
        </w:tc>
        <w:tc>
          <w:tcPr>
            <w:tcW w:w="4573" w:type="dxa"/>
          </w:tcPr>
          <w:p w:rsidR="00851F5D" w:rsidRPr="00ED6B2C" w:rsidRDefault="00C70FC9" w:rsidP="0011726B">
            <w:pPr>
              <w:pStyle w:val="StandaardSV"/>
              <w:ind w:right="600"/>
              <w:jc w:val="left"/>
            </w:pPr>
            <w:r w:rsidRPr="00ED6B2C">
              <w:t>2013: 80%</w:t>
            </w:r>
          </w:p>
          <w:p w:rsidR="00C70FC9" w:rsidRPr="00ED6B2C" w:rsidRDefault="00C70FC9" w:rsidP="0011726B">
            <w:pPr>
              <w:pStyle w:val="StandaardSV"/>
              <w:ind w:right="600"/>
              <w:jc w:val="left"/>
            </w:pPr>
            <w:r w:rsidRPr="00ED6B2C">
              <w:t>2014-2016: 75%</w:t>
            </w:r>
          </w:p>
        </w:tc>
      </w:tr>
      <w:tr w:rsidR="00851F5D" w:rsidRPr="00ED6B2C" w:rsidTr="0011726B">
        <w:tc>
          <w:tcPr>
            <w:tcW w:w="2483" w:type="dxa"/>
          </w:tcPr>
          <w:p w:rsidR="00851F5D" w:rsidRPr="00ED6B2C" w:rsidRDefault="00851F5D" w:rsidP="0011726B">
            <w:pPr>
              <w:pStyle w:val="StandaardSV"/>
              <w:jc w:val="left"/>
            </w:pPr>
            <w:r w:rsidRPr="00ED6B2C">
              <w:t>Sociale Innovatiefabriek</w:t>
            </w:r>
          </w:p>
        </w:tc>
        <w:tc>
          <w:tcPr>
            <w:tcW w:w="4573" w:type="dxa"/>
          </w:tcPr>
          <w:p w:rsidR="00851F5D" w:rsidRPr="00ED6B2C" w:rsidRDefault="00C70FC9" w:rsidP="0011726B">
            <w:pPr>
              <w:pStyle w:val="StandaardSV"/>
              <w:jc w:val="left"/>
            </w:pPr>
            <w:r w:rsidRPr="00ED6B2C">
              <w:t>80%</w:t>
            </w:r>
          </w:p>
        </w:tc>
      </w:tr>
    </w:tbl>
    <w:p w:rsidR="00851F5D" w:rsidRPr="0011726B" w:rsidRDefault="00851F5D" w:rsidP="00F6635B">
      <w:pPr>
        <w:ind w:left="567" w:hanging="207"/>
        <w:jc w:val="both"/>
        <w:rPr>
          <w:b/>
          <w:sz w:val="20"/>
        </w:rPr>
      </w:pPr>
      <w:r w:rsidRPr="0011726B">
        <w:rPr>
          <w:b/>
          <w:sz w:val="20"/>
        </w:rPr>
        <w:t>*</w:t>
      </w:r>
      <w:r w:rsidRPr="0011726B">
        <w:rPr>
          <w:b/>
          <w:sz w:val="20"/>
        </w:rPr>
        <w:tab/>
        <w:t xml:space="preserve">Bij de tussentijdse evaluatie van de tweede overeenkomst van Flanders’ FOOD is besloten om de tweede biënnale via de modaliteiten van de </w:t>
      </w:r>
      <w:r w:rsidR="00770F3E">
        <w:rPr>
          <w:b/>
          <w:sz w:val="20"/>
        </w:rPr>
        <w:t>L</w:t>
      </w:r>
      <w:r w:rsidRPr="0011726B">
        <w:rPr>
          <w:b/>
          <w:sz w:val="20"/>
        </w:rPr>
        <w:t xml:space="preserve">ichte </w:t>
      </w:r>
      <w:r w:rsidR="00770F3E">
        <w:rPr>
          <w:b/>
          <w:sz w:val="20"/>
        </w:rPr>
        <w:t>S</w:t>
      </w:r>
      <w:r w:rsidRPr="0011726B">
        <w:rPr>
          <w:b/>
          <w:sz w:val="20"/>
        </w:rPr>
        <w:t>tructuren te ondersteunen. De in de tabel opgenomen gegevens betreffen die voor de basiswerking van deze tweede biënnale.</w:t>
      </w:r>
    </w:p>
    <w:p w:rsidR="006F29F5" w:rsidRPr="00ED6B2C" w:rsidRDefault="006F29F5" w:rsidP="00F6635B">
      <w:pPr>
        <w:pStyle w:val="StandaardSV"/>
        <w:ind w:left="360"/>
      </w:pPr>
    </w:p>
    <w:p w:rsidR="0059345F" w:rsidRPr="00ED6B2C" w:rsidRDefault="0059345F" w:rsidP="00F6635B">
      <w:pPr>
        <w:pStyle w:val="StandaardSV"/>
        <w:ind w:left="426" w:hanging="426"/>
      </w:pPr>
      <w:r w:rsidRPr="00ED6B2C">
        <w:t>4.</w:t>
      </w:r>
      <w:r w:rsidRPr="00ED6B2C">
        <w:tab/>
        <w:t>De basiswerking van</w:t>
      </w:r>
      <w:r w:rsidR="00012CDC">
        <w:t xml:space="preserve"> de</w:t>
      </w:r>
      <w:r w:rsidRPr="00ED6B2C">
        <w:t xml:space="preserve"> </w:t>
      </w:r>
      <w:r w:rsidR="000706F8" w:rsidRPr="00ED6B2C">
        <w:t>Lichte Structuren wordt aan maximaal</w:t>
      </w:r>
      <w:r w:rsidRPr="00ED6B2C">
        <w:t xml:space="preserve"> 2,56 miljoen euro gesubsidieerd bij een inzet</w:t>
      </w:r>
      <w:r w:rsidR="00012CDC">
        <w:t xml:space="preserve"> van</w:t>
      </w:r>
      <w:r w:rsidRPr="00ED6B2C">
        <w:t xml:space="preserve"> 6 VTE en een minimale ko</w:t>
      </w:r>
      <w:r w:rsidR="004F31C5" w:rsidRPr="00ED6B2C">
        <w:t xml:space="preserve">stenbasis van 800 duizend euro </w:t>
      </w:r>
      <w:r w:rsidRPr="00ED6B2C">
        <w:t>voor een periode van vier jaar. Indien er minder VTE’s zijn toegekend of ingezet</w:t>
      </w:r>
      <w:r w:rsidR="000706F8" w:rsidRPr="00ED6B2C">
        <w:t>,</w:t>
      </w:r>
      <w:r w:rsidRPr="00ED6B2C">
        <w:t xml:space="preserve"> wordt de </w:t>
      </w:r>
      <w:r w:rsidR="004F31C5" w:rsidRPr="00ED6B2C">
        <w:t>kostenbasis die voor subsidie in aanmerking komt</w:t>
      </w:r>
      <w:r w:rsidRPr="00ED6B2C">
        <w:t xml:space="preserve"> evenredig verminderd volgens volgende formule: 101.000 + X*116.500 euro, waarbij X= gemiddeld aantal VTE</w:t>
      </w:r>
      <w:r w:rsidR="004F31C5" w:rsidRPr="00ED6B2C">
        <w:t>. Hiernaast kan er personeel van de Lichte Structuur ingezet worden op andere projecten, zowel binnen als buiten het gereserveerd</w:t>
      </w:r>
      <w:r w:rsidR="00372626">
        <w:t>e</w:t>
      </w:r>
      <w:r w:rsidR="004F31C5" w:rsidRPr="00ED6B2C">
        <w:t xml:space="preserve"> projectbudget. Evenals voor de cofinanciering vindt de rapportering van de personeelsinzet op projectbasis plaatst. Een totaal overzicht van het aantal </w:t>
      </w:r>
      <w:r w:rsidR="00012CDC">
        <w:t>VTE</w:t>
      </w:r>
      <w:r w:rsidR="00012CDC" w:rsidRPr="00ED6B2C">
        <w:t xml:space="preserve">’s </w:t>
      </w:r>
      <w:r w:rsidR="004F31C5" w:rsidRPr="00ED6B2C">
        <w:t>in dienst van de Lichte Structuur maakt geen onderdeel uit van de rapportering.</w:t>
      </w:r>
    </w:p>
    <w:p w:rsidR="001951BB" w:rsidRPr="00ED6B2C" w:rsidRDefault="001951BB" w:rsidP="00F6635B">
      <w:pPr>
        <w:pStyle w:val="StandaardSV"/>
      </w:pPr>
    </w:p>
    <w:sectPr w:rsidR="001951BB" w:rsidRPr="00ED6B2C" w:rsidSect="00E9697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10E4228B"/>
    <w:multiLevelType w:val="hybridMultilevel"/>
    <w:tmpl w:val="A64E872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4EB2638"/>
    <w:multiLevelType w:val="hybridMultilevel"/>
    <w:tmpl w:val="FDF445A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7C5073E"/>
    <w:multiLevelType w:val="hybridMultilevel"/>
    <w:tmpl w:val="8340B0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F22003D"/>
    <w:multiLevelType w:val="hybridMultilevel"/>
    <w:tmpl w:val="C070076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2E1A671E"/>
    <w:multiLevelType w:val="hybridMultilevel"/>
    <w:tmpl w:val="8BA6FF08"/>
    <w:lvl w:ilvl="0" w:tplc="BB3457E0">
      <w:numFmt w:val="bullet"/>
      <w:lvlText w:val="-"/>
      <w:lvlJc w:val="left"/>
      <w:pPr>
        <w:ind w:left="1068" w:hanging="360"/>
      </w:pPr>
      <w:rPr>
        <w:rFonts w:ascii="Times New Roman" w:eastAsia="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nsid w:val="329946E8"/>
    <w:multiLevelType w:val="hybridMultilevel"/>
    <w:tmpl w:val="D1787BD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4B37BA2"/>
    <w:multiLevelType w:val="hybridMultilevel"/>
    <w:tmpl w:val="8342DD5C"/>
    <w:lvl w:ilvl="0" w:tplc="08130019">
      <w:start w:val="1"/>
      <w:numFmt w:val="lowerLetter"/>
      <w:lvlText w:val="%1."/>
      <w:lvlJc w:val="left"/>
      <w:pPr>
        <w:ind w:left="1440" w:hanging="360"/>
      </w:p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start w:val="1"/>
      <w:numFmt w:val="decimal"/>
      <w:lvlText w:val="%4."/>
      <w:lvlJc w:val="left"/>
      <w:pPr>
        <w:ind w:left="3600" w:hanging="360"/>
      </w:pPr>
    </w:lvl>
    <w:lvl w:ilvl="4" w:tplc="08130019">
      <w:start w:val="1"/>
      <w:numFmt w:val="lowerLetter"/>
      <w:lvlText w:val="%5."/>
      <w:lvlJc w:val="left"/>
      <w:pPr>
        <w:ind w:left="4320" w:hanging="360"/>
      </w:pPr>
    </w:lvl>
    <w:lvl w:ilvl="5" w:tplc="0813001B">
      <w:start w:val="1"/>
      <w:numFmt w:val="lowerRoman"/>
      <w:lvlText w:val="%6."/>
      <w:lvlJc w:val="right"/>
      <w:pPr>
        <w:ind w:left="5040" w:hanging="180"/>
      </w:pPr>
    </w:lvl>
    <w:lvl w:ilvl="6" w:tplc="0813000F">
      <w:start w:val="1"/>
      <w:numFmt w:val="decimal"/>
      <w:lvlText w:val="%7."/>
      <w:lvlJc w:val="left"/>
      <w:pPr>
        <w:ind w:left="5760" w:hanging="360"/>
      </w:pPr>
    </w:lvl>
    <w:lvl w:ilvl="7" w:tplc="08130019">
      <w:start w:val="1"/>
      <w:numFmt w:val="lowerLetter"/>
      <w:lvlText w:val="%8."/>
      <w:lvlJc w:val="left"/>
      <w:pPr>
        <w:ind w:left="6480" w:hanging="360"/>
      </w:pPr>
    </w:lvl>
    <w:lvl w:ilvl="8" w:tplc="0813001B">
      <w:start w:val="1"/>
      <w:numFmt w:val="lowerRoman"/>
      <w:lvlText w:val="%9."/>
      <w:lvlJc w:val="right"/>
      <w:pPr>
        <w:ind w:left="7200" w:hanging="180"/>
      </w:pPr>
    </w:lvl>
  </w:abstractNum>
  <w:abstractNum w:abstractNumId="15">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448F7108"/>
    <w:multiLevelType w:val="hybridMultilevel"/>
    <w:tmpl w:val="13EA66EC"/>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nsid w:val="463644E4"/>
    <w:multiLevelType w:val="hybridMultilevel"/>
    <w:tmpl w:val="ACA82204"/>
    <w:lvl w:ilvl="0" w:tplc="08130011">
      <w:start w:val="1"/>
      <w:numFmt w:val="decimal"/>
      <w:lvlText w:val="%1)"/>
      <w:lvlJc w:val="left"/>
      <w:pPr>
        <w:ind w:left="644"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4A2520B0"/>
    <w:multiLevelType w:val="hybridMultilevel"/>
    <w:tmpl w:val="77C06C08"/>
    <w:lvl w:ilvl="0" w:tplc="0813001B">
      <w:start w:val="1"/>
      <w:numFmt w:val="lowerRoman"/>
      <w:lvlText w:val="%1."/>
      <w:lvlJc w:val="right"/>
      <w:pPr>
        <w:ind w:left="2160" w:hanging="360"/>
      </w:pPr>
    </w:lvl>
    <w:lvl w:ilvl="1" w:tplc="0813001B">
      <w:start w:val="1"/>
      <w:numFmt w:val="lowerRoman"/>
      <w:lvlText w:val="%2."/>
      <w:lvlJc w:val="right"/>
      <w:pPr>
        <w:ind w:left="2880" w:hanging="360"/>
      </w:pPr>
      <w:rPr>
        <w:rFonts w:cs="Times New Roman"/>
      </w:rPr>
    </w:lvl>
    <w:lvl w:ilvl="2" w:tplc="0813001B">
      <w:start w:val="1"/>
      <w:numFmt w:val="lowerRoman"/>
      <w:lvlText w:val="%3."/>
      <w:lvlJc w:val="right"/>
      <w:pPr>
        <w:ind w:left="3600" w:hanging="180"/>
      </w:pPr>
      <w:rPr>
        <w:rFonts w:cs="Times New Roman"/>
      </w:rPr>
    </w:lvl>
    <w:lvl w:ilvl="3" w:tplc="0813000F">
      <w:start w:val="1"/>
      <w:numFmt w:val="decimal"/>
      <w:lvlText w:val="%4."/>
      <w:lvlJc w:val="left"/>
      <w:pPr>
        <w:ind w:left="4320" w:hanging="360"/>
      </w:pPr>
      <w:rPr>
        <w:rFonts w:cs="Times New Roman"/>
      </w:rPr>
    </w:lvl>
    <w:lvl w:ilvl="4" w:tplc="08130019">
      <w:start w:val="1"/>
      <w:numFmt w:val="lowerLetter"/>
      <w:lvlText w:val="%5."/>
      <w:lvlJc w:val="left"/>
      <w:pPr>
        <w:ind w:left="5040" w:hanging="360"/>
      </w:pPr>
      <w:rPr>
        <w:rFonts w:cs="Times New Roman"/>
      </w:rPr>
    </w:lvl>
    <w:lvl w:ilvl="5" w:tplc="0813001B">
      <w:start w:val="1"/>
      <w:numFmt w:val="lowerRoman"/>
      <w:lvlText w:val="%6."/>
      <w:lvlJc w:val="right"/>
      <w:pPr>
        <w:ind w:left="5760" w:hanging="180"/>
      </w:pPr>
      <w:rPr>
        <w:rFonts w:cs="Times New Roman"/>
      </w:rPr>
    </w:lvl>
    <w:lvl w:ilvl="6" w:tplc="0813000F">
      <w:start w:val="1"/>
      <w:numFmt w:val="decimal"/>
      <w:lvlText w:val="%7."/>
      <w:lvlJc w:val="left"/>
      <w:pPr>
        <w:ind w:left="6480" w:hanging="360"/>
      </w:pPr>
      <w:rPr>
        <w:rFonts w:cs="Times New Roman"/>
      </w:rPr>
    </w:lvl>
    <w:lvl w:ilvl="7" w:tplc="08130019">
      <w:start w:val="1"/>
      <w:numFmt w:val="lowerLetter"/>
      <w:lvlText w:val="%8."/>
      <w:lvlJc w:val="left"/>
      <w:pPr>
        <w:ind w:left="7200" w:hanging="360"/>
      </w:pPr>
      <w:rPr>
        <w:rFonts w:cs="Times New Roman"/>
      </w:rPr>
    </w:lvl>
    <w:lvl w:ilvl="8" w:tplc="0813001B">
      <w:start w:val="1"/>
      <w:numFmt w:val="lowerRoman"/>
      <w:lvlText w:val="%9."/>
      <w:lvlJc w:val="right"/>
      <w:pPr>
        <w:ind w:left="7920" w:hanging="180"/>
      </w:pPr>
      <w:rPr>
        <w:rFonts w:cs="Times New Roman"/>
      </w:rPr>
    </w:lvl>
  </w:abstractNum>
  <w:abstractNum w:abstractNumId="19">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502E492A"/>
    <w:multiLevelType w:val="hybridMultilevel"/>
    <w:tmpl w:val="620488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3EC49EF"/>
    <w:multiLevelType w:val="hybridMultilevel"/>
    <w:tmpl w:val="BB5C5B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59D75D5F"/>
    <w:multiLevelType w:val="hybridMultilevel"/>
    <w:tmpl w:val="9F4EF6EA"/>
    <w:lvl w:ilvl="0" w:tplc="08130019">
      <w:start w:val="1"/>
      <w:numFmt w:val="lowerLetter"/>
      <w:lvlText w:val="%1."/>
      <w:lvlJc w:val="left"/>
      <w:pPr>
        <w:ind w:left="1440" w:hanging="360"/>
      </w:pPr>
    </w:lvl>
    <w:lvl w:ilvl="1" w:tplc="0813001B">
      <w:start w:val="1"/>
      <w:numFmt w:val="lowerRoman"/>
      <w:lvlText w:val="%2."/>
      <w:lvlJc w:val="right"/>
      <w:pPr>
        <w:ind w:left="2160" w:hanging="360"/>
      </w:pPr>
      <w:rPr>
        <w:rFonts w:cs="Times New Roman"/>
      </w:rPr>
    </w:lvl>
    <w:lvl w:ilvl="2" w:tplc="0813001B">
      <w:start w:val="1"/>
      <w:numFmt w:val="lowerRoman"/>
      <w:lvlText w:val="%3."/>
      <w:lvlJc w:val="right"/>
      <w:pPr>
        <w:ind w:left="2880" w:hanging="180"/>
      </w:pPr>
      <w:rPr>
        <w:rFonts w:cs="Times New Roman"/>
      </w:rPr>
    </w:lvl>
    <w:lvl w:ilvl="3" w:tplc="0813000F">
      <w:start w:val="1"/>
      <w:numFmt w:val="decimal"/>
      <w:lvlText w:val="%4."/>
      <w:lvlJc w:val="left"/>
      <w:pPr>
        <w:ind w:left="3600" w:hanging="360"/>
      </w:pPr>
      <w:rPr>
        <w:rFonts w:cs="Times New Roman"/>
      </w:rPr>
    </w:lvl>
    <w:lvl w:ilvl="4" w:tplc="08130019">
      <w:start w:val="1"/>
      <w:numFmt w:val="lowerLetter"/>
      <w:lvlText w:val="%5."/>
      <w:lvlJc w:val="left"/>
      <w:pPr>
        <w:ind w:left="4320" w:hanging="360"/>
      </w:pPr>
      <w:rPr>
        <w:rFonts w:cs="Times New Roman"/>
      </w:rPr>
    </w:lvl>
    <w:lvl w:ilvl="5" w:tplc="0813001B">
      <w:start w:val="1"/>
      <w:numFmt w:val="lowerRoman"/>
      <w:lvlText w:val="%6."/>
      <w:lvlJc w:val="right"/>
      <w:pPr>
        <w:ind w:left="5040" w:hanging="180"/>
      </w:pPr>
      <w:rPr>
        <w:rFonts w:cs="Times New Roman"/>
      </w:rPr>
    </w:lvl>
    <w:lvl w:ilvl="6" w:tplc="0813000F">
      <w:start w:val="1"/>
      <w:numFmt w:val="decimal"/>
      <w:lvlText w:val="%7."/>
      <w:lvlJc w:val="left"/>
      <w:pPr>
        <w:ind w:left="5760" w:hanging="360"/>
      </w:pPr>
      <w:rPr>
        <w:rFonts w:cs="Times New Roman"/>
      </w:rPr>
    </w:lvl>
    <w:lvl w:ilvl="7" w:tplc="08130019">
      <w:start w:val="1"/>
      <w:numFmt w:val="lowerLetter"/>
      <w:lvlText w:val="%8."/>
      <w:lvlJc w:val="left"/>
      <w:pPr>
        <w:ind w:left="6480" w:hanging="360"/>
      </w:pPr>
      <w:rPr>
        <w:rFonts w:cs="Times New Roman"/>
      </w:rPr>
    </w:lvl>
    <w:lvl w:ilvl="8" w:tplc="0813001B">
      <w:start w:val="1"/>
      <w:numFmt w:val="lowerRoman"/>
      <w:lvlText w:val="%9."/>
      <w:lvlJc w:val="right"/>
      <w:pPr>
        <w:ind w:left="7200" w:hanging="180"/>
      </w:pPr>
      <w:rPr>
        <w:rFonts w:cs="Times New Roman"/>
      </w:rPr>
    </w:lvl>
  </w:abstractNum>
  <w:abstractNum w:abstractNumId="23">
    <w:nsid w:val="5DD7466C"/>
    <w:multiLevelType w:val="hybridMultilevel"/>
    <w:tmpl w:val="576C37B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5F8078E4"/>
    <w:multiLevelType w:val="hybridMultilevel"/>
    <w:tmpl w:val="0CA687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68857DA7"/>
    <w:multiLevelType w:val="hybridMultilevel"/>
    <w:tmpl w:val="E70E96B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A5D4E7A"/>
    <w:multiLevelType w:val="hybridMultilevel"/>
    <w:tmpl w:val="F7E810E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6EE75F51"/>
    <w:multiLevelType w:val="hybridMultilevel"/>
    <w:tmpl w:val="B560D21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FB46ADC"/>
    <w:multiLevelType w:val="hybridMultilevel"/>
    <w:tmpl w:val="6E54F2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6"/>
  </w:num>
  <w:num w:numId="3">
    <w:abstractNumId w:val="1"/>
  </w:num>
  <w:num w:numId="4">
    <w:abstractNumId w:val="24"/>
  </w:num>
  <w:num w:numId="5">
    <w:abstractNumId w:val="15"/>
  </w:num>
  <w:num w:numId="6">
    <w:abstractNumId w:val="4"/>
  </w:num>
  <w:num w:numId="7">
    <w:abstractNumId w:val="3"/>
  </w:num>
  <w:num w:numId="8">
    <w:abstractNumId w:val="19"/>
  </w:num>
  <w:num w:numId="9">
    <w:abstractNumId w:val="10"/>
  </w:num>
  <w:num w:numId="10">
    <w:abstractNumId w:val="0"/>
  </w:num>
  <w:num w:numId="11">
    <w:abstractNumId w:val="26"/>
  </w:num>
  <w:num w:numId="12">
    <w:abstractNumId w:val="2"/>
  </w:num>
  <w:num w:numId="13">
    <w:abstractNumId w:val="11"/>
  </w:num>
  <w:num w:numId="14">
    <w:abstractNumId w:val="30"/>
  </w:num>
  <w:num w:numId="15">
    <w:abstractNumId w:val="27"/>
  </w:num>
  <w:num w:numId="16">
    <w:abstractNumId w:val="23"/>
  </w:num>
  <w:num w:numId="17">
    <w:abstractNumId w:val="20"/>
  </w:num>
  <w:num w:numId="18">
    <w:abstractNumId w:val="7"/>
  </w:num>
  <w:num w:numId="19">
    <w:abstractNumId w:val="28"/>
  </w:num>
  <w:num w:numId="20">
    <w:abstractNumId w:val="8"/>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5"/>
  </w:num>
  <w:num w:numId="27">
    <w:abstractNumId w:val="13"/>
  </w:num>
  <w:num w:numId="28">
    <w:abstractNumId w:val="1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12CDC"/>
    <w:rsid w:val="000175D8"/>
    <w:rsid w:val="00025FBF"/>
    <w:rsid w:val="000464A2"/>
    <w:rsid w:val="00050748"/>
    <w:rsid w:val="00056680"/>
    <w:rsid w:val="00070064"/>
    <w:rsid w:val="000706F8"/>
    <w:rsid w:val="00071DA4"/>
    <w:rsid w:val="00080040"/>
    <w:rsid w:val="000C6F26"/>
    <w:rsid w:val="000F093A"/>
    <w:rsid w:val="000F22D3"/>
    <w:rsid w:val="00100C44"/>
    <w:rsid w:val="0011726B"/>
    <w:rsid w:val="00126A1D"/>
    <w:rsid w:val="00171F2E"/>
    <w:rsid w:val="00187BFC"/>
    <w:rsid w:val="001951BB"/>
    <w:rsid w:val="001A5299"/>
    <w:rsid w:val="001B03E7"/>
    <w:rsid w:val="001E4BBA"/>
    <w:rsid w:val="00220504"/>
    <w:rsid w:val="0023618B"/>
    <w:rsid w:val="002E2BAD"/>
    <w:rsid w:val="002E3EC1"/>
    <w:rsid w:val="00313A0F"/>
    <w:rsid w:val="003158EA"/>
    <w:rsid w:val="00343A8F"/>
    <w:rsid w:val="00365B6F"/>
    <w:rsid w:val="00372626"/>
    <w:rsid w:val="00387E04"/>
    <w:rsid w:val="003B0E5D"/>
    <w:rsid w:val="004107CA"/>
    <w:rsid w:val="00427E2D"/>
    <w:rsid w:val="004500F9"/>
    <w:rsid w:val="00463909"/>
    <w:rsid w:val="0047613B"/>
    <w:rsid w:val="004967E8"/>
    <w:rsid w:val="004D0818"/>
    <w:rsid w:val="004D0B20"/>
    <w:rsid w:val="004D7979"/>
    <w:rsid w:val="004E314C"/>
    <w:rsid w:val="004F31C5"/>
    <w:rsid w:val="005051B9"/>
    <w:rsid w:val="005165E3"/>
    <w:rsid w:val="0052359C"/>
    <w:rsid w:val="0053007D"/>
    <w:rsid w:val="0055586D"/>
    <w:rsid w:val="0059345F"/>
    <w:rsid w:val="005A0D53"/>
    <w:rsid w:val="005A5DAC"/>
    <w:rsid w:val="005B035E"/>
    <w:rsid w:val="005E1DD7"/>
    <w:rsid w:val="005F107B"/>
    <w:rsid w:val="00604EEF"/>
    <w:rsid w:val="00613148"/>
    <w:rsid w:val="00667CE6"/>
    <w:rsid w:val="00683901"/>
    <w:rsid w:val="00685246"/>
    <w:rsid w:val="00693743"/>
    <w:rsid w:val="006B56E7"/>
    <w:rsid w:val="006C0AC7"/>
    <w:rsid w:val="006F29F5"/>
    <w:rsid w:val="006F49EA"/>
    <w:rsid w:val="00770F3E"/>
    <w:rsid w:val="0077751A"/>
    <w:rsid w:val="0078435B"/>
    <w:rsid w:val="007A089F"/>
    <w:rsid w:val="007A7738"/>
    <w:rsid w:val="007C03C3"/>
    <w:rsid w:val="007D641F"/>
    <w:rsid w:val="007E032A"/>
    <w:rsid w:val="007E2BBA"/>
    <w:rsid w:val="007F756F"/>
    <w:rsid w:val="00807E8B"/>
    <w:rsid w:val="0083747B"/>
    <w:rsid w:val="00842F2E"/>
    <w:rsid w:val="00844521"/>
    <w:rsid w:val="00851F5D"/>
    <w:rsid w:val="0085760E"/>
    <w:rsid w:val="00863FE2"/>
    <w:rsid w:val="0087633E"/>
    <w:rsid w:val="00880DBB"/>
    <w:rsid w:val="00892082"/>
    <w:rsid w:val="008D69FE"/>
    <w:rsid w:val="00941198"/>
    <w:rsid w:val="009864CE"/>
    <w:rsid w:val="009A722D"/>
    <w:rsid w:val="009C170D"/>
    <w:rsid w:val="009F10A6"/>
    <w:rsid w:val="00A507C7"/>
    <w:rsid w:val="00AB109F"/>
    <w:rsid w:val="00AC2862"/>
    <w:rsid w:val="00AD78E8"/>
    <w:rsid w:val="00B6547D"/>
    <w:rsid w:val="00BD07FB"/>
    <w:rsid w:val="00BD44BB"/>
    <w:rsid w:val="00C70FC9"/>
    <w:rsid w:val="00C75C7E"/>
    <w:rsid w:val="00C83D3E"/>
    <w:rsid w:val="00CA2B58"/>
    <w:rsid w:val="00CA59BA"/>
    <w:rsid w:val="00CB2006"/>
    <w:rsid w:val="00CB6928"/>
    <w:rsid w:val="00CC63C8"/>
    <w:rsid w:val="00CF4E65"/>
    <w:rsid w:val="00D56C87"/>
    <w:rsid w:val="00DF6517"/>
    <w:rsid w:val="00E300B8"/>
    <w:rsid w:val="00E96972"/>
    <w:rsid w:val="00EB5950"/>
    <w:rsid w:val="00ED6B2C"/>
    <w:rsid w:val="00EF296F"/>
    <w:rsid w:val="00F141A1"/>
    <w:rsid w:val="00F52CAF"/>
    <w:rsid w:val="00F6635B"/>
    <w:rsid w:val="00F97F4C"/>
    <w:rsid w:val="00FB7264"/>
    <w:rsid w:val="00FC1093"/>
    <w:rsid w:val="00FC489F"/>
    <w:rsid w:val="00FC6C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613148"/>
    <w:rPr>
      <w:rFonts w:ascii="Tahoma" w:hAnsi="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613148"/>
    <w:rPr>
      <w:rFonts w:ascii="Tahoma" w:hAnsi="Tahoma" w:cs="Tahoma"/>
      <w:sz w:val="16"/>
      <w:szCs w:val="16"/>
      <w:lang w:val="nl-NL" w:eastAsia="nl-NL"/>
    </w:rPr>
  </w:style>
  <w:style w:type="paragraph" w:styleId="Lijstalinea">
    <w:name w:val="List Paragraph"/>
    <w:basedOn w:val="Standaard"/>
    <w:uiPriority w:val="34"/>
    <w:qFormat/>
    <w:rsid w:val="005165E3"/>
    <w:pPr>
      <w:spacing w:after="200" w:line="276" w:lineRule="auto"/>
      <w:ind w:left="720"/>
      <w:contextualSpacing/>
    </w:pPr>
    <w:rPr>
      <w:rFonts w:ascii="Calibri" w:eastAsia="Calibri" w:hAnsi="Calibri"/>
      <w:sz w:val="22"/>
      <w:szCs w:val="22"/>
      <w:lang w:val="nl-BE" w:eastAsia="en-US"/>
    </w:rPr>
  </w:style>
  <w:style w:type="paragraph" w:styleId="Normaalweb">
    <w:name w:val="Normal (Web)"/>
    <w:basedOn w:val="Standaard"/>
    <w:uiPriority w:val="99"/>
    <w:unhideWhenUsed/>
    <w:rsid w:val="007A089F"/>
    <w:pPr>
      <w:spacing w:after="240" w:line="312" w:lineRule="auto"/>
    </w:pPr>
    <w:rPr>
      <w:sz w:val="20"/>
      <w:lang w:val="nl-BE" w:eastAsia="nl-BE"/>
    </w:rPr>
  </w:style>
  <w:style w:type="table" w:styleId="Tabelraster">
    <w:name w:val="Table Grid"/>
    <w:basedOn w:val="Standaardtabel"/>
    <w:rsid w:val="00476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rsid w:val="00012CDC"/>
    <w:rPr>
      <w:sz w:val="16"/>
      <w:szCs w:val="16"/>
    </w:rPr>
  </w:style>
  <w:style w:type="paragraph" w:styleId="Tekstopmerking">
    <w:name w:val="annotation text"/>
    <w:basedOn w:val="Standaard"/>
    <w:link w:val="TekstopmerkingChar"/>
    <w:rsid w:val="00012CDC"/>
    <w:rPr>
      <w:sz w:val="20"/>
    </w:rPr>
  </w:style>
  <w:style w:type="character" w:customStyle="1" w:styleId="TekstopmerkingChar">
    <w:name w:val="Tekst opmerking Char"/>
    <w:basedOn w:val="Standaardalinea-lettertype"/>
    <w:link w:val="Tekstopmerking"/>
    <w:rsid w:val="00012CDC"/>
    <w:rPr>
      <w:lang w:val="nl-NL" w:eastAsia="nl-NL"/>
    </w:rPr>
  </w:style>
  <w:style w:type="paragraph" w:styleId="Onderwerpvanopmerking">
    <w:name w:val="annotation subject"/>
    <w:basedOn w:val="Tekstopmerking"/>
    <w:next w:val="Tekstopmerking"/>
    <w:link w:val="OnderwerpvanopmerkingChar"/>
    <w:rsid w:val="00012CDC"/>
    <w:rPr>
      <w:b/>
      <w:bCs/>
    </w:rPr>
  </w:style>
  <w:style w:type="character" w:customStyle="1" w:styleId="OnderwerpvanopmerkingChar">
    <w:name w:val="Onderwerp van opmerking Char"/>
    <w:basedOn w:val="TekstopmerkingChar"/>
    <w:link w:val="Onderwerpvanopmerking"/>
    <w:rsid w:val="00012CDC"/>
    <w:rPr>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613148"/>
    <w:rPr>
      <w:rFonts w:ascii="Tahoma" w:hAnsi="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613148"/>
    <w:rPr>
      <w:rFonts w:ascii="Tahoma" w:hAnsi="Tahoma" w:cs="Tahoma"/>
      <w:sz w:val="16"/>
      <w:szCs w:val="16"/>
      <w:lang w:val="nl-NL" w:eastAsia="nl-NL"/>
    </w:rPr>
  </w:style>
  <w:style w:type="paragraph" w:styleId="Lijstalinea">
    <w:name w:val="List Paragraph"/>
    <w:basedOn w:val="Standaard"/>
    <w:uiPriority w:val="34"/>
    <w:qFormat/>
    <w:rsid w:val="005165E3"/>
    <w:pPr>
      <w:spacing w:after="200" w:line="276" w:lineRule="auto"/>
      <w:ind w:left="720"/>
      <w:contextualSpacing/>
    </w:pPr>
    <w:rPr>
      <w:rFonts w:ascii="Calibri" w:eastAsia="Calibri" w:hAnsi="Calibri"/>
      <w:sz w:val="22"/>
      <w:szCs w:val="22"/>
      <w:lang w:val="nl-BE" w:eastAsia="en-US"/>
    </w:rPr>
  </w:style>
  <w:style w:type="paragraph" w:styleId="Normaalweb">
    <w:name w:val="Normal (Web)"/>
    <w:basedOn w:val="Standaard"/>
    <w:uiPriority w:val="99"/>
    <w:unhideWhenUsed/>
    <w:rsid w:val="007A089F"/>
    <w:pPr>
      <w:spacing w:after="240" w:line="312" w:lineRule="auto"/>
    </w:pPr>
    <w:rPr>
      <w:sz w:val="20"/>
      <w:lang w:val="nl-BE" w:eastAsia="nl-BE"/>
    </w:rPr>
  </w:style>
  <w:style w:type="table" w:styleId="Tabelraster">
    <w:name w:val="Table Grid"/>
    <w:basedOn w:val="Standaardtabel"/>
    <w:rsid w:val="00476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rsid w:val="00012CDC"/>
    <w:rPr>
      <w:sz w:val="16"/>
      <w:szCs w:val="16"/>
    </w:rPr>
  </w:style>
  <w:style w:type="paragraph" w:styleId="Tekstopmerking">
    <w:name w:val="annotation text"/>
    <w:basedOn w:val="Standaard"/>
    <w:link w:val="TekstopmerkingChar"/>
    <w:rsid w:val="00012CDC"/>
    <w:rPr>
      <w:sz w:val="20"/>
    </w:rPr>
  </w:style>
  <w:style w:type="character" w:customStyle="1" w:styleId="TekstopmerkingChar">
    <w:name w:val="Tekst opmerking Char"/>
    <w:basedOn w:val="Standaardalinea-lettertype"/>
    <w:link w:val="Tekstopmerking"/>
    <w:rsid w:val="00012CDC"/>
    <w:rPr>
      <w:lang w:val="nl-NL" w:eastAsia="nl-NL"/>
    </w:rPr>
  </w:style>
  <w:style w:type="paragraph" w:styleId="Onderwerpvanopmerking">
    <w:name w:val="annotation subject"/>
    <w:basedOn w:val="Tekstopmerking"/>
    <w:next w:val="Tekstopmerking"/>
    <w:link w:val="OnderwerpvanopmerkingChar"/>
    <w:rsid w:val="00012CDC"/>
    <w:rPr>
      <w:b/>
      <w:bCs/>
    </w:rPr>
  </w:style>
  <w:style w:type="character" w:customStyle="1" w:styleId="OnderwerpvanopmerkingChar">
    <w:name w:val="Onderwerp van opmerking Char"/>
    <w:basedOn w:val="TekstopmerkingChar"/>
    <w:link w:val="Onderwerpvanopmerking"/>
    <w:rsid w:val="00012CDC"/>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1125">
      <w:bodyDiv w:val="1"/>
      <w:marLeft w:val="0"/>
      <w:marRight w:val="0"/>
      <w:marTop w:val="0"/>
      <w:marBottom w:val="0"/>
      <w:divBdr>
        <w:top w:val="none" w:sz="0" w:space="0" w:color="auto"/>
        <w:left w:val="none" w:sz="0" w:space="0" w:color="auto"/>
        <w:bottom w:val="none" w:sz="0" w:space="0" w:color="auto"/>
        <w:right w:val="none" w:sz="0" w:space="0" w:color="auto"/>
      </w:divBdr>
    </w:div>
    <w:div w:id="89275773">
      <w:bodyDiv w:val="1"/>
      <w:marLeft w:val="0"/>
      <w:marRight w:val="0"/>
      <w:marTop w:val="0"/>
      <w:marBottom w:val="0"/>
      <w:divBdr>
        <w:top w:val="none" w:sz="0" w:space="0" w:color="auto"/>
        <w:left w:val="none" w:sz="0" w:space="0" w:color="auto"/>
        <w:bottom w:val="none" w:sz="0" w:space="0" w:color="auto"/>
        <w:right w:val="none" w:sz="0" w:space="0" w:color="auto"/>
      </w:divBdr>
    </w:div>
    <w:div w:id="248781855">
      <w:bodyDiv w:val="1"/>
      <w:marLeft w:val="0"/>
      <w:marRight w:val="0"/>
      <w:marTop w:val="0"/>
      <w:marBottom w:val="0"/>
      <w:divBdr>
        <w:top w:val="none" w:sz="0" w:space="0" w:color="auto"/>
        <w:left w:val="none" w:sz="0" w:space="0" w:color="auto"/>
        <w:bottom w:val="none" w:sz="0" w:space="0" w:color="auto"/>
        <w:right w:val="none" w:sz="0" w:space="0" w:color="auto"/>
      </w:divBdr>
    </w:div>
    <w:div w:id="264850531">
      <w:bodyDiv w:val="1"/>
      <w:marLeft w:val="0"/>
      <w:marRight w:val="0"/>
      <w:marTop w:val="0"/>
      <w:marBottom w:val="0"/>
      <w:divBdr>
        <w:top w:val="none" w:sz="0" w:space="0" w:color="auto"/>
        <w:left w:val="none" w:sz="0" w:space="0" w:color="auto"/>
        <w:bottom w:val="none" w:sz="0" w:space="0" w:color="auto"/>
        <w:right w:val="none" w:sz="0" w:space="0" w:color="auto"/>
      </w:divBdr>
    </w:div>
    <w:div w:id="757753459">
      <w:bodyDiv w:val="1"/>
      <w:marLeft w:val="0"/>
      <w:marRight w:val="0"/>
      <w:marTop w:val="0"/>
      <w:marBottom w:val="0"/>
      <w:divBdr>
        <w:top w:val="none" w:sz="0" w:space="0" w:color="auto"/>
        <w:left w:val="none" w:sz="0" w:space="0" w:color="auto"/>
        <w:bottom w:val="none" w:sz="0" w:space="0" w:color="auto"/>
        <w:right w:val="none" w:sz="0" w:space="0" w:color="auto"/>
      </w:divBdr>
    </w:div>
    <w:div w:id="835418422">
      <w:bodyDiv w:val="1"/>
      <w:marLeft w:val="0"/>
      <w:marRight w:val="0"/>
      <w:marTop w:val="0"/>
      <w:marBottom w:val="0"/>
      <w:divBdr>
        <w:top w:val="none" w:sz="0" w:space="0" w:color="auto"/>
        <w:left w:val="none" w:sz="0" w:space="0" w:color="auto"/>
        <w:bottom w:val="none" w:sz="0" w:space="0" w:color="auto"/>
        <w:right w:val="none" w:sz="0" w:space="0" w:color="auto"/>
      </w:divBdr>
    </w:div>
    <w:div w:id="868956837">
      <w:bodyDiv w:val="1"/>
      <w:marLeft w:val="0"/>
      <w:marRight w:val="0"/>
      <w:marTop w:val="0"/>
      <w:marBottom w:val="0"/>
      <w:divBdr>
        <w:top w:val="none" w:sz="0" w:space="0" w:color="auto"/>
        <w:left w:val="none" w:sz="0" w:space="0" w:color="auto"/>
        <w:bottom w:val="none" w:sz="0" w:space="0" w:color="auto"/>
        <w:right w:val="none" w:sz="0" w:space="0" w:color="auto"/>
      </w:divBdr>
    </w:div>
    <w:div w:id="1047951780">
      <w:bodyDiv w:val="1"/>
      <w:marLeft w:val="0"/>
      <w:marRight w:val="0"/>
      <w:marTop w:val="0"/>
      <w:marBottom w:val="0"/>
      <w:divBdr>
        <w:top w:val="none" w:sz="0" w:space="0" w:color="auto"/>
        <w:left w:val="none" w:sz="0" w:space="0" w:color="auto"/>
        <w:bottom w:val="none" w:sz="0" w:space="0" w:color="auto"/>
        <w:right w:val="none" w:sz="0" w:space="0" w:color="auto"/>
      </w:divBdr>
    </w:div>
    <w:div w:id="1145045471">
      <w:bodyDiv w:val="1"/>
      <w:marLeft w:val="0"/>
      <w:marRight w:val="0"/>
      <w:marTop w:val="0"/>
      <w:marBottom w:val="0"/>
      <w:divBdr>
        <w:top w:val="none" w:sz="0" w:space="0" w:color="auto"/>
        <w:left w:val="none" w:sz="0" w:space="0" w:color="auto"/>
        <w:bottom w:val="none" w:sz="0" w:space="0" w:color="auto"/>
        <w:right w:val="none" w:sz="0" w:space="0" w:color="auto"/>
      </w:divBdr>
    </w:div>
    <w:div w:id="1234001082">
      <w:bodyDiv w:val="1"/>
      <w:marLeft w:val="0"/>
      <w:marRight w:val="0"/>
      <w:marTop w:val="0"/>
      <w:marBottom w:val="0"/>
      <w:divBdr>
        <w:top w:val="none" w:sz="0" w:space="0" w:color="auto"/>
        <w:left w:val="none" w:sz="0" w:space="0" w:color="auto"/>
        <w:bottom w:val="none" w:sz="0" w:space="0" w:color="auto"/>
        <w:right w:val="none" w:sz="0" w:space="0" w:color="auto"/>
      </w:divBdr>
    </w:div>
    <w:div w:id="1547719420">
      <w:bodyDiv w:val="1"/>
      <w:marLeft w:val="0"/>
      <w:marRight w:val="0"/>
      <w:marTop w:val="0"/>
      <w:marBottom w:val="0"/>
      <w:divBdr>
        <w:top w:val="none" w:sz="0" w:space="0" w:color="auto"/>
        <w:left w:val="none" w:sz="0" w:space="0" w:color="auto"/>
        <w:bottom w:val="none" w:sz="0" w:space="0" w:color="auto"/>
        <w:right w:val="none" w:sz="0" w:space="0" w:color="auto"/>
      </w:divBdr>
    </w:div>
    <w:div w:id="1591618281">
      <w:bodyDiv w:val="1"/>
      <w:marLeft w:val="0"/>
      <w:marRight w:val="0"/>
      <w:marTop w:val="0"/>
      <w:marBottom w:val="0"/>
      <w:divBdr>
        <w:top w:val="none" w:sz="0" w:space="0" w:color="auto"/>
        <w:left w:val="none" w:sz="0" w:space="0" w:color="auto"/>
        <w:bottom w:val="none" w:sz="0" w:space="0" w:color="auto"/>
        <w:right w:val="none" w:sz="0" w:space="0" w:color="auto"/>
      </w:divBdr>
    </w:div>
    <w:div w:id="1717965513">
      <w:bodyDiv w:val="1"/>
      <w:marLeft w:val="0"/>
      <w:marRight w:val="0"/>
      <w:marTop w:val="0"/>
      <w:marBottom w:val="0"/>
      <w:divBdr>
        <w:top w:val="none" w:sz="0" w:space="0" w:color="auto"/>
        <w:left w:val="none" w:sz="0" w:space="0" w:color="auto"/>
        <w:bottom w:val="none" w:sz="0" w:space="0" w:color="auto"/>
        <w:right w:val="none" w:sz="0" w:space="0" w:color="auto"/>
      </w:divBdr>
    </w:div>
    <w:div w:id="1937714125">
      <w:bodyDiv w:val="1"/>
      <w:marLeft w:val="0"/>
      <w:marRight w:val="0"/>
      <w:marTop w:val="0"/>
      <w:marBottom w:val="0"/>
      <w:divBdr>
        <w:top w:val="none" w:sz="0" w:space="0" w:color="auto"/>
        <w:left w:val="none" w:sz="0" w:space="0" w:color="auto"/>
        <w:bottom w:val="none" w:sz="0" w:space="0" w:color="auto"/>
        <w:right w:val="none" w:sz="0" w:space="0" w:color="auto"/>
      </w:divBdr>
    </w:div>
    <w:div w:id="2052532900">
      <w:bodyDiv w:val="1"/>
      <w:marLeft w:val="0"/>
      <w:marRight w:val="0"/>
      <w:marTop w:val="0"/>
      <w:marBottom w:val="0"/>
      <w:divBdr>
        <w:top w:val="none" w:sz="0" w:space="0" w:color="auto"/>
        <w:left w:val="none" w:sz="0" w:space="0" w:color="auto"/>
        <w:bottom w:val="none" w:sz="0" w:space="0" w:color="auto"/>
        <w:right w:val="none" w:sz="0" w:space="0" w:color="auto"/>
      </w:divBdr>
    </w:div>
    <w:div w:id="2112436020">
      <w:bodyDiv w:val="1"/>
      <w:marLeft w:val="0"/>
      <w:marRight w:val="0"/>
      <w:marTop w:val="0"/>
      <w:marBottom w:val="0"/>
      <w:divBdr>
        <w:top w:val="none" w:sz="0" w:space="0" w:color="auto"/>
        <w:left w:val="none" w:sz="0" w:space="0" w:color="auto"/>
        <w:bottom w:val="none" w:sz="0" w:space="0" w:color="auto"/>
        <w:right w:val="none" w:sz="0" w:space="0" w:color="auto"/>
      </w:divBdr>
    </w:div>
    <w:div w:id="211362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1671-A65C-44BC-8631-4BA56AFC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6400</Characters>
  <Application>Microsoft Office Word</Application>
  <DocSecurity>4</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VLAAMS PARLEMENT</vt:lpstr>
      <vt:lpstr>VLAAMS PARLEMENT</vt:lpstr>
    </vt:vector>
  </TitlesOfParts>
  <Company>Vlaams Parlement</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Vlaams Parlement</cp:lastModifiedBy>
  <cp:revision>2</cp:revision>
  <cp:lastPrinted>2013-04-29T14:55:00Z</cp:lastPrinted>
  <dcterms:created xsi:type="dcterms:W3CDTF">2013-04-29T14:55:00Z</dcterms:created>
  <dcterms:modified xsi:type="dcterms:W3CDTF">2013-04-29T14:55:00Z</dcterms:modified>
</cp:coreProperties>
</file>