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CC" w:rsidRDefault="00E02A57" w:rsidP="009A18CC">
      <w:pPr>
        <w:pStyle w:val="A-NaamMinister"/>
      </w:pPr>
      <w:r>
        <w:rPr>
          <w:szCs w:val="22"/>
        </w:rPr>
        <w:t>j</w:t>
      </w:r>
      <w:r>
        <w:rPr>
          <w:noProof/>
          <w:szCs w:val="22"/>
        </w:rPr>
        <w:t>oke schauvliege</w:t>
      </w:r>
    </w:p>
    <w:p w:rsidR="009A18CC" w:rsidRDefault="00E02A57" w:rsidP="009A18CC">
      <w:pPr>
        <w:pStyle w:val="A-TitelMinister"/>
        <w:outlineLvl w:val="0"/>
      </w:pPr>
      <w:r>
        <w:t>vlaams minister van leefmilieu, natuur en cultuur</w:t>
      </w:r>
    </w:p>
    <w:p w:rsidR="009A18CC" w:rsidRDefault="009A18CC">
      <w:pPr>
        <w:rPr>
          <w:szCs w:val="22"/>
        </w:rPr>
      </w:pPr>
    </w:p>
    <w:p w:rsidR="009A18CC" w:rsidRDefault="009A18CC">
      <w:pPr>
        <w:pStyle w:val="A-Lijn"/>
      </w:pPr>
    </w:p>
    <w:p w:rsidR="009A18CC" w:rsidRDefault="009A18CC">
      <w:pPr>
        <w:sectPr w:rsidR="009A18CC">
          <w:pgSz w:w="11905" w:h="16837"/>
          <w:pgMar w:top="1417" w:right="1417" w:bottom="1417" w:left="1417" w:header="708" w:footer="708" w:gutter="0"/>
          <w:cols w:space="708"/>
          <w:rtlGutter/>
          <w:docGrid w:linePitch="360"/>
        </w:sectPr>
      </w:pPr>
    </w:p>
    <w:p w:rsidR="009A18CC" w:rsidRDefault="00E02A57" w:rsidP="009A18CC">
      <w:pPr>
        <w:pStyle w:val="A-Type"/>
        <w:outlineLvl w:val="0"/>
        <w:sectPr w:rsidR="009A18CC">
          <w:type w:val="continuous"/>
          <w:pgSz w:w="11905" w:h="16837"/>
          <w:pgMar w:top="1417" w:right="1417" w:bottom="1417" w:left="1417" w:header="708" w:footer="708" w:gutter="0"/>
          <w:cols w:space="708"/>
          <w:formProt w:val="0"/>
          <w:docGrid w:linePitch="360"/>
        </w:sectPr>
      </w:pPr>
      <w:r>
        <w:lastRenderedPageBreak/>
        <w:t xml:space="preserve">gecoördineerd antwoord </w:t>
      </w:r>
    </w:p>
    <w:p w:rsidR="009A18CC" w:rsidRDefault="00E02A57">
      <w:pPr>
        <w:pStyle w:val="A-Type"/>
      </w:pPr>
      <w:r>
        <w:rPr>
          <w:b w:val="0"/>
          <w:smallCaps w:val="0"/>
        </w:rPr>
        <w:lastRenderedPageBreak/>
        <w:t>op vraag nr.</w:t>
      </w:r>
      <w:r>
        <w:rPr>
          <w:b w:val="0"/>
        </w:rPr>
        <w:t xml:space="preserve"> </w:t>
      </w:r>
      <w:bookmarkStart w:id="0" w:name="Text3"/>
      <w:r w:rsidR="00A60C11">
        <w:fldChar w:fldCharType="begin">
          <w:ffData>
            <w:name w:val="Text3"/>
            <w:enabled/>
            <w:calcOnExit w:val="0"/>
            <w:statusText w:type="text" w:val="Geef het nummer van de schriftelijke vraag waarop dit een antwoord is..."/>
            <w:textInput/>
          </w:ffData>
        </w:fldChar>
      </w:r>
      <w:r>
        <w:instrText xml:space="preserve"> FORMTEXT </w:instrText>
      </w:r>
      <w:r w:rsidR="00A60C11">
        <w:fldChar w:fldCharType="separate"/>
      </w:r>
      <w:r w:rsidR="00A942A6">
        <w:rPr>
          <w:b w:val="0"/>
          <w:noProof/>
        </w:rPr>
        <w:t>385</w:t>
      </w:r>
      <w:r w:rsidR="00A60C11">
        <w:fldChar w:fldCharType="end"/>
      </w:r>
      <w:bookmarkEnd w:id="0"/>
      <w:r>
        <w:rPr>
          <w:b w:val="0"/>
        </w:rPr>
        <w:t xml:space="preserve"> </w:t>
      </w:r>
      <w:r>
        <w:rPr>
          <w:b w:val="0"/>
          <w:smallCaps w:val="0"/>
        </w:rPr>
        <w:t>van</w:t>
      </w:r>
      <w:r>
        <w:rPr>
          <w:b w:val="0"/>
        </w:rPr>
        <w:t xml:space="preserve"> </w:t>
      </w:r>
      <w:bookmarkStart w:id="1" w:name="Text5"/>
      <w:r w:rsidR="00A60C11" w:rsidRPr="000D64E0">
        <w:rPr>
          <w:b w:val="0"/>
        </w:rPr>
        <w:fldChar w:fldCharType="begin">
          <w:ffData>
            <w:name w:val="Text5"/>
            <w:enabled/>
            <w:calcOnExit w:val="0"/>
            <w:statusText w:type="text" w:val="Geef de dag waarop de vraag gesteld werd..."/>
            <w:textInput/>
          </w:ffData>
        </w:fldChar>
      </w:r>
      <w:r w:rsidRPr="000D64E0">
        <w:rPr>
          <w:b w:val="0"/>
        </w:rPr>
        <w:instrText xml:space="preserve"> FORMTEXT </w:instrText>
      </w:r>
      <w:r w:rsidR="00A60C11" w:rsidRPr="000D64E0">
        <w:rPr>
          <w:b w:val="0"/>
        </w:rPr>
      </w:r>
      <w:r w:rsidR="00A60C11" w:rsidRPr="000D64E0">
        <w:rPr>
          <w:b w:val="0"/>
        </w:rPr>
        <w:fldChar w:fldCharType="separate"/>
      </w:r>
      <w:r w:rsidR="00A942A6" w:rsidRPr="000D64E0">
        <w:rPr>
          <w:b w:val="0"/>
        </w:rPr>
        <w:t>7</w:t>
      </w:r>
      <w:r w:rsidR="00A60C11" w:rsidRPr="000D64E0">
        <w:rPr>
          <w:b w:val="0"/>
        </w:rPr>
        <w:fldChar w:fldCharType="end"/>
      </w:r>
      <w:bookmarkEnd w:id="1"/>
      <w:r>
        <w:rPr>
          <w:b w:val="0"/>
        </w:rPr>
        <w:t xml:space="preserve"> </w:t>
      </w:r>
      <w:bookmarkStart w:id="2" w:name="Dropdown2"/>
      <w:r w:rsidR="00A60C11" w:rsidRPr="00692F4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A60C11" w:rsidRPr="00692F44">
        <w:rPr>
          <w:b w:val="0"/>
          <w:smallCaps w:val="0"/>
        </w:rPr>
      </w:r>
      <w:r w:rsidR="00A60C11" w:rsidRPr="00692F44">
        <w:rPr>
          <w:b w:val="0"/>
          <w:smallCaps w:val="0"/>
        </w:rPr>
        <w:fldChar w:fldCharType="end"/>
      </w:r>
      <w:bookmarkEnd w:id="2"/>
      <w:r>
        <w:rPr>
          <w:b w:val="0"/>
        </w:rPr>
        <w:t xml:space="preserve"> </w:t>
      </w:r>
      <w:bookmarkStart w:id="3" w:name="Dropdown3"/>
      <w:r w:rsidR="00A60C11"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A60C11" w:rsidRPr="00692F44">
        <w:rPr>
          <w:b w:val="0"/>
          <w:smallCaps w:val="0"/>
        </w:rPr>
      </w:r>
      <w:r w:rsidR="00A60C11" w:rsidRPr="00692F44">
        <w:rPr>
          <w:b w:val="0"/>
          <w:smallCaps w:val="0"/>
        </w:rPr>
        <w:fldChar w:fldCharType="end"/>
      </w:r>
      <w:bookmarkEnd w:id="3"/>
    </w:p>
    <w:p w:rsidR="009A18CC" w:rsidRDefault="00E02A57">
      <w:pPr>
        <w:rPr>
          <w:szCs w:val="22"/>
        </w:rPr>
      </w:pPr>
      <w:r>
        <w:rPr>
          <w:szCs w:val="22"/>
        </w:rPr>
        <w:t xml:space="preserve">van </w:t>
      </w:r>
      <w:r w:rsidR="00A60C11"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A60C11" w:rsidRPr="00692F44">
        <w:rPr>
          <w:b/>
          <w:smallCaps/>
        </w:rPr>
      </w:r>
      <w:r w:rsidR="00A60C11" w:rsidRPr="00692F44">
        <w:rPr>
          <w:b/>
          <w:smallCaps/>
        </w:rPr>
        <w:fldChar w:fldCharType="separate"/>
      </w:r>
      <w:proofErr w:type="spellStart"/>
      <w:r w:rsidR="000D64E0">
        <w:rPr>
          <w:b/>
          <w:smallCaps/>
        </w:rPr>
        <w:t>a</w:t>
      </w:r>
      <w:r w:rsidR="00A942A6">
        <w:rPr>
          <w:b/>
          <w:smallCaps/>
        </w:rPr>
        <w:t>nnick</w:t>
      </w:r>
      <w:proofErr w:type="spellEnd"/>
      <w:r w:rsidR="00A942A6">
        <w:rPr>
          <w:b/>
          <w:smallCaps/>
        </w:rPr>
        <w:t xml:space="preserve"> de ridder</w:t>
      </w:r>
      <w:r w:rsidR="00A60C11" w:rsidRPr="00692F44">
        <w:rPr>
          <w:b/>
          <w:smallCaps/>
        </w:rPr>
        <w:fldChar w:fldCharType="end"/>
      </w:r>
    </w:p>
    <w:p w:rsidR="009A18CC" w:rsidRDefault="009A18CC">
      <w:pPr>
        <w:rPr>
          <w:szCs w:val="22"/>
        </w:rPr>
      </w:pPr>
    </w:p>
    <w:p w:rsidR="009A18CC" w:rsidRDefault="009A18CC" w:rsidP="009A18CC">
      <w:pPr>
        <w:pStyle w:val="A-Lijn"/>
        <w:jc w:val="both"/>
      </w:pPr>
    </w:p>
    <w:p w:rsidR="000077A2" w:rsidRPr="000D64E0" w:rsidRDefault="000077A2" w:rsidP="001A14E5">
      <w:pPr>
        <w:ind w:left="705" w:hanging="705"/>
        <w:jc w:val="both"/>
        <w:rPr>
          <w:szCs w:val="22"/>
        </w:rPr>
      </w:pPr>
    </w:p>
    <w:p w:rsidR="001A14E5" w:rsidRDefault="001A14E5" w:rsidP="000D64E0">
      <w:pPr>
        <w:numPr>
          <w:ilvl w:val="0"/>
          <w:numId w:val="3"/>
        </w:numPr>
        <w:suppressAutoHyphens w:val="0"/>
        <w:ind w:left="360"/>
        <w:jc w:val="both"/>
        <w:rPr>
          <w:szCs w:val="20"/>
          <w:lang w:eastAsia="nl-NL"/>
        </w:rPr>
      </w:pPr>
      <w:r>
        <w:rPr>
          <w:szCs w:val="22"/>
        </w:rPr>
        <w:t>D</w:t>
      </w:r>
      <w:r w:rsidRPr="001A14E5">
        <w:rPr>
          <w:szCs w:val="22"/>
        </w:rPr>
        <w:t>e stad Antwerpen draagt, als inrichtende macht, de verantwoordelijkheid voor het gebouw aan de Belgiëlei en het bijhorende patrimonium. Aan het Samenwerkingsverband Kunstmusea Antwerpen, waarvan de collectie Smidt van Gelder</w:t>
      </w:r>
      <w:r w:rsidRPr="001A14E5">
        <w:rPr>
          <w:i/>
          <w:szCs w:val="22"/>
        </w:rPr>
        <w:t xml:space="preserve"> </w:t>
      </w:r>
      <w:r w:rsidRPr="001A14E5">
        <w:rPr>
          <w:szCs w:val="22"/>
        </w:rPr>
        <w:t>deel uitmaakt (naast het Rubenshuis, het Rubenianum en het Museum Mayer van den Bergh), wordt op basis van het Cultureel-erfgoeddecreet een jaarlijkse subsidie toegekend ter ondersteuning van de personeel</w:t>
      </w:r>
      <w:r w:rsidR="0014578D">
        <w:rPr>
          <w:szCs w:val="22"/>
        </w:rPr>
        <w:t>s</w:t>
      </w:r>
      <w:r w:rsidRPr="001A14E5">
        <w:rPr>
          <w:szCs w:val="22"/>
        </w:rPr>
        <w:t xml:space="preserve">- en werkingskosten (beleidsperiode 2009-2013). De collectie Smidt van Gelder op een structurele manier integreren in de werking van het samenwerkingsverband is één van de doelstellingen </w:t>
      </w:r>
      <w:r w:rsidR="007D4935">
        <w:rPr>
          <w:szCs w:val="22"/>
        </w:rPr>
        <w:t>die</w:t>
      </w:r>
      <w:r w:rsidRPr="001A14E5">
        <w:rPr>
          <w:szCs w:val="22"/>
        </w:rPr>
        <w:t xml:space="preserve"> in de beheersovereenkomst </w:t>
      </w:r>
      <w:r w:rsidR="007D4935">
        <w:rPr>
          <w:szCs w:val="22"/>
        </w:rPr>
        <w:t xml:space="preserve">werd </w:t>
      </w:r>
      <w:r w:rsidRPr="001A14E5">
        <w:rPr>
          <w:szCs w:val="22"/>
        </w:rPr>
        <w:t>opgenomen</w:t>
      </w:r>
      <w:r w:rsidR="008C50C7">
        <w:rPr>
          <w:szCs w:val="22"/>
        </w:rPr>
        <w:t>,</w:t>
      </w:r>
      <w:r w:rsidRPr="001A14E5">
        <w:rPr>
          <w:szCs w:val="22"/>
        </w:rPr>
        <w:t xml:space="preserve"> vanuit een bezorgdheid </w:t>
      </w:r>
      <w:r w:rsidR="007D4935">
        <w:rPr>
          <w:szCs w:val="22"/>
        </w:rPr>
        <w:t>over</w:t>
      </w:r>
      <w:r w:rsidR="007D4935" w:rsidRPr="001A14E5">
        <w:rPr>
          <w:szCs w:val="22"/>
        </w:rPr>
        <w:t xml:space="preserve"> </w:t>
      </w:r>
      <w:r w:rsidRPr="001A14E5">
        <w:rPr>
          <w:szCs w:val="22"/>
        </w:rPr>
        <w:t xml:space="preserve">de collectie Smidt van Gelder. </w:t>
      </w:r>
    </w:p>
    <w:p w:rsidR="001A14E5" w:rsidRDefault="001A14E5" w:rsidP="001A14E5">
      <w:pPr>
        <w:suppressAutoHyphens w:val="0"/>
        <w:ind w:left="360"/>
        <w:jc w:val="both"/>
        <w:rPr>
          <w:szCs w:val="20"/>
          <w:lang w:val="nl-BE" w:eastAsia="nl-NL"/>
        </w:rPr>
      </w:pPr>
      <w:r w:rsidRPr="001A14E5">
        <w:rPr>
          <w:szCs w:val="22"/>
        </w:rPr>
        <w:t xml:space="preserve">Het agentschap Kunsten en </w:t>
      </w:r>
      <w:r w:rsidR="0069779C">
        <w:rPr>
          <w:szCs w:val="22"/>
        </w:rPr>
        <w:t>E</w:t>
      </w:r>
      <w:r w:rsidRPr="001A14E5">
        <w:rPr>
          <w:szCs w:val="22"/>
        </w:rPr>
        <w:t xml:space="preserve">rfgoed stelde tijdens de evaluatie van de werking van het samenwerkingsverband vast dat deze doelstelling tot </w:t>
      </w:r>
      <w:r w:rsidR="008C50C7">
        <w:rPr>
          <w:szCs w:val="22"/>
        </w:rPr>
        <w:t>nu</w:t>
      </w:r>
      <w:r w:rsidRPr="001A14E5">
        <w:rPr>
          <w:szCs w:val="22"/>
        </w:rPr>
        <w:t xml:space="preserve"> toe niet werd gerealiseerd (evaluatie uitgevoerd in augustus 2012). </w:t>
      </w:r>
      <w:r w:rsidRPr="001A14E5">
        <w:rPr>
          <w:bCs/>
          <w:iCs/>
          <w:szCs w:val="22"/>
          <w:lang w:val="nl-BE"/>
        </w:rPr>
        <w:t xml:space="preserve">De collectie </w:t>
      </w:r>
      <w:r w:rsidR="0069779C">
        <w:rPr>
          <w:bCs/>
          <w:iCs/>
          <w:szCs w:val="22"/>
          <w:lang w:val="nl-BE"/>
        </w:rPr>
        <w:t xml:space="preserve">werd </w:t>
      </w:r>
      <w:r w:rsidRPr="001A14E5">
        <w:rPr>
          <w:bCs/>
          <w:iCs/>
          <w:szCs w:val="22"/>
          <w:lang w:val="nl-BE"/>
        </w:rPr>
        <w:t xml:space="preserve">in beheer gegeven van de overkoepelende dienst Collectiebeleid-Behoud en Beheer van Musea en Erfgoed Antwerpen. Dit werd, in afwachting van een definitieve beslissing van het stadsbestuur omtrent het museumgebouw, als een te verdedigen beleidskeuze geëvalueerd. De collectie is immers integraal ondergebracht in het centrale depot Luchtbal waar </w:t>
      </w:r>
      <w:r w:rsidR="007D4935">
        <w:rPr>
          <w:bCs/>
          <w:iCs/>
          <w:szCs w:val="22"/>
          <w:lang w:val="nl-BE"/>
        </w:rPr>
        <w:t>ze</w:t>
      </w:r>
      <w:r w:rsidRPr="001A14E5">
        <w:rPr>
          <w:bCs/>
          <w:iCs/>
          <w:szCs w:val="22"/>
          <w:lang w:val="nl-BE"/>
        </w:rPr>
        <w:t xml:space="preserve"> in voldoende correcte behoud- en beheeromstandigheden wordt bewaard, de basisregistratie werd vervolmaakt en delen van de collectie worden ontsloten via collectiepresentaties van andere erfgoedinstellingen (Rubenshuis, Museum Mayer van den Bergh, Kasteel van Gaasbeek, het Vleeshuis, Kasteel d’Ursel, etc.).</w:t>
      </w:r>
    </w:p>
    <w:p w:rsidR="001A14E5" w:rsidRPr="001A14E5" w:rsidRDefault="001A14E5" w:rsidP="001A14E5">
      <w:pPr>
        <w:suppressAutoHyphens w:val="0"/>
        <w:ind w:left="360"/>
        <w:jc w:val="both"/>
        <w:rPr>
          <w:szCs w:val="20"/>
          <w:lang w:eastAsia="nl-NL"/>
        </w:rPr>
      </w:pPr>
      <w:r>
        <w:rPr>
          <w:szCs w:val="22"/>
        </w:rPr>
        <w:t xml:space="preserve">De </w:t>
      </w:r>
      <w:r w:rsidRPr="001A14E5">
        <w:rPr>
          <w:szCs w:val="22"/>
        </w:rPr>
        <w:t xml:space="preserve">aanvraag van het </w:t>
      </w:r>
      <w:r w:rsidR="004C06A0">
        <w:rPr>
          <w:szCs w:val="22"/>
        </w:rPr>
        <w:t>S</w:t>
      </w:r>
      <w:r w:rsidRPr="001A14E5">
        <w:rPr>
          <w:szCs w:val="22"/>
        </w:rPr>
        <w:t>amenwerkingsverband Kunstmusea Antwerpen</w:t>
      </w:r>
      <w:r>
        <w:rPr>
          <w:szCs w:val="22"/>
        </w:rPr>
        <w:t xml:space="preserve"> voor een volgende beleidsperiode (2014-2018)</w:t>
      </w:r>
      <w:r w:rsidR="0014578D">
        <w:rPr>
          <w:szCs w:val="22"/>
        </w:rPr>
        <w:t xml:space="preserve"> wordt verwacht tegen</w:t>
      </w:r>
      <w:r w:rsidRPr="001A14E5">
        <w:rPr>
          <w:szCs w:val="22"/>
        </w:rPr>
        <w:t xml:space="preserve"> 1 april 2013. Voor de  erkenning van musea zijn de eigendoms- of genotsrechten over de collectie één van de criteria die worden getoetst. Het Cultureel-erfgoeddecreet gaat er namelijk van uit dat voor een kwaliteitsvolle werking van musea een zekere continuïteit in eigendoms- of genotsrechten over de collectie een belangrijk gegeven is. Bij de beoordeling van de nieuwe aanvraag zal de recente beslissing van de Stad Antwerpen omtrent de collectie en het gebouw meegenomen worden in zoverre het een rol speelt bij de toetsing van de decretaal vastgelegde criteria voor indeling op het Vlaamse niveau en subsidiëring. Voor deze beoordeling steun ik op het advies dat de beoordelingscommissie Collectiebeherende cultureel-erfgoedorganisaties zal formuleren. </w:t>
      </w:r>
    </w:p>
    <w:p w:rsidR="001A14E5" w:rsidRPr="001A14E5" w:rsidRDefault="001A14E5" w:rsidP="001A14E5">
      <w:pPr>
        <w:pStyle w:val="Lijstalinea"/>
        <w:suppressAutoHyphens w:val="0"/>
        <w:jc w:val="both"/>
        <w:rPr>
          <w:szCs w:val="20"/>
          <w:lang w:eastAsia="nl-NL"/>
        </w:rPr>
      </w:pPr>
    </w:p>
    <w:p w:rsidR="001A14E5" w:rsidRDefault="001A14E5" w:rsidP="000D64E0">
      <w:pPr>
        <w:numPr>
          <w:ilvl w:val="0"/>
          <w:numId w:val="3"/>
        </w:numPr>
        <w:suppressAutoHyphens w:val="0"/>
        <w:ind w:left="360"/>
        <w:jc w:val="both"/>
        <w:rPr>
          <w:szCs w:val="20"/>
          <w:lang w:eastAsia="nl-NL"/>
        </w:rPr>
      </w:pPr>
      <w:r w:rsidRPr="001A14E5">
        <w:rPr>
          <w:szCs w:val="20"/>
          <w:lang w:eastAsia="nl-NL"/>
        </w:rPr>
        <w:t>Een gepaste bestemming is een evidente randvoorwaarde voor de invulling van beschermde monumenten. Leegstand leidt doorgaans tot verval en maakt instandhouding moeilijk. Het behoud van de oorspronkelijke bestemming is in de regel de beste optie, maar indien het oorspronkelijk gebruik niet meer mogelijk is, dient een nieuwe bestemming gezocht te worden die de erfgoedwaarde van het monument maximaal respecteert en vrijwaart.</w:t>
      </w:r>
    </w:p>
    <w:p w:rsidR="001A14E5" w:rsidRDefault="001A14E5" w:rsidP="001A14E5">
      <w:pPr>
        <w:suppressAutoHyphens w:val="0"/>
        <w:ind w:left="360"/>
        <w:jc w:val="both"/>
        <w:rPr>
          <w:szCs w:val="20"/>
          <w:lang w:eastAsia="nl-NL"/>
        </w:rPr>
      </w:pPr>
      <w:r w:rsidRPr="001A14E5">
        <w:rPr>
          <w:szCs w:val="20"/>
          <w:lang w:eastAsia="nl-NL"/>
        </w:rPr>
        <w:t xml:space="preserve">Het herbestemmen van onroerend erfgoed is in de hedendaagse erfgoedzorg een veel voorkomende opdracht, waarbij de balans tussen de doelstellingen vanuit onroerend erfgoed en die vanuit het nieuwe gebruik moet gevonden worden.  </w:t>
      </w:r>
    </w:p>
    <w:p w:rsidR="001A14E5" w:rsidRDefault="001A14E5" w:rsidP="001A14E5">
      <w:pPr>
        <w:suppressAutoHyphens w:val="0"/>
        <w:ind w:left="360"/>
        <w:jc w:val="both"/>
        <w:rPr>
          <w:szCs w:val="20"/>
          <w:lang w:eastAsia="nl-NL"/>
        </w:rPr>
      </w:pPr>
      <w:r w:rsidRPr="001A14E5">
        <w:rPr>
          <w:szCs w:val="20"/>
          <w:lang w:eastAsia="nl-NL"/>
        </w:rPr>
        <w:t xml:space="preserve">Indien vandaag blijkt dat het hernemen van de museale functie niet meer haalbaar of wenselijk is, spreekt het voor zich dat gezocht moet worden naar een nieuwe bestemming. Welke bestemming, gebruik of medegebruik geschikt is voor een beschermd goed, hangt af van de bestaande erfgoedwaarden, in dit geval de architectuurhistorische en artistieke waarde van het belle-époque hotel, de historische interieurs en tuinaanleg. De gebruiksmogelijkheden zullen ook worden afgewogen ten opzichte van de fysieke draagkracht van het gebouw en de tuin. Een degelijk inzicht in het beschermd onroerend erfgoed is dus noodzakelijk om tot een duurzaam </w:t>
      </w:r>
      <w:r w:rsidRPr="001A14E5">
        <w:rPr>
          <w:szCs w:val="20"/>
          <w:lang w:eastAsia="nl-NL"/>
        </w:rPr>
        <w:lastRenderedPageBreak/>
        <w:t xml:space="preserve">ontwikkelingsconcept te kunnen komen. Kantoren, horeca, commerciële inrichtingen of een combinatie van verschillende functies zijn mogelijk voor zover kan </w:t>
      </w:r>
      <w:r w:rsidR="008C50C7" w:rsidRPr="001A14E5">
        <w:rPr>
          <w:szCs w:val="20"/>
          <w:lang w:eastAsia="nl-NL"/>
        </w:rPr>
        <w:t xml:space="preserve">worden </w:t>
      </w:r>
      <w:r w:rsidRPr="001A14E5">
        <w:rPr>
          <w:szCs w:val="20"/>
          <w:lang w:eastAsia="nl-NL"/>
        </w:rPr>
        <w:t xml:space="preserve">aangetoond dat de programma’s de aanwezige erfgoedwaarden kunnen respecteren of valoriseren. Het agentschap Onroerend Erfgoed zal hierin begeleiden en zijn expertise ter beschikking stellen. </w:t>
      </w:r>
      <w:r w:rsidRPr="001A14E5">
        <w:rPr>
          <w:szCs w:val="20"/>
          <w:lang w:eastAsia="nl-NL"/>
        </w:rPr>
        <w:br/>
        <w:t>Daarnaast worden herbestemmingen uiteraard getoetst aan de wet- en regelgeving van andere sectoren zoals ruimtelijke ordening, brandveiligheid, mobiliteit,…</w:t>
      </w:r>
    </w:p>
    <w:p w:rsidR="001A14E5" w:rsidRPr="001A14E5" w:rsidRDefault="001A14E5" w:rsidP="001A14E5">
      <w:pPr>
        <w:suppressAutoHyphens w:val="0"/>
        <w:ind w:left="360"/>
        <w:jc w:val="both"/>
        <w:rPr>
          <w:szCs w:val="20"/>
          <w:lang w:eastAsia="nl-NL"/>
        </w:rPr>
      </w:pPr>
    </w:p>
    <w:p w:rsidR="001A14E5" w:rsidRPr="00EE4B54" w:rsidRDefault="001A14E5" w:rsidP="000D64E0">
      <w:pPr>
        <w:numPr>
          <w:ilvl w:val="0"/>
          <w:numId w:val="3"/>
        </w:numPr>
        <w:suppressAutoHyphens w:val="0"/>
        <w:ind w:left="360"/>
        <w:jc w:val="both"/>
        <w:rPr>
          <w:szCs w:val="20"/>
          <w:lang w:eastAsia="nl-NL"/>
        </w:rPr>
      </w:pPr>
      <w:r w:rsidRPr="000077A2">
        <w:rPr>
          <w:szCs w:val="20"/>
          <w:lang w:eastAsia="nl-NL"/>
        </w:rPr>
        <w:t>E</w:t>
      </w:r>
      <w:r w:rsidRPr="000077A2">
        <w:rPr>
          <w:lang w:eastAsia="nl-NL"/>
        </w:rPr>
        <w:t xml:space="preserve">r werden nog geen premies voor onderhoud of restauratie aangevraagd of toegekend </w:t>
      </w:r>
      <w:r>
        <w:rPr>
          <w:lang w:eastAsia="nl-NL"/>
        </w:rPr>
        <w:t xml:space="preserve">voor het museum Smidt </w:t>
      </w:r>
      <w:r w:rsidRPr="000077A2">
        <w:rPr>
          <w:lang w:eastAsia="nl-NL"/>
        </w:rPr>
        <w:t>Van Gelder</w:t>
      </w:r>
      <w:r w:rsidR="00EE4B54">
        <w:rPr>
          <w:lang w:eastAsia="nl-NL"/>
        </w:rPr>
        <w:t>.</w:t>
      </w:r>
    </w:p>
    <w:p w:rsidR="001A14E5" w:rsidRDefault="001A14E5" w:rsidP="001A14E5">
      <w:pPr>
        <w:suppressAutoHyphens w:val="0"/>
        <w:ind w:left="360"/>
        <w:jc w:val="both"/>
        <w:rPr>
          <w:szCs w:val="22"/>
        </w:rPr>
      </w:pPr>
      <w:r w:rsidRPr="001A14E5">
        <w:rPr>
          <w:szCs w:val="22"/>
        </w:rPr>
        <w:t xml:space="preserve">Op basis van het Museumdecreet, het Erfgoeddecreet en het Cultureel-erfgoeddecreet werd het Samenwerkingsverband Kunstmusea Antwerpen gesubsidieerd als landelijk ingedeeld museum. Het is </w:t>
      </w:r>
      <w:r w:rsidR="00EE4B54">
        <w:rPr>
          <w:szCs w:val="22"/>
        </w:rPr>
        <w:t>echter</w:t>
      </w:r>
      <w:r w:rsidRPr="001A14E5">
        <w:rPr>
          <w:szCs w:val="22"/>
        </w:rPr>
        <w:t xml:space="preserve"> niet het museum Smidt van Gelder dat wordt gesubsidieerd, wel het Samenwerkingsverband waarvan het deel uitmaakt. </w:t>
      </w:r>
    </w:p>
    <w:p w:rsidR="000D64E0" w:rsidRPr="001A14E5" w:rsidRDefault="000D64E0" w:rsidP="001A14E5">
      <w:pPr>
        <w:suppressAutoHyphens w:val="0"/>
        <w:ind w:left="360"/>
        <w:jc w:val="both"/>
        <w:rPr>
          <w:szCs w:val="20"/>
          <w:lang w:eastAsia="nl-NL"/>
        </w:rPr>
      </w:pPr>
    </w:p>
    <w:tbl>
      <w:tblPr>
        <w:tblStyle w:val="Tabelraster"/>
        <w:tblpPr w:leftFromText="141" w:rightFromText="141" w:vertAnchor="text" w:horzAnchor="margin" w:tblpXSpec="right" w:tblpY="80"/>
        <w:tblW w:w="0" w:type="auto"/>
        <w:tblLook w:val="04A0" w:firstRow="1" w:lastRow="0" w:firstColumn="1" w:lastColumn="0" w:noHBand="0" w:noVBand="1"/>
      </w:tblPr>
      <w:tblGrid>
        <w:gridCol w:w="4295"/>
        <w:gridCol w:w="4272"/>
      </w:tblGrid>
      <w:tr w:rsidR="001A14E5" w:rsidTr="008C50C7">
        <w:tc>
          <w:tcPr>
            <w:tcW w:w="4295" w:type="dxa"/>
          </w:tcPr>
          <w:p w:rsidR="001A14E5" w:rsidRPr="00D527A4" w:rsidRDefault="001A14E5" w:rsidP="008C50C7">
            <w:pPr>
              <w:pStyle w:val="Lijstalinea"/>
              <w:ind w:left="0"/>
              <w:jc w:val="both"/>
              <w:rPr>
                <w:b/>
                <w:szCs w:val="22"/>
              </w:rPr>
            </w:pPr>
            <w:r w:rsidRPr="00D527A4">
              <w:rPr>
                <w:b/>
                <w:szCs w:val="22"/>
              </w:rPr>
              <w:t>Beleidsperiode</w:t>
            </w:r>
          </w:p>
        </w:tc>
        <w:tc>
          <w:tcPr>
            <w:tcW w:w="4272" w:type="dxa"/>
          </w:tcPr>
          <w:p w:rsidR="001A14E5" w:rsidRPr="00D527A4" w:rsidRDefault="001A14E5" w:rsidP="008C50C7">
            <w:pPr>
              <w:pStyle w:val="Lijstalinea"/>
              <w:ind w:left="0"/>
              <w:jc w:val="both"/>
              <w:rPr>
                <w:b/>
                <w:szCs w:val="22"/>
              </w:rPr>
            </w:pPr>
            <w:r w:rsidRPr="00D527A4">
              <w:rPr>
                <w:b/>
                <w:szCs w:val="22"/>
              </w:rPr>
              <w:t>Toegekend</w:t>
            </w:r>
            <w:r>
              <w:rPr>
                <w:b/>
                <w:szCs w:val="22"/>
              </w:rPr>
              <w:t xml:space="preserve"> subsidie</w:t>
            </w:r>
          </w:p>
        </w:tc>
      </w:tr>
      <w:tr w:rsidR="001A14E5" w:rsidTr="008C50C7">
        <w:tc>
          <w:tcPr>
            <w:tcW w:w="4295" w:type="dxa"/>
          </w:tcPr>
          <w:p w:rsidR="001A14E5" w:rsidRDefault="001A14E5" w:rsidP="008C50C7">
            <w:pPr>
              <w:pStyle w:val="Lijstalinea"/>
              <w:ind w:left="0"/>
              <w:jc w:val="both"/>
              <w:rPr>
                <w:szCs w:val="22"/>
              </w:rPr>
            </w:pPr>
            <w:r>
              <w:rPr>
                <w:szCs w:val="22"/>
              </w:rPr>
              <w:t>2009-2013</w:t>
            </w:r>
          </w:p>
        </w:tc>
        <w:tc>
          <w:tcPr>
            <w:tcW w:w="4272" w:type="dxa"/>
          </w:tcPr>
          <w:p w:rsidR="001A14E5" w:rsidRDefault="001A14E5" w:rsidP="008C50C7">
            <w:pPr>
              <w:pStyle w:val="Lijstalinea"/>
              <w:ind w:left="0"/>
              <w:jc w:val="both"/>
              <w:rPr>
                <w:szCs w:val="22"/>
              </w:rPr>
            </w:pPr>
            <w:r>
              <w:rPr>
                <w:szCs w:val="22"/>
              </w:rPr>
              <w:t>400.000 EUR</w:t>
            </w:r>
          </w:p>
        </w:tc>
      </w:tr>
      <w:tr w:rsidR="001A14E5" w:rsidTr="008C50C7">
        <w:tc>
          <w:tcPr>
            <w:tcW w:w="4295" w:type="dxa"/>
          </w:tcPr>
          <w:p w:rsidR="001A14E5" w:rsidRDefault="001A14E5" w:rsidP="008C50C7">
            <w:pPr>
              <w:pStyle w:val="Lijstalinea"/>
              <w:ind w:left="0"/>
              <w:jc w:val="both"/>
              <w:rPr>
                <w:szCs w:val="22"/>
              </w:rPr>
            </w:pPr>
            <w:r>
              <w:rPr>
                <w:szCs w:val="22"/>
              </w:rPr>
              <w:t>2004-2008</w:t>
            </w:r>
          </w:p>
        </w:tc>
        <w:tc>
          <w:tcPr>
            <w:tcW w:w="4272" w:type="dxa"/>
          </w:tcPr>
          <w:p w:rsidR="001A14E5" w:rsidRPr="009E231D" w:rsidRDefault="001A14E5" w:rsidP="008C50C7">
            <w:pPr>
              <w:jc w:val="both"/>
              <w:rPr>
                <w:szCs w:val="22"/>
              </w:rPr>
            </w:pPr>
            <w:r>
              <w:rPr>
                <w:szCs w:val="22"/>
              </w:rPr>
              <w:t>250.000 EUR</w:t>
            </w:r>
          </w:p>
        </w:tc>
      </w:tr>
      <w:tr w:rsidR="001A14E5" w:rsidTr="008C50C7">
        <w:tc>
          <w:tcPr>
            <w:tcW w:w="4295" w:type="dxa"/>
          </w:tcPr>
          <w:p w:rsidR="001A14E5" w:rsidRDefault="001A14E5" w:rsidP="008C50C7">
            <w:pPr>
              <w:pStyle w:val="Lijstalinea"/>
              <w:ind w:left="0"/>
              <w:jc w:val="both"/>
              <w:rPr>
                <w:szCs w:val="22"/>
              </w:rPr>
            </w:pPr>
            <w:r>
              <w:rPr>
                <w:szCs w:val="22"/>
              </w:rPr>
              <w:t>2003</w:t>
            </w:r>
          </w:p>
        </w:tc>
        <w:tc>
          <w:tcPr>
            <w:tcW w:w="4272" w:type="dxa"/>
          </w:tcPr>
          <w:p w:rsidR="001A14E5" w:rsidRDefault="001A14E5" w:rsidP="008C50C7">
            <w:pPr>
              <w:jc w:val="both"/>
              <w:rPr>
                <w:szCs w:val="22"/>
              </w:rPr>
            </w:pPr>
            <w:r>
              <w:rPr>
                <w:szCs w:val="22"/>
              </w:rPr>
              <w:t>240.210 EUR</w:t>
            </w:r>
          </w:p>
        </w:tc>
      </w:tr>
      <w:tr w:rsidR="001A14E5" w:rsidTr="008C50C7">
        <w:tc>
          <w:tcPr>
            <w:tcW w:w="4295" w:type="dxa"/>
          </w:tcPr>
          <w:p w:rsidR="001A14E5" w:rsidRDefault="001A14E5" w:rsidP="008C50C7">
            <w:pPr>
              <w:pStyle w:val="Lijstalinea"/>
              <w:ind w:left="0"/>
              <w:jc w:val="both"/>
              <w:rPr>
                <w:szCs w:val="22"/>
              </w:rPr>
            </w:pPr>
            <w:r>
              <w:rPr>
                <w:szCs w:val="22"/>
              </w:rPr>
              <w:t>2002</w:t>
            </w:r>
          </w:p>
        </w:tc>
        <w:tc>
          <w:tcPr>
            <w:tcW w:w="4272" w:type="dxa"/>
          </w:tcPr>
          <w:p w:rsidR="001A14E5" w:rsidRDefault="001A14E5" w:rsidP="008C50C7">
            <w:pPr>
              <w:jc w:val="both"/>
              <w:rPr>
                <w:szCs w:val="22"/>
              </w:rPr>
            </w:pPr>
            <w:r>
              <w:rPr>
                <w:szCs w:val="22"/>
              </w:rPr>
              <w:t>235.499 EUR</w:t>
            </w:r>
          </w:p>
        </w:tc>
      </w:tr>
      <w:tr w:rsidR="001A14E5" w:rsidTr="008C50C7">
        <w:tc>
          <w:tcPr>
            <w:tcW w:w="4295" w:type="dxa"/>
          </w:tcPr>
          <w:p w:rsidR="001A14E5" w:rsidRDefault="001A14E5" w:rsidP="008C50C7">
            <w:pPr>
              <w:pStyle w:val="Lijstalinea"/>
              <w:ind w:left="0"/>
              <w:jc w:val="both"/>
              <w:rPr>
                <w:szCs w:val="22"/>
              </w:rPr>
            </w:pPr>
            <w:r>
              <w:rPr>
                <w:szCs w:val="22"/>
              </w:rPr>
              <w:t>2001</w:t>
            </w:r>
          </w:p>
        </w:tc>
        <w:tc>
          <w:tcPr>
            <w:tcW w:w="4272" w:type="dxa"/>
          </w:tcPr>
          <w:p w:rsidR="001A14E5" w:rsidRDefault="001A14E5" w:rsidP="008C50C7">
            <w:pPr>
              <w:jc w:val="both"/>
              <w:rPr>
                <w:szCs w:val="22"/>
              </w:rPr>
            </w:pPr>
            <w:r>
              <w:rPr>
                <w:szCs w:val="22"/>
              </w:rPr>
              <w:t>9.500.000 BEF</w:t>
            </w:r>
          </w:p>
        </w:tc>
      </w:tr>
      <w:tr w:rsidR="001A14E5" w:rsidTr="008C50C7">
        <w:tc>
          <w:tcPr>
            <w:tcW w:w="4295" w:type="dxa"/>
          </w:tcPr>
          <w:p w:rsidR="001A14E5" w:rsidRDefault="001A14E5" w:rsidP="008C50C7">
            <w:pPr>
              <w:pStyle w:val="Lijstalinea"/>
              <w:ind w:left="0"/>
              <w:jc w:val="both"/>
              <w:rPr>
                <w:szCs w:val="22"/>
              </w:rPr>
            </w:pPr>
            <w:r>
              <w:rPr>
                <w:szCs w:val="22"/>
              </w:rPr>
              <w:t>2000</w:t>
            </w:r>
          </w:p>
        </w:tc>
        <w:tc>
          <w:tcPr>
            <w:tcW w:w="4272" w:type="dxa"/>
          </w:tcPr>
          <w:p w:rsidR="001A14E5" w:rsidRDefault="001A14E5" w:rsidP="008C50C7">
            <w:pPr>
              <w:jc w:val="both"/>
              <w:rPr>
                <w:szCs w:val="22"/>
              </w:rPr>
            </w:pPr>
            <w:r>
              <w:rPr>
                <w:szCs w:val="22"/>
              </w:rPr>
              <w:t>Erkend en ingedeeld op Vlaams niveau</w:t>
            </w:r>
          </w:p>
        </w:tc>
      </w:tr>
    </w:tbl>
    <w:p w:rsidR="001A14E5" w:rsidRDefault="001A14E5" w:rsidP="001A14E5">
      <w:pPr>
        <w:pStyle w:val="Lijstalinea"/>
        <w:jc w:val="both"/>
        <w:rPr>
          <w:szCs w:val="22"/>
        </w:rPr>
      </w:pPr>
    </w:p>
    <w:p w:rsidR="001A14E5" w:rsidRDefault="001A14E5" w:rsidP="001A14E5">
      <w:pPr>
        <w:pStyle w:val="Lijstalinea"/>
        <w:jc w:val="both"/>
        <w:rPr>
          <w:szCs w:val="22"/>
        </w:rPr>
      </w:pPr>
    </w:p>
    <w:p w:rsidR="001A14E5" w:rsidRDefault="001A14E5" w:rsidP="001A14E5">
      <w:pPr>
        <w:pStyle w:val="Lijstalinea"/>
        <w:jc w:val="both"/>
        <w:rPr>
          <w:szCs w:val="22"/>
        </w:rPr>
      </w:pPr>
      <w:r>
        <w:rPr>
          <w:szCs w:val="22"/>
        </w:rPr>
        <w:t xml:space="preserve">Het </w:t>
      </w:r>
    </w:p>
    <w:p w:rsidR="001A14E5" w:rsidRDefault="001A14E5" w:rsidP="001A14E5">
      <w:pPr>
        <w:pStyle w:val="Lijstalinea"/>
        <w:jc w:val="both"/>
        <w:rPr>
          <w:szCs w:val="22"/>
        </w:rPr>
      </w:pPr>
    </w:p>
    <w:p w:rsidR="001A14E5" w:rsidRPr="001A14E5" w:rsidRDefault="001A14E5" w:rsidP="001A14E5">
      <w:pPr>
        <w:jc w:val="both"/>
        <w:rPr>
          <w:szCs w:val="22"/>
        </w:rPr>
      </w:pPr>
    </w:p>
    <w:p w:rsidR="001A14E5" w:rsidRPr="001A14E5" w:rsidRDefault="001A14E5" w:rsidP="001A14E5">
      <w:pPr>
        <w:pStyle w:val="Lijstalinea"/>
        <w:ind w:left="426"/>
        <w:jc w:val="both"/>
        <w:rPr>
          <w:szCs w:val="22"/>
        </w:rPr>
      </w:pPr>
      <w:r>
        <w:rPr>
          <w:szCs w:val="22"/>
        </w:rPr>
        <w:t>Het toezicht op de werkingssubsidie gebeurt aan de hand van jaarverslagen waarin de bestemming van de middelen voor de verschillende deelwerkingen van het samenwerkingsverband niet afzonderlijk zichtbaar zijn. Indien u zicht wil krijgen op de bestemming van de middelen van het samenwerkingsverband en de vzw Musea en Erfgoed A</w:t>
      </w:r>
      <w:r w:rsidR="00B70D24">
        <w:rPr>
          <w:szCs w:val="22"/>
        </w:rPr>
        <w:t>ntwerpen voor deze collectie, ku</w:t>
      </w:r>
      <w:r>
        <w:rPr>
          <w:szCs w:val="22"/>
        </w:rPr>
        <w:t>n</w:t>
      </w:r>
      <w:r w:rsidR="00B70D24">
        <w:rPr>
          <w:szCs w:val="22"/>
        </w:rPr>
        <w:t>t</w:t>
      </w:r>
      <w:r>
        <w:rPr>
          <w:szCs w:val="22"/>
        </w:rPr>
        <w:t xml:space="preserve"> u zich richten tot de stad Antwerpen.  </w:t>
      </w:r>
    </w:p>
    <w:p w:rsidR="001A14E5" w:rsidRPr="001A14E5" w:rsidRDefault="001A14E5" w:rsidP="001A14E5">
      <w:pPr>
        <w:jc w:val="both"/>
        <w:rPr>
          <w:szCs w:val="22"/>
        </w:rPr>
      </w:pPr>
    </w:p>
    <w:p w:rsidR="001A14E5" w:rsidRPr="001A14E5" w:rsidRDefault="001A14E5" w:rsidP="000D64E0">
      <w:pPr>
        <w:numPr>
          <w:ilvl w:val="0"/>
          <w:numId w:val="3"/>
        </w:numPr>
        <w:suppressAutoHyphens w:val="0"/>
        <w:ind w:left="360"/>
        <w:jc w:val="both"/>
        <w:rPr>
          <w:szCs w:val="20"/>
          <w:lang w:eastAsia="nl-NL"/>
        </w:rPr>
      </w:pPr>
      <w:r w:rsidRPr="001A14E5">
        <w:rPr>
          <w:szCs w:val="22"/>
        </w:rPr>
        <w:t xml:space="preserve">Kunsten en Erfgoed heeft dit legaat niet in haar bezit. </w:t>
      </w:r>
      <w:r>
        <w:rPr>
          <w:szCs w:val="22"/>
        </w:rPr>
        <w:t>Hiervoor kan u zich eveneens richten tot de stad Antwerpen.</w:t>
      </w:r>
    </w:p>
    <w:p w:rsidR="001A14E5" w:rsidRDefault="001A14E5" w:rsidP="001A14E5">
      <w:pPr>
        <w:suppressAutoHyphens w:val="0"/>
        <w:ind w:left="360"/>
        <w:jc w:val="both"/>
        <w:rPr>
          <w:szCs w:val="20"/>
          <w:lang w:eastAsia="nl-NL"/>
        </w:rPr>
      </w:pPr>
    </w:p>
    <w:p w:rsidR="001A14E5" w:rsidRPr="000D64E0" w:rsidRDefault="001A14E5" w:rsidP="000D64E0">
      <w:pPr>
        <w:pStyle w:val="Lijstalinea"/>
        <w:numPr>
          <w:ilvl w:val="1"/>
          <w:numId w:val="4"/>
        </w:numPr>
        <w:tabs>
          <w:tab w:val="left" w:pos="426"/>
        </w:tabs>
        <w:suppressAutoHyphens w:val="0"/>
        <w:jc w:val="both"/>
        <w:rPr>
          <w:szCs w:val="20"/>
          <w:lang w:eastAsia="nl-NL"/>
        </w:rPr>
      </w:pPr>
      <w:r w:rsidRPr="000D64E0">
        <w:rPr>
          <w:szCs w:val="22"/>
        </w:rPr>
        <w:t xml:space="preserve">Het is aan het bevoegd gezag, de stad Antwerpen, om de juridische consequenties van haar beslissingen in rekening te nemen. </w:t>
      </w:r>
      <w:bookmarkStart w:id="4" w:name="_GoBack"/>
      <w:bookmarkEnd w:id="4"/>
    </w:p>
    <w:sectPr w:rsidR="001A14E5" w:rsidRPr="000D64E0" w:rsidSect="009A18CC">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378C2B9E"/>
    <w:multiLevelType w:val="multilevel"/>
    <w:tmpl w:val="31D8754A"/>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102133"/>
    <w:multiLevelType w:val="hybridMultilevel"/>
    <w:tmpl w:val="9BF46F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A942A6"/>
    <w:rsid w:val="00006FB7"/>
    <w:rsid w:val="000077A2"/>
    <w:rsid w:val="0001548E"/>
    <w:rsid w:val="00030F56"/>
    <w:rsid w:val="000B2341"/>
    <w:rsid w:val="000D64E0"/>
    <w:rsid w:val="000F604E"/>
    <w:rsid w:val="0014578D"/>
    <w:rsid w:val="001547AF"/>
    <w:rsid w:val="001A14E5"/>
    <w:rsid w:val="002426CD"/>
    <w:rsid w:val="00316CB5"/>
    <w:rsid w:val="003530A0"/>
    <w:rsid w:val="003B70E8"/>
    <w:rsid w:val="004C06A0"/>
    <w:rsid w:val="004D6BD6"/>
    <w:rsid w:val="00563895"/>
    <w:rsid w:val="0069779C"/>
    <w:rsid w:val="007D4935"/>
    <w:rsid w:val="007E68AE"/>
    <w:rsid w:val="00820739"/>
    <w:rsid w:val="00856EE1"/>
    <w:rsid w:val="00880E78"/>
    <w:rsid w:val="008C50C7"/>
    <w:rsid w:val="00915514"/>
    <w:rsid w:val="0094410E"/>
    <w:rsid w:val="00950C12"/>
    <w:rsid w:val="00951884"/>
    <w:rsid w:val="00951C93"/>
    <w:rsid w:val="00970C45"/>
    <w:rsid w:val="00982D89"/>
    <w:rsid w:val="009A18CC"/>
    <w:rsid w:val="009D60B0"/>
    <w:rsid w:val="009E231D"/>
    <w:rsid w:val="00A34614"/>
    <w:rsid w:val="00A4316B"/>
    <w:rsid w:val="00A60C11"/>
    <w:rsid w:val="00A942A6"/>
    <w:rsid w:val="00AA5518"/>
    <w:rsid w:val="00AD5C4F"/>
    <w:rsid w:val="00AD6DCA"/>
    <w:rsid w:val="00AE08FA"/>
    <w:rsid w:val="00B17626"/>
    <w:rsid w:val="00B70D24"/>
    <w:rsid w:val="00C21C97"/>
    <w:rsid w:val="00C7201A"/>
    <w:rsid w:val="00C768CC"/>
    <w:rsid w:val="00CF2F68"/>
    <w:rsid w:val="00D06520"/>
    <w:rsid w:val="00D527A4"/>
    <w:rsid w:val="00DC694D"/>
    <w:rsid w:val="00DF2F81"/>
    <w:rsid w:val="00E02A57"/>
    <w:rsid w:val="00EE4B54"/>
    <w:rsid w:val="00F10194"/>
    <w:rsid w:val="00FE12F1"/>
    <w:rsid w:val="00FF3A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70E8"/>
    <w:pPr>
      <w:suppressAutoHyphens/>
    </w:pPr>
    <w:rPr>
      <w:sz w:val="22"/>
      <w:szCs w:val="24"/>
      <w:lang w:val="nl-NL" w:eastAsia="ar-SA"/>
    </w:rPr>
  </w:style>
  <w:style w:type="paragraph" w:styleId="Kop1">
    <w:name w:val="heading 1"/>
    <w:basedOn w:val="Standaard"/>
    <w:next w:val="Standaard"/>
    <w:qFormat/>
    <w:rsid w:val="003B70E8"/>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3B70E8"/>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3B70E8"/>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3B70E8"/>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3B70E8"/>
    <w:rPr>
      <w:b/>
      <w:smallCaps/>
      <w:lang w:val="nl-BE"/>
    </w:rPr>
  </w:style>
  <w:style w:type="paragraph" w:customStyle="1" w:styleId="A-TitelMinister">
    <w:name w:val="A-TitelMinister"/>
    <w:basedOn w:val="Standaard"/>
    <w:rsid w:val="003B70E8"/>
    <w:rPr>
      <w:smallCaps/>
      <w:szCs w:val="22"/>
      <w:lang w:val="nl-BE"/>
    </w:rPr>
  </w:style>
  <w:style w:type="paragraph" w:customStyle="1" w:styleId="A-NaamMinister">
    <w:name w:val="A-NaamMinister"/>
    <w:basedOn w:val="Standaard"/>
    <w:rsid w:val="003B70E8"/>
    <w:rPr>
      <w:b/>
      <w:smallCaps/>
      <w:lang w:val="nl-BE"/>
    </w:rPr>
  </w:style>
  <w:style w:type="paragraph" w:customStyle="1" w:styleId="A-Lijn">
    <w:name w:val="A-Lijn"/>
    <w:basedOn w:val="Standaard"/>
    <w:rsid w:val="003B70E8"/>
    <w:pPr>
      <w:pBdr>
        <w:top w:val="single" w:sz="4" w:space="1" w:color="000000"/>
      </w:pBdr>
    </w:pPr>
    <w:rPr>
      <w:smallCaps/>
      <w:szCs w:val="22"/>
      <w:lang w:val="nl-BE"/>
    </w:rPr>
  </w:style>
  <w:style w:type="paragraph" w:customStyle="1" w:styleId="A-Type">
    <w:name w:val="A-Type"/>
    <w:rsid w:val="003B70E8"/>
    <w:pPr>
      <w:suppressAutoHyphens/>
    </w:pPr>
    <w:rPr>
      <w:b/>
      <w:smallCaps/>
      <w:sz w:val="22"/>
      <w:szCs w:val="22"/>
      <w:lang w:eastAsia="ar-SA"/>
    </w:rPr>
  </w:style>
  <w:style w:type="paragraph" w:customStyle="1" w:styleId="A-Gewonetekst">
    <w:name w:val="A-Gewone tekst"/>
    <w:rsid w:val="003B70E8"/>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
      </w:numPr>
    </w:pPr>
  </w:style>
  <w:style w:type="paragraph" w:styleId="Lijstalinea">
    <w:name w:val="List Paragraph"/>
    <w:basedOn w:val="Standaard"/>
    <w:uiPriority w:val="34"/>
    <w:qFormat/>
    <w:rsid w:val="00563895"/>
    <w:pPr>
      <w:ind w:left="720"/>
      <w:contextualSpacing/>
    </w:pPr>
  </w:style>
  <w:style w:type="table" w:styleId="Tabelraster">
    <w:name w:val="Table Grid"/>
    <w:basedOn w:val="Standaardtabel"/>
    <w:rsid w:val="0024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950C12"/>
    <w:rPr>
      <w:sz w:val="16"/>
      <w:szCs w:val="16"/>
    </w:rPr>
  </w:style>
  <w:style w:type="paragraph" w:styleId="Tekstopmerking">
    <w:name w:val="annotation text"/>
    <w:basedOn w:val="Standaard"/>
    <w:link w:val="TekstopmerkingChar"/>
    <w:rsid w:val="00950C12"/>
    <w:rPr>
      <w:sz w:val="20"/>
      <w:szCs w:val="20"/>
    </w:rPr>
  </w:style>
  <w:style w:type="character" w:customStyle="1" w:styleId="TekstopmerkingChar">
    <w:name w:val="Tekst opmerking Char"/>
    <w:basedOn w:val="Standaardalinea-lettertype"/>
    <w:link w:val="Tekstopmerking"/>
    <w:rsid w:val="00950C12"/>
    <w:rPr>
      <w:lang w:val="nl-NL" w:eastAsia="ar-SA"/>
    </w:rPr>
  </w:style>
  <w:style w:type="paragraph" w:styleId="Onderwerpvanopmerking">
    <w:name w:val="annotation subject"/>
    <w:basedOn w:val="Tekstopmerking"/>
    <w:next w:val="Tekstopmerking"/>
    <w:link w:val="OnderwerpvanopmerkingChar"/>
    <w:rsid w:val="00950C12"/>
    <w:rPr>
      <w:b/>
      <w:bCs/>
    </w:rPr>
  </w:style>
  <w:style w:type="character" w:customStyle="1" w:styleId="OnderwerpvanopmerkingChar">
    <w:name w:val="Onderwerp van opmerking Char"/>
    <w:basedOn w:val="TekstopmerkingChar"/>
    <w:link w:val="Onderwerpvanopmerking"/>
    <w:rsid w:val="00950C12"/>
    <w:rPr>
      <w:b/>
      <w:bCs/>
      <w:lang w:val="nl-NL" w:eastAsia="ar-SA"/>
    </w:rPr>
  </w:style>
  <w:style w:type="paragraph" w:styleId="Ballontekst">
    <w:name w:val="Balloon Text"/>
    <w:basedOn w:val="Standaard"/>
    <w:link w:val="BallontekstChar"/>
    <w:rsid w:val="00950C12"/>
    <w:rPr>
      <w:rFonts w:ascii="Tahoma" w:hAnsi="Tahoma" w:cs="Tahoma"/>
      <w:sz w:val="16"/>
      <w:szCs w:val="16"/>
    </w:rPr>
  </w:style>
  <w:style w:type="character" w:customStyle="1" w:styleId="BallontekstChar">
    <w:name w:val="Ballontekst Char"/>
    <w:basedOn w:val="Standaardalinea-lettertype"/>
    <w:link w:val="Ballontekst"/>
    <w:rsid w:val="00950C12"/>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563895"/>
    <w:pPr>
      <w:ind w:left="720"/>
      <w:contextualSpacing/>
    </w:pPr>
  </w:style>
  <w:style w:type="table" w:styleId="Tabelraster">
    <w:name w:val="Table Grid"/>
    <w:basedOn w:val="Standaardtabel"/>
    <w:rsid w:val="0024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950C12"/>
    <w:rPr>
      <w:sz w:val="16"/>
      <w:szCs w:val="16"/>
    </w:rPr>
  </w:style>
  <w:style w:type="paragraph" w:styleId="Tekstopmerking">
    <w:name w:val="annotation text"/>
    <w:basedOn w:val="Standaard"/>
    <w:link w:val="TekstopmerkingChar"/>
    <w:rsid w:val="00950C12"/>
    <w:rPr>
      <w:sz w:val="20"/>
      <w:szCs w:val="20"/>
    </w:rPr>
  </w:style>
  <w:style w:type="character" w:customStyle="1" w:styleId="TekstopmerkingChar">
    <w:name w:val="Tekst opmerking Char"/>
    <w:basedOn w:val="Standaardalinea-lettertype"/>
    <w:link w:val="Tekstopmerking"/>
    <w:rsid w:val="00950C12"/>
    <w:rPr>
      <w:lang w:val="nl-NL" w:eastAsia="ar-SA"/>
    </w:rPr>
  </w:style>
  <w:style w:type="paragraph" w:styleId="Onderwerpvanopmerking">
    <w:name w:val="annotation subject"/>
    <w:basedOn w:val="Tekstopmerking"/>
    <w:next w:val="Tekstopmerking"/>
    <w:link w:val="OnderwerpvanopmerkingChar"/>
    <w:rsid w:val="00950C12"/>
    <w:rPr>
      <w:b/>
      <w:bCs/>
    </w:rPr>
  </w:style>
  <w:style w:type="character" w:customStyle="1" w:styleId="OnderwerpvanopmerkingChar">
    <w:name w:val="Onderwerp van opmerking Char"/>
    <w:basedOn w:val="TekstopmerkingChar"/>
    <w:link w:val="Onderwerpvanopmerking"/>
    <w:rsid w:val="00950C12"/>
    <w:rPr>
      <w:b/>
      <w:bCs/>
      <w:lang w:val="nl-NL" w:eastAsia="ar-SA"/>
    </w:rPr>
  </w:style>
  <w:style w:type="paragraph" w:styleId="Ballontekst">
    <w:name w:val="Balloon Text"/>
    <w:basedOn w:val="Standaard"/>
    <w:link w:val="BallontekstChar"/>
    <w:rsid w:val="00950C12"/>
    <w:rPr>
      <w:rFonts w:ascii="Tahoma" w:hAnsi="Tahoma" w:cs="Tahoma"/>
      <w:sz w:val="16"/>
      <w:szCs w:val="16"/>
    </w:rPr>
  </w:style>
  <w:style w:type="character" w:customStyle="1" w:styleId="BallontekstChar">
    <w:name w:val="Ballontekst Char"/>
    <w:basedOn w:val="Standaardalinea-lettertype"/>
    <w:link w:val="Ballontekst"/>
    <w:rsid w:val="00950C12"/>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22D0-AFBF-4597-A930-552AB780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5</TotalTime>
  <Pages>2</Pages>
  <Words>888</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2013-03-28T14:23:00Z</dcterms:created>
  <dcterms:modified xsi:type="dcterms:W3CDTF">2013-04-16T07:22:00Z</dcterms:modified>
</cp:coreProperties>
</file>