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8A0F04" w:rsidP="009456B5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96094">
        <w:rPr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8A0F04" w:rsidP="009456B5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2843DB">
        <w:rPr>
          <w:noProof/>
        </w:rPr>
        <w:t xml:space="preserve">vlaams minister van </w:t>
      </w:r>
      <w:r w:rsidR="00996094">
        <w:rPr>
          <w:noProof/>
        </w:rPr>
        <w:t>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9456B5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8A0F04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8A0F04" w:rsidRPr="00326A58">
        <w:rPr>
          <w:b w:val="0"/>
        </w:rPr>
      </w:r>
      <w:r w:rsidR="008A0F04" w:rsidRPr="00326A58">
        <w:rPr>
          <w:b w:val="0"/>
        </w:rPr>
        <w:fldChar w:fldCharType="separate"/>
      </w:r>
      <w:r w:rsidR="00D0731F">
        <w:rPr>
          <w:b w:val="0"/>
        </w:rPr>
        <w:t>334</w:t>
      </w:r>
      <w:r w:rsidR="008A0F04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A0F0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A0F04">
        <w:rPr>
          <w:b w:val="0"/>
        </w:rPr>
      </w:r>
      <w:r w:rsidR="008A0F04">
        <w:rPr>
          <w:b w:val="0"/>
        </w:rPr>
        <w:fldChar w:fldCharType="separate"/>
      </w:r>
      <w:r w:rsidR="00D0731F">
        <w:rPr>
          <w:b w:val="0"/>
        </w:rPr>
        <w:t>5</w:t>
      </w:r>
      <w:r w:rsidR="008A0F0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A0F0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A0F04">
        <w:rPr>
          <w:b w:val="0"/>
        </w:rPr>
      </w:r>
      <w:r w:rsidR="008A0F0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A0F0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A0F04">
        <w:rPr>
          <w:b w:val="0"/>
        </w:rPr>
      </w:r>
      <w:r w:rsidR="008A0F0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8A0F04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8A0F04" w:rsidRPr="009D7043">
        <w:rPr>
          <w:rStyle w:val="AntwoordNaamMinisterChar"/>
        </w:rPr>
      </w:r>
      <w:r w:rsidR="008A0F04" w:rsidRPr="009D7043">
        <w:rPr>
          <w:rStyle w:val="AntwoordNaamMinisterChar"/>
        </w:rPr>
        <w:fldChar w:fldCharType="separate"/>
      </w:r>
      <w:r w:rsidR="00D0731F">
        <w:rPr>
          <w:rStyle w:val="AntwoordNaamMinisterChar"/>
        </w:rPr>
        <w:t>mercedes van volcem</w:t>
      </w:r>
      <w:r w:rsidR="008A0F04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C0DB9" w:rsidRPr="003B632F" w:rsidRDefault="003B632F" w:rsidP="00E64AD0">
      <w:pPr>
        <w:pStyle w:val="Lijstalinea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2"/>
          <w:szCs w:val="22"/>
          <w:lang w:val="nl"/>
        </w:rPr>
      </w:pPr>
      <w:r>
        <w:rPr>
          <w:rFonts w:ascii="Times New Roman" w:hAnsi="Times New Roman"/>
          <w:sz w:val="22"/>
          <w:szCs w:val="22"/>
          <w:lang w:val="nl"/>
        </w:rPr>
        <w:lastRenderedPageBreak/>
        <w:t>In bijlage 1</w:t>
      </w:r>
      <w:r w:rsidR="00D173BF">
        <w:rPr>
          <w:rFonts w:ascii="Times New Roman" w:hAnsi="Times New Roman"/>
          <w:sz w:val="22"/>
          <w:szCs w:val="22"/>
          <w:lang w:val="nl"/>
        </w:rPr>
        <w:t xml:space="preserve"> </w:t>
      </w:r>
      <w:r>
        <w:rPr>
          <w:rFonts w:ascii="Times New Roman" w:hAnsi="Times New Roman"/>
          <w:sz w:val="22"/>
          <w:szCs w:val="22"/>
          <w:lang w:val="nl"/>
        </w:rPr>
        <w:t>wordt</w:t>
      </w:r>
      <w:r w:rsidR="003C4C48" w:rsidRPr="003B632F">
        <w:rPr>
          <w:rFonts w:ascii="Times New Roman" w:hAnsi="Times New Roman"/>
          <w:sz w:val="22"/>
          <w:szCs w:val="22"/>
          <w:lang w:val="nl"/>
        </w:rPr>
        <w:t xml:space="preserve"> een overzicht gegeven van de oppervlakten aan bebouwbare reservegrond die de sociale huisvestingsmaatschappijen (SHM’s) in eigendom hebben, uitgesplitst volgens stedenbouwkundige bestemming (gelegen in woongebied, respectievelijk woonuitbreidingsgebied).</w:t>
      </w:r>
    </w:p>
    <w:p w:rsidR="00BD540B" w:rsidRPr="00453194" w:rsidRDefault="00BD540B" w:rsidP="00E64AD0">
      <w:pPr>
        <w:ind w:left="284" w:hanging="284"/>
        <w:jc w:val="both"/>
        <w:rPr>
          <w:szCs w:val="22"/>
          <w:lang w:val="nl"/>
        </w:rPr>
      </w:pPr>
    </w:p>
    <w:p w:rsidR="00BD540B" w:rsidRPr="00453194" w:rsidRDefault="003C4C48" w:rsidP="00E64AD0">
      <w:pPr>
        <w:pStyle w:val="Lijstalinea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2"/>
          <w:szCs w:val="22"/>
          <w:lang w:val="nl"/>
        </w:rPr>
      </w:pPr>
      <w:r w:rsidRPr="00453194">
        <w:rPr>
          <w:rFonts w:ascii="Times New Roman" w:hAnsi="Times New Roman"/>
          <w:sz w:val="22"/>
          <w:szCs w:val="22"/>
          <w:lang w:val="nl"/>
        </w:rPr>
        <w:t xml:space="preserve">In onderstaande tabel wordt, per provincie, </w:t>
      </w:r>
      <w:r w:rsidR="00F53EA0" w:rsidRPr="00453194">
        <w:rPr>
          <w:rFonts w:ascii="Times New Roman" w:hAnsi="Times New Roman"/>
          <w:sz w:val="22"/>
          <w:szCs w:val="22"/>
          <w:lang w:val="nl"/>
        </w:rPr>
        <w:t>de afname van de oppervlakte aan reservegrond (kolom 3) afgezet tegenover het totaal (kolom 2)</w:t>
      </w:r>
      <w:r w:rsidRPr="00453194">
        <w:rPr>
          <w:rFonts w:ascii="Times New Roman" w:hAnsi="Times New Roman"/>
          <w:sz w:val="22"/>
          <w:szCs w:val="22"/>
          <w:lang w:val="nl"/>
        </w:rPr>
        <w:t xml:space="preserve">. </w:t>
      </w:r>
      <w:r w:rsidR="00F53EA0" w:rsidRPr="00453194">
        <w:rPr>
          <w:rFonts w:ascii="Times New Roman" w:hAnsi="Times New Roman"/>
          <w:sz w:val="22"/>
          <w:szCs w:val="22"/>
          <w:lang w:val="nl"/>
        </w:rPr>
        <w:t>Dit resulteert in de percentages vermeld in kolom 4.</w:t>
      </w:r>
      <w:r w:rsidR="00453194" w:rsidRPr="00453194">
        <w:rPr>
          <w:rFonts w:ascii="Times New Roman" w:hAnsi="Times New Roman"/>
          <w:sz w:val="22"/>
          <w:szCs w:val="22"/>
          <w:lang w:val="nl"/>
        </w:rPr>
        <w:t xml:space="preserve"> De </w:t>
      </w:r>
      <w:r w:rsidRPr="00453194">
        <w:rPr>
          <w:rFonts w:ascii="Times New Roman" w:hAnsi="Times New Roman"/>
          <w:sz w:val="22"/>
          <w:szCs w:val="22"/>
          <w:lang w:val="nl"/>
        </w:rPr>
        <w:t>afname kan het gevolg zijn van een effectieve benutting van deze gronden (bebouwing, verkaveling en/</w:t>
      </w:r>
      <w:r w:rsidR="00F53EA0" w:rsidRPr="00453194">
        <w:rPr>
          <w:rFonts w:ascii="Times New Roman" w:hAnsi="Times New Roman"/>
          <w:sz w:val="22"/>
          <w:szCs w:val="22"/>
          <w:lang w:val="nl"/>
        </w:rPr>
        <w:t xml:space="preserve">of </w:t>
      </w:r>
      <w:r w:rsidRPr="00453194">
        <w:rPr>
          <w:rFonts w:ascii="Times New Roman" w:hAnsi="Times New Roman"/>
          <w:sz w:val="22"/>
          <w:szCs w:val="22"/>
          <w:lang w:val="nl"/>
        </w:rPr>
        <w:t>infrastructuuraanleg</w:t>
      </w:r>
      <w:r w:rsidR="00F53EA0" w:rsidRPr="00453194">
        <w:rPr>
          <w:rFonts w:ascii="Times New Roman" w:hAnsi="Times New Roman"/>
          <w:sz w:val="22"/>
          <w:szCs w:val="22"/>
          <w:lang w:val="nl"/>
        </w:rPr>
        <w:t>), of van een verkoop.</w:t>
      </w:r>
    </w:p>
    <w:tbl>
      <w:tblPr>
        <w:tblW w:w="610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4"/>
        <w:gridCol w:w="1559"/>
        <w:gridCol w:w="1134"/>
        <w:gridCol w:w="1587"/>
      </w:tblGrid>
      <w:tr w:rsidR="00CF755A" w:rsidRPr="00CF755A" w:rsidTr="005E1A71">
        <w:trPr>
          <w:trHeight w:val="621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55A" w:rsidRPr="00CF755A" w:rsidRDefault="00CF755A" w:rsidP="00E64AD0">
            <w:pPr>
              <w:ind w:left="284" w:hanging="284"/>
              <w:rPr>
                <w:b/>
                <w:bCs/>
                <w:szCs w:val="22"/>
                <w:lang w:val="nl-BE" w:eastAsia="nl-BE"/>
              </w:rPr>
            </w:pPr>
            <w:r w:rsidRPr="00CF755A">
              <w:rPr>
                <w:b/>
                <w:bCs/>
                <w:szCs w:val="22"/>
                <w:lang w:val="nl-BE" w:eastAsia="nl-BE"/>
              </w:rPr>
              <w:t>Provincie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755A" w:rsidRPr="00CF755A" w:rsidRDefault="00CF755A" w:rsidP="00E64AD0">
            <w:pPr>
              <w:ind w:left="284" w:hanging="284"/>
              <w:rPr>
                <w:b/>
                <w:bCs/>
                <w:szCs w:val="22"/>
                <w:lang w:val="nl-BE" w:eastAsia="nl-BE"/>
              </w:rPr>
            </w:pPr>
            <w:r w:rsidRPr="00CF755A">
              <w:rPr>
                <w:b/>
                <w:bCs/>
                <w:szCs w:val="22"/>
                <w:lang w:val="nl-BE" w:eastAsia="nl-BE"/>
              </w:rPr>
              <w:t>Reservegrond (m²)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755A" w:rsidRPr="00CF755A" w:rsidRDefault="00CF755A" w:rsidP="00E64AD0">
            <w:pPr>
              <w:ind w:left="284" w:hanging="284"/>
              <w:rPr>
                <w:b/>
                <w:bCs/>
                <w:szCs w:val="22"/>
                <w:lang w:val="nl-BE" w:eastAsia="nl-BE"/>
              </w:rPr>
            </w:pPr>
            <w:r w:rsidRPr="00CF755A">
              <w:rPr>
                <w:b/>
                <w:bCs/>
                <w:szCs w:val="22"/>
                <w:lang w:val="nl-BE" w:eastAsia="nl-BE"/>
              </w:rPr>
              <w:t>Afname in 2012 (m²)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755A" w:rsidRPr="00CF755A" w:rsidRDefault="00CF755A" w:rsidP="00E64AD0">
            <w:pPr>
              <w:ind w:left="284" w:hanging="284"/>
              <w:rPr>
                <w:b/>
                <w:bCs/>
                <w:szCs w:val="22"/>
                <w:lang w:val="nl-BE" w:eastAsia="nl-BE"/>
              </w:rPr>
            </w:pPr>
            <w:r w:rsidRPr="00CF755A">
              <w:rPr>
                <w:b/>
                <w:bCs/>
                <w:szCs w:val="22"/>
                <w:lang w:val="nl-BE" w:eastAsia="nl-BE"/>
              </w:rPr>
              <w:t>Afname in 2012 (relatief)</w:t>
            </w:r>
          </w:p>
        </w:tc>
      </w:tr>
      <w:tr w:rsidR="00CF755A" w:rsidRPr="00CF755A" w:rsidTr="005E1A71">
        <w:trPr>
          <w:trHeight w:val="315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55A" w:rsidRPr="00CF755A" w:rsidRDefault="00CF755A" w:rsidP="00E64AD0">
            <w:pPr>
              <w:ind w:left="284" w:hanging="284"/>
              <w:rPr>
                <w:b/>
                <w:bCs/>
                <w:szCs w:val="22"/>
                <w:lang w:val="nl-BE" w:eastAsia="nl-BE"/>
              </w:rPr>
            </w:pPr>
            <w:r w:rsidRPr="00CF755A">
              <w:rPr>
                <w:b/>
                <w:bCs/>
                <w:szCs w:val="22"/>
                <w:lang w:val="nl-BE" w:eastAsia="nl-BE"/>
              </w:rPr>
              <w:t>Antwerpen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55A" w:rsidRPr="00CF755A" w:rsidRDefault="00CF755A" w:rsidP="00E64AD0">
            <w:pPr>
              <w:ind w:left="284" w:hanging="284"/>
              <w:jc w:val="right"/>
              <w:rPr>
                <w:szCs w:val="22"/>
                <w:lang w:val="nl-BE" w:eastAsia="nl-BE"/>
              </w:rPr>
            </w:pPr>
            <w:r w:rsidRPr="00CF755A">
              <w:rPr>
                <w:szCs w:val="22"/>
                <w:lang w:val="nl-BE" w:eastAsia="nl-BE"/>
              </w:rPr>
              <w:t>2.619.760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55A" w:rsidRPr="00CF755A" w:rsidRDefault="00CF755A" w:rsidP="00E64AD0">
            <w:pPr>
              <w:ind w:left="284" w:hanging="284"/>
              <w:jc w:val="right"/>
              <w:rPr>
                <w:color w:val="000000"/>
                <w:szCs w:val="22"/>
                <w:lang w:val="nl-BE" w:eastAsia="nl-BE"/>
              </w:rPr>
            </w:pPr>
            <w:r w:rsidRPr="00CF755A">
              <w:rPr>
                <w:color w:val="000000"/>
                <w:szCs w:val="22"/>
                <w:lang w:val="nl-BE" w:eastAsia="nl-BE"/>
              </w:rPr>
              <w:t>150.408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55A" w:rsidRPr="00CF755A" w:rsidRDefault="00CF755A" w:rsidP="00E64AD0">
            <w:pPr>
              <w:ind w:left="284" w:hanging="284"/>
              <w:jc w:val="right"/>
              <w:rPr>
                <w:color w:val="000000"/>
                <w:szCs w:val="22"/>
                <w:lang w:val="nl-BE" w:eastAsia="nl-BE"/>
              </w:rPr>
            </w:pPr>
            <w:r w:rsidRPr="00CF755A">
              <w:rPr>
                <w:color w:val="000000"/>
                <w:szCs w:val="22"/>
                <w:lang w:val="nl-BE" w:eastAsia="nl-BE"/>
              </w:rPr>
              <w:t>5,7</w:t>
            </w:r>
            <w:r w:rsidR="005E1A71">
              <w:rPr>
                <w:color w:val="000000"/>
                <w:szCs w:val="22"/>
                <w:lang w:val="nl-BE" w:eastAsia="nl-BE"/>
              </w:rPr>
              <w:t>4</w:t>
            </w:r>
            <w:r w:rsidRPr="00CF755A">
              <w:rPr>
                <w:color w:val="000000"/>
                <w:szCs w:val="22"/>
                <w:lang w:val="nl-BE" w:eastAsia="nl-BE"/>
              </w:rPr>
              <w:t>%</w:t>
            </w:r>
          </w:p>
        </w:tc>
      </w:tr>
      <w:tr w:rsidR="00CF755A" w:rsidRPr="00CF755A" w:rsidTr="005E1A71">
        <w:trPr>
          <w:trHeight w:val="315"/>
          <w:jc w:val="center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55A" w:rsidRPr="00CF755A" w:rsidRDefault="00CF755A" w:rsidP="00E64AD0">
            <w:pPr>
              <w:ind w:left="284" w:hanging="284"/>
              <w:rPr>
                <w:b/>
                <w:bCs/>
                <w:szCs w:val="22"/>
                <w:lang w:val="nl-BE" w:eastAsia="nl-BE"/>
              </w:rPr>
            </w:pPr>
            <w:r w:rsidRPr="00CF755A">
              <w:rPr>
                <w:b/>
                <w:bCs/>
                <w:szCs w:val="22"/>
                <w:lang w:val="nl-BE" w:eastAsia="nl-BE"/>
              </w:rPr>
              <w:t>Vlaams-Brabant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55A" w:rsidRPr="00CF755A" w:rsidRDefault="00CF755A" w:rsidP="00E64AD0">
            <w:pPr>
              <w:ind w:left="284" w:hanging="284"/>
              <w:jc w:val="right"/>
              <w:rPr>
                <w:szCs w:val="22"/>
                <w:lang w:val="nl-BE" w:eastAsia="nl-BE"/>
              </w:rPr>
            </w:pPr>
            <w:r w:rsidRPr="00CF755A">
              <w:rPr>
                <w:szCs w:val="22"/>
                <w:lang w:val="nl-BE" w:eastAsia="nl-BE"/>
              </w:rPr>
              <w:t>1.524.106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55A" w:rsidRPr="00CF755A" w:rsidRDefault="00CF755A" w:rsidP="00E64AD0">
            <w:pPr>
              <w:ind w:left="284" w:hanging="284"/>
              <w:jc w:val="right"/>
              <w:rPr>
                <w:color w:val="000000"/>
                <w:szCs w:val="22"/>
                <w:lang w:val="nl-BE" w:eastAsia="nl-BE"/>
              </w:rPr>
            </w:pPr>
            <w:r w:rsidRPr="00CF755A">
              <w:rPr>
                <w:color w:val="000000"/>
                <w:szCs w:val="22"/>
                <w:lang w:val="nl-BE" w:eastAsia="nl-BE"/>
              </w:rPr>
              <w:t>90.471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55A" w:rsidRPr="00CF755A" w:rsidRDefault="00CF755A" w:rsidP="00E64AD0">
            <w:pPr>
              <w:ind w:left="284" w:hanging="284"/>
              <w:jc w:val="right"/>
              <w:rPr>
                <w:color w:val="000000"/>
                <w:szCs w:val="22"/>
                <w:lang w:val="nl-BE" w:eastAsia="nl-BE"/>
              </w:rPr>
            </w:pPr>
            <w:r w:rsidRPr="00CF755A">
              <w:rPr>
                <w:color w:val="000000"/>
                <w:szCs w:val="22"/>
                <w:lang w:val="nl-BE" w:eastAsia="nl-BE"/>
              </w:rPr>
              <w:t>5,94%</w:t>
            </w:r>
          </w:p>
        </w:tc>
      </w:tr>
      <w:tr w:rsidR="00CF755A" w:rsidRPr="00CF755A" w:rsidTr="005E1A71">
        <w:trPr>
          <w:trHeight w:val="315"/>
          <w:jc w:val="center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55A" w:rsidRPr="00CF755A" w:rsidRDefault="00CF755A" w:rsidP="00E64AD0">
            <w:pPr>
              <w:ind w:left="284" w:hanging="284"/>
              <w:rPr>
                <w:b/>
                <w:bCs/>
                <w:szCs w:val="22"/>
                <w:lang w:val="nl-BE" w:eastAsia="nl-BE"/>
              </w:rPr>
            </w:pPr>
            <w:r w:rsidRPr="00CF755A">
              <w:rPr>
                <w:b/>
                <w:bCs/>
                <w:szCs w:val="22"/>
                <w:lang w:val="nl-BE" w:eastAsia="nl-BE"/>
              </w:rPr>
              <w:t>West-Vlaanderen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55A" w:rsidRPr="00CF755A" w:rsidRDefault="00CF755A" w:rsidP="00E64AD0">
            <w:pPr>
              <w:ind w:left="284" w:hanging="284"/>
              <w:jc w:val="right"/>
              <w:rPr>
                <w:szCs w:val="22"/>
                <w:lang w:val="nl-BE" w:eastAsia="nl-BE"/>
              </w:rPr>
            </w:pPr>
            <w:r w:rsidRPr="00CF755A">
              <w:rPr>
                <w:szCs w:val="22"/>
                <w:lang w:val="nl-BE" w:eastAsia="nl-BE"/>
              </w:rPr>
              <w:t>2.776.027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55A" w:rsidRPr="00CF755A" w:rsidRDefault="00CF755A" w:rsidP="00E64AD0">
            <w:pPr>
              <w:ind w:left="284" w:hanging="284"/>
              <w:jc w:val="right"/>
              <w:rPr>
                <w:color w:val="000000"/>
                <w:szCs w:val="22"/>
                <w:lang w:val="nl-BE" w:eastAsia="nl-BE"/>
              </w:rPr>
            </w:pPr>
            <w:r w:rsidRPr="00CF755A">
              <w:rPr>
                <w:color w:val="000000"/>
                <w:szCs w:val="22"/>
                <w:lang w:val="nl-BE" w:eastAsia="nl-BE"/>
              </w:rPr>
              <w:t>154.529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55A" w:rsidRPr="00CF755A" w:rsidRDefault="00CF755A" w:rsidP="00E64AD0">
            <w:pPr>
              <w:ind w:left="284" w:hanging="284"/>
              <w:jc w:val="right"/>
              <w:rPr>
                <w:color w:val="000000"/>
                <w:szCs w:val="22"/>
                <w:lang w:val="nl-BE" w:eastAsia="nl-BE"/>
              </w:rPr>
            </w:pPr>
            <w:r w:rsidRPr="00CF755A">
              <w:rPr>
                <w:color w:val="000000"/>
                <w:szCs w:val="22"/>
                <w:lang w:val="nl-BE" w:eastAsia="nl-BE"/>
              </w:rPr>
              <w:t>5,57%</w:t>
            </w:r>
          </w:p>
        </w:tc>
      </w:tr>
      <w:tr w:rsidR="00CF755A" w:rsidRPr="00CF755A" w:rsidTr="005E1A71">
        <w:trPr>
          <w:trHeight w:val="315"/>
          <w:jc w:val="center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55A" w:rsidRPr="00CF755A" w:rsidRDefault="00CF755A" w:rsidP="00E64AD0">
            <w:pPr>
              <w:ind w:left="284" w:hanging="284"/>
              <w:rPr>
                <w:b/>
                <w:bCs/>
                <w:szCs w:val="22"/>
                <w:lang w:val="nl-BE" w:eastAsia="nl-BE"/>
              </w:rPr>
            </w:pPr>
            <w:r w:rsidRPr="00CF755A">
              <w:rPr>
                <w:b/>
                <w:bCs/>
                <w:szCs w:val="22"/>
                <w:lang w:val="nl-BE" w:eastAsia="nl-BE"/>
              </w:rPr>
              <w:t>Oost-Vlaanderen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55A" w:rsidRPr="00CF755A" w:rsidRDefault="00CF755A" w:rsidP="00E64AD0">
            <w:pPr>
              <w:ind w:left="284" w:hanging="284"/>
              <w:jc w:val="right"/>
              <w:rPr>
                <w:szCs w:val="22"/>
                <w:lang w:val="nl-BE" w:eastAsia="nl-BE"/>
              </w:rPr>
            </w:pPr>
            <w:r w:rsidRPr="00CF755A">
              <w:rPr>
                <w:szCs w:val="22"/>
                <w:lang w:val="nl-BE" w:eastAsia="nl-BE"/>
              </w:rPr>
              <w:t>2.996.703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55A" w:rsidRPr="00CF755A" w:rsidRDefault="00CF755A" w:rsidP="00E64AD0">
            <w:pPr>
              <w:ind w:left="284" w:hanging="284"/>
              <w:jc w:val="right"/>
              <w:rPr>
                <w:color w:val="000000"/>
                <w:szCs w:val="22"/>
                <w:lang w:val="nl-BE" w:eastAsia="nl-BE"/>
              </w:rPr>
            </w:pPr>
            <w:r w:rsidRPr="00CF755A">
              <w:rPr>
                <w:color w:val="000000"/>
                <w:szCs w:val="22"/>
                <w:lang w:val="nl-BE" w:eastAsia="nl-BE"/>
              </w:rPr>
              <w:t>135.01</w:t>
            </w:r>
            <w:r w:rsidR="005E1A71">
              <w:rPr>
                <w:color w:val="000000"/>
                <w:szCs w:val="22"/>
                <w:lang w:val="nl-BE" w:eastAsia="nl-BE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55A" w:rsidRPr="00CF755A" w:rsidRDefault="00CF755A" w:rsidP="00E64AD0">
            <w:pPr>
              <w:ind w:left="284" w:hanging="284"/>
              <w:jc w:val="right"/>
              <w:rPr>
                <w:color w:val="000000"/>
                <w:szCs w:val="22"/>
                <w:lang w:val="nl-BE" w:eastAsia="nl-BE"/>
              </w:rPr>
            </w:pPr>
            <w:r w:rsidRPr="00CF755A">
              <w:rPr>
                <w:color w:val="000000"/>
                <w:szCs w:val="22"/>
                <w:lang w:val="nl-BE" w:eastAsia="nl-BE"/>
              </w:rPr>
              <w:t>4,51%</w:t>
            </w:r>
          </w:p>
        </w:tc>
      </w:tr>
      <w:tr w:rsidR="00CF755A" w:rsidRPr="00CF755A" w:rsidTr="005E1A71">
        <w:trPr>
          <w:trHeight w:val="315"/>
          <w:jc w:val="center"/>
        </w:trPr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55A" w:rsidRPr="00CF755A" w:rsidRDefault="00CF755A" w:rsidP="00E64AD0">
            <w:pPr>
              <w:ind w:left="284" w:hanging="284"/>
              <w:rPr>
                <w:b/>
                <w:bCs/>
                <w:szCs w:val="22"/>
                <w:lang w:val="nl-BE" w:eastAsia="nl-BE"/>
              </w:rPr>
            </w:pPr>
            <w:r w:rsidRPr="00CF755A">
              <w:rPr>
                <w:b/>
                <w:bCs/>
                <w:szCs w:val="22"/>
                <w:lang w:val="nl-BE" w:eastAsia="nl-BE"/>
              </w:rPr>
              <w:t>Limburg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55A" w:rsidRPr="00CF755A" w:rsidRDefault="00CF755A" w:rsidP="00E64AD0">
            <w:pPr>
              <w:ind w:left="284" w:hanging="284"/>
              <w:jc w:val="right"/>
              <w:rPr>
                <w:szCs w:val="22"/>
                <w:lang w:val="nl-BE" w:eastAsia="nl-BE"/>
              </w:rPr>
            </w:pPr>
            <w:r w:rsidRPr="00CF755A">
              <w:rPr>
                <w:szCs w:val="22"/>
                <w:lang w:val="nl-BE" w:eastAsia="nl-BE"/>
              </w:rPr>
              <w:t>2.669.383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55A" w:rsidRPr="00CF755A" w:rsidRDefault="00CF755A" w:rsidP="00E64AD0">
            <w:pPr>
              <w:ind w:left="284" w:hanging="284"/>
              <w:jc w:val="right"/>
              <w:rPr>
                <w:color w:val="000000"/>
                <w:szCs w:val="22"/>
                <w:lang w:val="nl-BE" w:eastAsia="nl-BE"/>
              </w:rPr>
            </w:pPr>
            <w:r w:rsidRPr="00CF755A">
              <w:rPr>
                <w:color w:val="000000"/>
                <w:szCs w:val="22"/>
                <w:lang w:val="nl-BE" w:eastAsia="nl-BE"/>
              </w:rPr>
              <w:t>128.34</w:t>
            </w:r>
            <w:r w:rsidR="005E1A71">
              <w:rPr>
                <w:color w:val="000000"/>
                <w:szCs w:val="22"/>
                <w:lang w:val="nl-BE" w:eastAsia="nl-BE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55A" w:rsidRPr="00CF755A" w:rsidRDefault="00CF755A" w:rsidP="00E64AD0">
            <w:pPr>
              <w:ind w:left="284" w:hanging="284"/>
              <w:jc w:val="right"/>
              <w:rPr>
                <w:color w:val="000000"/>
                <w:szCs w:val="22"/>
                <w:lang w:val="nl-BE" w:eastAsia="nl-BE"/>
              </w:rPr>
            </w:pPr>
            <w:r w:rsidRPr="00CF755A">
              <w:rPr>
                <w:color w:val="000000"/>
                <w:szCs w:val="22"/>
                <w:lang w:val="nl-BE" w:eastAsia="nl-BE"/>
              </w:rPr>
              <w:t>4,81%</w:t>
            </w:r>
          </w:p>
        </w:tc>
      </w:tr>
      <w:tr w:rsidR="00CF755A" w:rsidRPr="00CF755A" w:rsidTr="005E1A71">
        <w:trPr>
          <w:trHeight w:val="30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55A" w:rsidRPr="00CF755A" w:rsidRDefault="00CF755A" w:rsidP="00E64AD0">
            <w:pPr>
              <w:ind w:left="284" w:hanging="284"/>
              <w:rPr>
                <w:b/>
                <w:bCs/>
                <w:szCs w:val="22"/>
                <w:lang w:val="nl-BE" w:eastAsia="nl-BE"/>
              </w:rPr>
            </w:pPr>
            <w:r w:rsidRPr="00CF755A">
              <w:rPr>
                <w:b/>
                <w:bCs/>
                <w:szCs w:val="22"/>
                <w:lang w:val="nl-BE" w:eastAsia="nl-BE"/>
              </w:rPr>
              <w:t>Vlaams Gewest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55A" w:rsidRPr="00CF755A" w:rsidRDefault="00CF755A" w:rsidP="00E64AD0">
            <w:pPr>
              <w:ind w:left="284" w:hanging="284"/>
              <w:jc w:val="right"/>
              <w:rPr>
                <w:b/>
                <w:bCs/>
                <w:szCs w:val="22"/>
                <w:lang w:val="nl-BE" w:eastAsia="nl-BE"/>
              </w:rPr>
            </w:pPr>
            <w:r w:rsidRPr="00CF755A">
              <w:rPr>
                <w:b/>
                <w:bCs/>
                <w:szCs w:val="22"/>
                <w:lang w:val="nl-BE" w:eastAsia="nl-BE"/>
              </w:rPr>
              <w:t>12.58</w:t>
            </w:r>
            <w:r w:rsidR="005E1A71">
              <w:rPr>
                <w:b/>
                <w:bCs/>
                <w:szCs w:val="22"/>
                <w:lang w:val="nl-BE" w:eastAsia="nl-BE"/>
              </w:rPr>
              <w:t>5</w:t>
            </w:r>
            <w:r w:rsidRPr="00CF755A">
              <w:rPr>
                <w:b/>
                <w:bCs/>
                <w:szCs w:val="22"/>
                <w:lang w:val="nl-BE" w:eastAsia="nl-BE"/>
              </w:rPr>
              <w:t>.</w:t>
            </w:r>
            <w:r w:rsidR="005E1A71">
              <w:rPr>
                <w:b/>
                <w:bCs/>
                <w:szCs w:val="22"/>
                <w:lang w:val="nl-BE" w:eastAsia="nl-BE"/>
              </w:rPr>
              <w:t>979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55A" w:rsidRPr="00CF755A" w:rsidRDefault="00CF755A" w:rsidP="00E64AD0">
            <w:pPr>
              <w:ind w:left="284" w:hanging="284"/>
              <w:jc w:val="right"/>
              <w:rPr>
                <w:b/>
                <w:bCs/>
                <w:szCs w:val="22"/>
                <w:lang w:val="nl-BE" w:eastAsia="nl-BE"/>
              </w:rPr>
            </w:pPr>
            <w:r w:rsidRPr="00CF755A">
              <w:rPr>
                <w:b/>
                <w:bCs/>
                <w:szCs w:val="22"/>
                <w:lang w:val="nl-BE" w:eastAsia="nl-BE"/>
              </w:rPr>
              <w:t>658.769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55A" w:rsidRPr="00CF755A" w:rsidRDefault="00CF755A" w:rsidP="00E64AD0">
            <w:pPr>
              <w:ind w:left="284" w:hanging="284"/>
              <w:jc w:val="right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CF755A">
              <w:rPr>
                <w:b/>
                <w:bCs/>
                <w:color w:val="000000"/>
                <w:szCs w:val="22"/>
                <w:lang w:val="nl-BE" w:eastAsia="nl-BE"/>
              </w:rPr>
              <w:t>5,23%</w:t>
            </w:r>
          </w:p>
        </w:tc>
      </w:tr>
    </w:tbl>
    <w:p w:rsidR="00A23B3B" w:rsidRPr="003B632F" w:rsidRDefault="00A23B3B" w:rsidP="00E64AD0">
      <w:pPr>
        <w:ind w:left="284" w:hanging="284"/>
        <w:jc w:val="both"/>
        <w:rPr>
          <w:szCs w:val="22"/>
          <w:lang w:val="nl"/>
        </w:rPr>
      </w:pPr>
    </w:p>
    <w:p w:rsidR="00BD540B" w:rsidRPr="00FA589E" w:rsidRDefault="004240E8" w:rsidP="00E64AD0">
      <w:pPr>
        <w:pStyle w:val="Lijstalinea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2"/>
          <w:szCs w:val="22"/>
          <w:lang w:val="nl"/>
        </w:rPr>
      </w:pPr>
      <w:r w:rsidRPr="00FA589E">
        <w:rPr>
          <w:rFonts w:ascii="Times New Roman" w:hAnsi="Times New Roman"/>
          <w:sz w:val="22"/>
          <w:szCs w:val="22"/>
          <w:lang w:val="nl"/>
        </w:rPr>
        <w:t>Onderstaande tabel geeft een overzicht</w:t>
      </w:r>
      <w:r w:rsidR="00FA589E">
        <w:rPr>
          <w:rFonts w:ascii="Times New Roman" w:hAnsi="Times New Roman"/>
          <w:sz w:val="22"/>
          <w:szCs w:val="22"/>
          <w:lang w:val="nl"/>
        </w:rPr>
        <w:t>, per provincie,</w:t>
      </w:r>
      <w:r w:rsidRPr="00FA589E">
        <w:rPr>
          <w:rFonts w:ascii="Times New Roman" w:hAnsi="Times New Roman"/>
          <w:sz w:val="22"/>
          <w:szCs w:val="22"/>
          <w:lang w:val="nl"/>
        </w:rPr>
        <w:t xml:space="preserve"> van de oppervlakte aan bebouwbare reservegrond, gelegen in watergevoelig gebied.</w:t>
      </w:r>
    </w:p>
    <w:p w:rsidR="004240E8" w:rsidRPr="003B632F" w:rsidRDefault="004240E8" w:rsidP="00E64AD0">
      <w:pPr>
        <w:ind w:left="284" w:hanging="284"/>
        <w:jc w:val="both"/>
        <w:rPr>
          <w:szCs w:val="22"/>
          <w:lang w:val="nl"/>
        </w:rPr>
      </w:pPr>
    </w:p>
    <w:tbl>
      <w:tblPr>
        <w:tblW w:w="454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5"/>
        <w:gridCol w:w="2180"/>
      </w:tblGrid>
      <w:tr w:rsidR="004240E8" w:rsidRPr="003B632F" w:rsidTr="005E1A71">
        <w:trPr>
          <w:trHeight w:val="315"/>
          <w:jc w:val="center"/>
        </w:trPr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E8" w:rsidRPr="003B632F" w:rsidRDefault="004240E8" w:rsidP="00E64AD0">
            <w:pPr>
              <w:ind w:left="284" w:hanging="284"/>
              <w:rPr>
                <w:b/>
                <w:bCs/>
                <w:szCs w:val="22"/>
                <w:lang w:val="nl-BE" w:eastAsia="nl-BE"/>
              </w:rPr>
            </w:pPr>
            <w:r w:rsidRPr="003B632F">
              <w:rPr>
                <w:b/>
                <w:bCs/>
                <w:szCs w:val="22"/>
                <w:lang w:val="nl-BE" w:eastAsia="nl-BE"/>
              </w:rPr>
              <w:t>Provincie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0E8" w:rsidRPr="003B632F" w:rsidRDefault="004240E8" w:rsidP="00E64AD0">
            <w:pPr>
              <w:ind w:left="284" w:hanging="284"/>
              <w:rPr>
                <w:b/>
                <w:bCs/>
                <w:szCs w:val="22"/>
                <w:lang w:val="nl-BE" w:eastAsia="nl-BE"/>
              </w:rPr>
            </w:pPr>
            <w:r w:rsidRPr="003B632F">
              <w:rPr>
                <w:b/>
                <w:bCs/>
                <w:szCs w:val="22"/>
                <w:lang w:val="nl-BE" w:eastAsia="nl-BE"/>
              </w:rPr>
              <w:t xml:space="preserve">Oppervlakte (in m²) </w:t>
            </w:r>
          </w:p>
        </w:tc>
      </w:tr>
      <w:tr w:rsidR="004240E8" w:rsidRPr="003B632F" w:rsidTr="005E1A71">
        <w:trPr>
          <w:trHeight w:val="300"/>
          <w:jc w:val="center"/>
        </w:trPr>
        <w:tc>
          <w:tcPr>
            <w:tcW w:w="2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E8" w:rsidRPr="003B632F" w:rsidRDefault="004240E8" w:rsidP="00E64AD0">
            <w:pPr>
              <w:ind w:left="284" w:hanging="284"/>
              <w:rPr>
                <w:b/>
                <w:bCs/>
                <w:szCs w:val="22"/>
                <w:lang w:val="nl-BE" w:eastAsia="nl-BE"/>
              </w:rPr>
            </w:pPr>
            <w:r w:rsidRPr="003B632F">
              <w:rPr>
                <w:b/>
                <w:bCs/>
                <w:szCs w:val="22"/>
                <w:lang w:val="nl-BE" w:eastAsia="nl-BE"/>
              </w:rPr>
              <w:t>Antwerpen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0E8" w:rsidRPr="003B632F" w:rsidRDefault="00D438CB" w:rsidP="00E64AD0">
            <w:pPr>
              <w:ind w:left="284" w:hanging="284"/>
              <w:jc w:val="right"/>
              <w:rPr>
                <w:szCs w:val="22"/>
                <w:lang w:val="nl-BE" w:eastAsia="nl-BE"/>
              </w:rPr>
            </w:pPr>
            <w:r w:rsidRPr="003B632F">
              <w:rPr>
                <w:szCs w:val="22"/>
                <w:lang w:val="nl-BE" w:eastAsia="nl-BE"/>
              </w:rPr>
              <w:t>166.248</w:t>
            </w:r>
          </w:p>
        </w:tc>
      </w:tr>
      <w:tr w:rsidR="004240E8" w:rsidRPr="003B632F" w:rsidTr="005E1A71">
        <w:trPr>
          <w:trHeight w:val="300"/>
          <w:jc w:val="center"/>
        </w:trPr>
        <w:tc>
          <w:tcPr>
            <w:tcW w:w="2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E8" w:rsidRPr="003B632F" w:rsidRDefault="004240E8" w:rsidP="00E64AD0">
            <w:pPr>
              <w:ind w:left="284" w:hanging="284"/>
              <w:rPr>
                <w:b/>
                <w:bCs/>
                <w:szCs w:val="22"/>
                <w:lang w:val="nl-BE" w:eastAsia="nl-BE"/>
              </w:rPr>
            </w:pPr>
            <w:r w:rsidRPr="003B632F">
              <w:rPr>
                <w:b/>
                <w:bCs/>
                <w:szCs w:val="22"/>
                <w:lang w:val="nl-BE" w:eastAsia="nl-BE"/>
              </w:rPr>
              <w:t>Vlaams-Brabant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0E8" w:rsidRPr="003B632F" w:rsidRDefault="00D438CB" w:rsidP="00E64AD0">
            <w:pPr>
              <w:ind w:left="284" w:hanging="284"/>
              <w:jc w:val="right"/>
              <w:rPr>
                <w:szCs w:val="22"/>
                <w:lang w:val="nl-BE" w:eastAsia="nl-BE"/>
              </w:rPr>
            </w:pPr>
            <w:r w:rsidRPr="003B632F">
              <w:rPr>
                <w:szCs w:val="22"/>
                <w:lang w:val="nl-BE" w:eastAsia="nl-BE"/>
              </w:rPr>
              <w:t>38.060</w:t>
            </w:r>
          </w:p>
        </w:tc>
      </w:tr>
      <w:tr w:rsidR="004240E8" w:rsidRPr="003B632F" w:rsidTr="005E1A71">
        <w:trPr>
          <w:trHeight w:val="300"/>
          <w:jc w:val="center"/>
        </w:trPr>
        <w:tc>
          <w:tcPr>
            <w:tcW w:w="2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E8" w:rsidRPr="003B632F" w:rsidRDefault="004240E8" w:rsidP="00E64AD0">
            <w:pPr>
              <w:ind w:left="284" w:hanging="284"/>
              <w:rPr>
                <w:b/>
                <w:bCs/>
                <w:szCs w:val="22"/>
                <w:lang w:val="nl-BE" w:eastAsia="nl-BE"/>
              </w:rPr>
            </w:pPr>
            <w:r w:rsidRPr="003B632F">
              <w:rPr>
                <w:b/>
                <w:bCs/>
                <w:szCs w:val="22"/>
                <w:lang w:val="nl-BE" w:eastAsia="nl-BE"/>
              </w:rPr>
              <w:t>West-Vlaanderen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0E8" w:rsidRPr="003B632F" w:rsidRDefault="00D438CB" w:rsidP="00E64AD0">
            <w:pPr>
              <w:ind w:left="284" w:hanging="284"/>
              <w:jc w:val="right"/>
              <w:rPr>
                <w:szCs w:val="22"/>
                <w:lang w:val="nl-BE" w:eastAsia="nl-BE"/>
              </w:rPr>
            </w:pPr>
            <w:r w:rsidRPr="003B632F">
              <w:rPr>
                <w:szCs w:val="22"/>
                <w:lang w:val="nl-BE" w:eastAsia="nl-BE"/>
              </w:rPr>
              <w:t>204.011</w:t>
            </w:r>
          </w:p>
        </w:tc>
      </w:tr>
      <w:tr w:rsidR="004240E8" w:rsidRPr="003B632F" w:rsidTr="005E1A71">
        <w:trPr>
          <w:trHeight w:val="300"/>
          <w:jc w:val="center"/>
        </w:trPr>
        <w:tc>
          <w:tcPr>
            <w:tcW w:w="2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E8" w:rsidRPr="003B632F" w:rsidRDefault="004240E8" w:rsidP="00E64AD0">
            <w:pPr>
              <w:ind w:left="284" w:hanging="284"/>
              <w:rPr>
                <w:b/>
                <w:bCs/>
                <w:szCs w:val="22"/>
                <w:lang w:val="nl-BE" w:eastAsia="nl-BE"/>
              </w:rPr>
            </w:pPr>
            <w:r w:rsidRPr="003B632F">
              <w:rPr>
                <w:b/>
                <w:bCs/>
                <w:szCs w:val="22"/>
                <w:lang w:val="nl-BE" w:eastAsia="nl-BE"/>
              </w:rPr>
              <w:t>Oost-Vlaanderen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0E8" w:rsidRPr="003B632F" w:rsidRDefault="00D438CB" w:rsidP="00E64AD0">
            <w:pPr>
              <w:ind w:left="284" w:hanging="284"/>
              <w:jc w:val="right"/>
              <w:rPr>
                <w:szCs w:val="22"/>
                <w:lang w:val="nl-BE" w:eastAsia="nl-BE"/>
              </w:rPr>
            </w:pPr>
            <w:r w:rsidRPr="003B632F">
              <w:rPr>
                <w:szCs w:val="22"/>
                <w:lang w:val="nl-BE" w:eastAsia="nl-BE"/>
              </w:rPr>
              <w:t>109.923</w:t>
            </w:r>
            <w:r w:rsidR="004240E8" w:rsidRPr="003B632F">
              <w:rPr>
                <w:szCs w:val="22"/>
                <w:lang w:val="nl-BE" w:eastAsia="nl-BE"/>
              </w:rPr>
              <w:t xml:space="preserve">                      </w:t>
            </w:r>
          </w:p>
        </w:tc>
      </w:tr>
      <w:tr w:rsidR="004240E8" w:rsidRPr="003B632F" w:rsidTr="005E1A71">
        <w:trPr>
          <w:trHeight w:val="315"/>
          <w:jc w:val="center"/>
        </w:trPr>
        <w:tc>
          <w:tcPr>
            <w:tcW w:w="23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E8" w:rsidRPr="003B632F" w:rsidRDefault="004240E8" w:rsidP="00E64AD0">
            <w:pPr>
              <w:ind w:left="284" w:hanging="284"/>
              <w:rPr>
                <w:b/>
                <w:bCs/>
                <w:szCs w:val="22"/>
                <w:lang w:val="nl-BE" w:eastAsia="nl-BE"/>
              </w:rPr>
            </w:pPr>
            <w:r w:rsidRPr="003B632F">
              <w:rPr>
                <w:b/>
                <w:bCs/>
                <w:szCs w:val="22"/>
                <w:lang w:val="nl-BE" w:eastAsia="nl-BE"/>
              </w:rPr>
              <w:t>Limburg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0E8" w:rsidRPr="003B632F" w:rsidRDefault="00D438CB" w:rsidP="00E64AD0">
            <w:pPr>
              <w:ind w:left="284" w:hanging="284"/>
              <w:jc w:val="right"/>
              <w:rPr>
                <w:szCs w:val="22"/>
                <w:lang w:val="nl-BE" w:eastAsia="nl-BE"/>
              </w:rPr>
            </w:pPr>
            <w:r w:rsidRPr="003B632F">
              <w:rPr>
                <w:szCs w:val="22"/>
                <w:lang w:val="nl-BE" w:eastAsia="nl-BE"/>
              </w:rPr>
              <w:t>26.366</w:t>
            </w:r>
          </w:p>
        </w:tc>
      </w:tr>
      <w:tr w:rsidR="004240E8" w:rsidRPr="009965F9" w:rsidTr="005E1A71">
        <w:trPr>
          <w:trHeight w:val="315"/>
          <w:jc w:val="center"/>
        </w:trPr>
        <w:tc>
          <w:tcPr>
            <w:tcW w:w="2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E8" w:rsidRPr="003B632F" w:rsidRDefault="004240E8" w:rsidP="00E64AD0">
            <w:pPr>
              <w:ind w:left="284" w:hanging="284"/>
              <w:rPr>
                <w:b/>
                <w:bCs/>
                <w:szCs w:val="22"/>
                <w:lang w:val="nl-BE" w:eastAsia="nl-BE"/>
              </w:rPr>
            </w:pPr>
            <w:r w:rsidRPr="003B632F">
              <w:rPr>
                <w:b/>
                <w:bCs/>
                <w:szCs w:val="22"/>
                <w:lang w:val="nl-BE" w:eastAsia="nl-BE"/>
              </w:rPr>
              <w:t>Totaal Vlaams Gewest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40E8" w:rsidRPr="009965F9" w:rsidRDefault="00D438CB" w:rsidP="00E64AD0">
            <w:pPr>
              <w:ind w:left="284" w:hanging="284"/>
              <w:jc w:val="right"/>
              <w:rPr>
                <w:b/>
                <w:szCs w:val="22"/>
                <w:lang w:val="nl-BE" w:eastAsia="nl-BE"/>
              </w:rPr>
            </w:pPr>
            <w:r w:rsidRPr="009965F9">
              <w:rPr>
                <w:b/>
                <w:szCs w:val="22"/>
                <w:lang w:val="nl-BE" w:eastAsia="nl-BE"/>
              </w:rPr>
              <w:t>544.608</w:t>
            </w:r>
          </w:p>
        </w:tc>
      </w:tr>
    </w:tbl>
    <w:p w:rsidR="00BD540B" w:rsidRPr="009D01FE" w:rsidRDefault="00BD540B" w:rsidP="00E64AD0">
      <w:pPr>
        <w:ind w:left="284" w:hanging="284"/>
        <w:jc w:val="both"/>
        <w:rPr>
          <w:szCs w:val="22"/>
          <w:lang w:val="nl"/>
        </w:rPr>
      </w:pPr>
    </w:p>
    <w:p w:rsidR="00BD540B" w:rsidRPr="009D01FE" w:rsidRDefault="00AF4376" w:rsidP="00E64AD0">
      <w:pPr>
        <w:pStyle w:val="Lijstalinea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2"/>
          <w:szCs w:val="22"/>
          <w:lang w:val="nl"/>
        </w:rPr>
      </w:pPr>
      <w:r>
        <w:rPr>
          <w:rFonts w:ascii="Times New Roman" w:hAnsi="Times New Roman"/>
          <w:sz w:val="22"/>
          <w:szCs w:val="22"/>
          <w:lang w:val="nl"/>
        </w:rPr>
        <w:t xml:space="preserve">Het is </w:t>
      </w:r>
      <w:r w:rsidRPr="009D01FE">
        <w:rPr>
          <w:rFonts w:ascii="Times New Roman" w:hAnsi="Times New Roman"/>
          <w:sz w:val="22"/>
          <w:szCs w:val="22"/>
          <w:lang w:val="nl"/>
        </w:rPr>
        <w:t xml:space="preserve">onmogelijk een correcte inschatting te maken van de ingebruikname </w:t>
      </w:r>
      <w:r>
        <w:rPr>
          <w:rFonts w:ascii="Times New Roman" w:hAnsi="Times New Roman"/>
          <w:sz w:val="22"/>
          <w:szCs w:val="22"/>
          <w:lang w:val="nl"/>
        </w:rPr>
        <w:t xml:space="preserve">voor </w:t>
      </w:r>
      <w:r w:rsidRPr="009D01FE">
        <w:rPr>
          <w:rFonts w:ascii="Times New Roman" w:hAnsi="Times New Roman"/>
          <w:sz w:val="22"/>
          <w:szCs w:val="22"/>
          <w:lang w:val="nl"/>
        </w:rPr>
        <w:t>lopende projecten in 2013</w:t>
      </w:r>
      <w:r w:rsidR="00D77655" w:rsidRPr="009D01FE">
        <w:rPr>
          <w:rFonts w:ascii="Times New Roman" w:hAnsi="Times New Roman"/>
          <w:sz w:val="22"/>
          <w:szCs w:val="22"/>
          <w:lang w:val="nl"/>
        </w:rPr>
        <w:t>, gelet op de diverse aspecten binnen het ontwikkelingsproces van sociale woningbouwprojecten, die het bouwproces versnelle</w:t>
      </w:r>
      <w:r>
        <w:rPr>
          <w:rFonts w:ascii="Times New Roman" w:hAnsi="Times New Roman"/>
          <w:sz w:val="22"/>
          <w:szCs w:val="22"/>
          <w:lang w:val="nl"/>
        </w:rPr>
        <w:t>n dan wel vertragen.</w:t>
      </w:r>
    </w:p>
    <w:p w:rsidR="00BD540B" w:rsidRPr="009D01FE" w:rsidRDefault="00BD540B" w:rsidP="00E64AD0">
      <w:pPr>
        <w:ind w:left="284" w:hanging="284"/>
        <w:jc w:val="both"/>
        <w:rPr>
          <w:szCs w:val="22"/>
          <w:lang w:val="nl"/>
        </w:rPr>
      </w:pPr>
    </w:p>
    <w:p w:rsidR="00536A73" w:rsidRDefault="00536A73" w:rsidP="00E64AD0">
      <w:pPr>
        <w:pStyle w:val="Lijstalinea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2"/>
          <w:szCs w:val="22"/>
          <w:lang w:val="nl"/>
        </w:rPr>
      </w:pPr>
      <w:r>
        <w:rPr>
          <w:rFonts w:ascii="Times New Roman" w:hAnsi="Times New Roman"/>
          <w:sz w:val="22"/>
          <w:szCs w:val="22"/>
          <w:lang w:val="nl"/>
        </w:rPr>
        <w:t xml:space="preserve">Het zijn in eerste instantie de sociale huisvestingsmaatschappiojen (SHM’s) </w:t>
      </w:r>
      <w:r w:rsidR="008B6470" w:rsidRPr="009D01FE">
        <w:rPr>
          <w:rFonts w:ascii="Times New Roman" w:hAnsi="Times New Roman"/>
          <w:sz w:val="22"/>
          <w:szCs w:val="22"/>
          <w:lang w:val="nl"/>
        </w:rPr>
        <w:t>die een sociaal woonaanbod realiseren en vervolgens verhuren en/of verkopen. Z</w:t>
      </w:r>
      <w:r w:rsidR="00107040">
        <w:rPr>
          <w:rFonts w:ascii="Times New Roman" w:hAnsi="Times New Roman"/>
          <w:sz w:val="22"/>
          <w:szCs w:val="22"/>
          <w:lang w:val="nl"/>
        </w:rPr>
        <w:t>e</w:t>
      </w:r>
      <w:r w:rsidR="008B6470" w:rsidRPr="009D01FE">
        <w:rPr>
          <w:rFonts w:ascii="Times New Roman" w:hAnsi="Times New Roman"/>
          <w:sz w:val="22"/>
          <w:szCs w:val="22"/>
          <w:lang w:val="nl"/>
        </w:rPr>
        <w:t xml:space="preserve"> zijn </w:t>
      </w:r>
      <w:r>
        <w:rPr>
          <w:rFonts w:ascii="Times New Roman" w:hAnsi="Times New Roman"/>
          <w:sz w:val="22"/>
          <w:szCs w:val="22"/>
          <w:lang w:val="nl"/>
        </w:rPr>
        <w:t xml:space="preserve">de </w:t>
      </w:r>
      <w:r w:rsidR="008B6470" w:rsidRPr="009D01FE">
        <w:rPr>
          <w:rFonts w:ascii="Times New Roman" w:hAnsi="Times New Roman"/>
          <w:sz w:val="22"/>
          <w:szCs w:val="22"/>
          <w:lang w:val="nl"/>
        </w:rPr>
        <w:t>bouw</w:t>
      </w:r>
      <w:r w:rsidR="00C95A8A" w:rsidRPr="009D01FE">
        <w:rPr>
          <w:rFonts w:ascii="Times New Roman" w:hAnsi="Times New Roman"/>
          <w:sz w:val="22"/>
          <w:szCs w:val="22"/>
          <w:lang w:val="nl"/>
        </w:rPr>
        <w:t>actoren</w:t>
      </w:r>
      <w:r>
        <w:rPr>
          <w:rFonts w:ascii="Times New Roman" w:hAnsi="Times New Roman"/>
          <w:sz w:val="22"/>
          <w:szCs w:val="22"/>
          <w:lang w:val="nl"/>
        </w:rPr>
        <w:t xml:space="preserve">, waarvoor </w:t>
      </w:r>
      <w:r w:rsidR="008B6470" w:rsidRPr="009D01FE">
        <w:rPr>
          <w:rFonts w:ascii="Times New Roman" w:hAnsi="Times New Roman"/>
          <w:sz w:val="22"/>
          <w:szCs w:val="22"/>
          <w:lang w:val="nl"/>
        </w:rPr>
        <w:t xml:space="preserve">een gedegen grondbeleid </w:t>
      </w:r>
      <w:r w:rsidR="00D173BF">
        <w:rPr>
          <w:rFonts w:ascii="Times New Roman" w:hAnsi="Times New Roman"/>
          <w:sz w:val="22"/>
          <w:szCs w:val="22"/>
          <w:lang w:val="nl"/>
        </w:rPr>
        <w:t xml:space="preserve">een  hoeksteen </w:t>
      </w:r>
      <w:r w:rsidR="00C95A8A" w:rsidRPr="009D01FE">
        <w:rPr>
          <w:rFonts w:ascii="Times New Roman" w:hAnsi="Times New Roman"/>
          <w:sz w:val="22"/>
          <w:szCs w:val="22"/>
          <w:lang w:val="nl"/>
        </w:rPr>
        <w:t xml:space="preserve">van </w:t>
      </w:r>
      <w:r>
        <w:rPr>
          <w:rFonts w:ascii="Times New Roman" w:hAnsi="Times New Roman"/>
          <w:sz w:val="22"/>
          <w:szCs w:val="22"/>
          <w:lang w:val="nl"/>
        </w:rPr>
        <w:t xml:space="preserve">het </w:t>
      </w:r>
      <w:r w:rsidR="00C95A8A" w:rsidRPr="009D01FE">
        <w:rPr>
          <w:rFonts w:ascii="Times New Roman" w:hAnsi="Times New Roman"/>
          <w:sz w:val="22"/>
          <w:szCs w:val="22"/>
          <w:lang w:val="nl"/>
        </w:rPr>
        <w:t>beleid</w:t>
      </w:r>
      <w:r>
        <w:rPr>
          <w:rFonts w:ascii="Times New Roman" w:hAnsi="Times New Roman"/>
          <w:sz w:val="22"/>
          <w:szCs w:val="22"/>
          <w:lang w:val="nl"/>
        </w:rPr>
        <w:t xml:space="preserve"> vormt</w:t>
      </w:r>
      <w:r w:rsidR="00C95A8A" w:rsidRPr="009D01FE">
        <w:rPr>
          <w:rFonts w:ascii="Times New Roman" w:hAnsi="Times New Roman"/>
          <w:sz w:val="22"/>
          <w:szCs w:val="22"/>
          <w:lang w:val="nl"/>
        </w:rPr>
        <w:t>.</w:t>
      </w:r>
      <w:r>
        <w:rPr>
          <w:rFonts w:ascii="Times New Roman" w:hAnsi="Times New Roman"/>
          <w:sz w:val="22"/>
          <w:szCs w:val="22"/>
          <w:lang w:val="nl"/>
        </w:rPr>
        <w:t xml:space="preserve"> Uiteraard is dit ook gericht op het verwerven van bijkomend gebied teneinde te kunnen voldoen aan de vraag.</w:t>
      </w:r>
      <w:r w:rsidR="00C95A8A" w:rsidRPr="009D01FE">
        <w:rPr>
          <w:rFonts w:ascii="Times New Roman" w:hAnsi="Times New Roman"/>
          <w:sz w:val="22"/>
          <w:szCs w:val="22"/>
          <w:lang w:val="nl"/>
        </w:rPr>
        <w:t xml:space="preserve"> </w:t>
      </w:r>
    </w:p>
    <w:p w:rsidR="00536A73" w:rsidRPr="00536A73" w:rsidRDefault="00536A73" w:rsidP="00E64AD0">
      <w:pPr>
        <w:pStyle w:val="Lijstalinea"/>
        <w:ind w:left="284" w:hanging="284"/>
        <w:rPr>
          <w:rFonts w:ascii="Times New Roman" w:hAnsi="Times New Roman"/>
          <w:sz w:val="22"/>
          <w:szCs w:val="22"/>
          <w:lang w:val="nl"/>
        </w:rPr>
      </w:pPr>
    </w:p>
    <w:p w:rsidR="00844BE4" w:rsidRPr="009D01FE" w:rsidRDefault="008B6470" w:rsidP="00E64AD0">
      <w:pPr>
        <w:pStyle w:val="Lijstalinea"/>
        <w:ind w:left="284"/>
        <w:jc w:val="both"/>
        <w:rPr>
          <w:rFonts w:ascii="Times New Roman" w:hAnsi="Times New Roman"/>
          <w:sz w:val="22"/>
          <w:szCs w:val="22"/>
          <w:lang w:val="nl"/>
        </w:rPr>
      </w:pPr>
      <w:r w:rsidRPr="009D01FE">
        <w:rPr>
          <w:rFonts w:ascii="Times New Roman" w:hAnsi="Times New Roman"/>
          <w:sz w:val="22"/>
          <w:szCs w:val="22"/>
          <w:lang w:val="nl"/>
        </w:rPr>
        <w:t>And</w:t>
      </w:r>
      <w:r w:rsidR="00E463AC" w:rsidRPr="009D01FE">
        <w:rPr>
          <w:rFonts w:ascii="Times New Roman" w:hAnsi="Times New Roman"/>
          <w:sz w:val="22"/>
          <w:szCs w:val="22"/>
          <w:lang w:val="nl"/>
        </w:rPr>
        <w:t>erzijds is er de VMSW, die als taak heeft het sociaal wonen mogelijk te maken</w:t>
      </w:r>
      <w:r w:rsidRPr="009D01FE">
        <w:rPr>
          <w:rFonts w:ascii="Times New Roman" w:hAnsi="Times New Roman"/>
          <w:sz w:val="22"/>
          <w:szCs w:val="22"/>
          <w:lang w:val="nl"/>
        </w:rPr>
        <w:t xml:space="preserve">. </w:t>
      </w:r>
      <w:r w:rsidR="00D173BF">
        <w:rPr>
          <w:rFonts w:ascii="Times New Roman" w:hAnsi="Times New Roman"/>
          <w:sz w:val="22"/>
          <w:szCs w:val="22"/>
          <w:lang w:val="nl"/>
        </w:rPr>
        <w:t xml:space="preserve">De VMSW </w:t>
      </w:r>
      <w:r w:rsidR="00D173BF">
        <w:rPr>
          <w:rFonts w:ascii="Times New Roman" w:hAnsi="Times New Roman"/>
          <w:sz w:val="22"/>
          <w:szCs w:val="22"/>
          <w:lang w:val="nl"/>
        </w:rPr>
        <w:lastRenderedPageBreak/>
        <w:t>heeft</w:t>
      </w:r>
      <w:r w:rsidR="00E463AC" w:rsidRPr="009D01FE">
        <w:rPr>
          <w:rFonts w:ascii="Times New Roman" w:hAnsi="Times New Roman"/>
          <w:sz w:val="22"/>
          <w:szCs w:val="22"/>
          <w:lang w:val="nl"/>
        </w:rPr>
        <w:t xml:space="preserve"> een voornamelijk faci</w:t>
      </w:r>
      <w:r w:rsidR="00D173BF">
        <w:rPr>
          <w:rFonts w:ascii="Times New Roman" w:hAnsi="Times New Roman"/>
          <w:sz w:val="22"/>
          <w:szCs w:val="22"/>
          <w:lang w:val="nl"/>
        </w:rPr>
        <w:t>literende rol ten aanzien van d</w:t>
      </w:r>
      <w:r w:rsidR="00E463AC" w:rsidRPr="009D01FE">
        <w:rPr>
          <w:rFonts w:ascii="Times New Roman" w:hAnsi="Times New Roman"/>
          <w:sz w:val="22"/>
          <w:szCs w:val="22"/>
          <w:lang w:val="nl"/>
        </w:rPr>
        <w:t xml:space="preserve">e actoren (in hoofdzaak de SHM’s) die </w:t>
      </w:r>
      <w:r w:rsidRPr="009D01FE">
        <w:rPr>
          <w:rFonts w:ascii="Times New Roman" w:hAnsi="Times New Roman"/>
          <w:sz w:val="22"/>
          <w:szCs w:val="22"/>
          <w:lang w:val="nl"/>
        </w:rPr>
        <w:t xml:space="preserve">het sociaal woonaanbod effectief realiseren. </w:t>
      </w:r>
      <w:r w:rsidR="00536A73">
        <w:rPr>
          <w:rFonts w:ascii="Times New Roman" w:hAnsi="Times New Roman"/>
          <w:sz w:val="22"/>
          <w:szCs w:val="22"/>
          <w:lang w:val="nl"/>
        </w:rPr>
        <w:t>D</w:t>
      </w:r>
      <w:r w:rsidRPr="009D01FE">
        <w:rPr>
          <w:rFonts w:ascii="Times New Roman" w:hAnsi="Times New Roman"/>
          <w:sz w:val="22"/>
          <w:szCs w:val="22"/>
          <w:lang w:val="nl"/>
        </w:rPr>
        <w:t xml:space="preserve">e VMSW </w:t>
      </w:r>
      <w:r w:rsidR="00536A73">
        <w:rPr>
          <w:rFonts w:ascii="Times New Roman" w:hAnsi="Times New Roman"/>
          <w:sz w:val="22"/>
          <w:szCs w:val="22"/>
          <w:lang w:val="nl"/>
        </w:rPr>
        <w:t xml:space="preserve">voert zelf </w:t>
      </w:r>
      <w:r w:rsidRPr="009D01FE">
        <w:rPr>
          <w:rFonts w:ascii="Times New Roman" w:hAnsi="Times New Roman"/>
          <w:sz w:val="22"/>
          <w:szCs w:val="22"/>
          <w:lang w:val="nl"/>
        </w:rPr>
        <w:t xml:space="preserve">geen </w:t>
      </w:r>
      <w:r w:rsidR="00536A73">
        <w:rPr>
          <w:rFonts w:ascii="Times New Roman" w:hAnsi="Times New Roman"/>
          <w:sz w:val="22"/>
          <w:szCs w:val="22"/>
          <w:lang w:val="nl"/>
        </w:rPr>
        <w:t xml:space="preserve">algemeen </w:t>
      </w:r>
      <w:r w:rsidRPr="009D01FE">
        <w:rPr>
          <w:rFonts w:ascii="Times New Roman" w:hAnsi="Times New Roman"/>
          <w:sz w:val="22"/>
          <w:szCs w:val="22"/>
          <w:lang w:val="nl"/>
        </w:rPr>
        <w:t>proactief grondbeleid</w:t>
      </w:r>
      <w:r w:rsidR="00536A73">
        <w:rPr>
          <w:rFonts w:ascii="Times New Roman" w:hAnsi="Times New Roman"/>
          <w:sz w:val="22"/>
          <w:szCs w:val="22"/>
          <w:lang w:val="nl"/>
        </w:rPr>
        <w:t xml:space="preserve">. Haar rol beperkt zich tot de decretale </w:t>
      </w:r>
      <w:r w:rsidR="00112A5B">
        <w:rPr>
          <w:rFonts w:ascii="Times New Roman" w:hAnsi="Times New Roman"/>
          <w:sz w:val="22"/>
          <w:szCs w:val="22"/>
          <w:lang w:val="nl"/>
        </w:rPr>
        <w:t xml:space="preserve">en ondersteunende </w:t>
      </w:r>
      <w:r w:rsidR="00536A73">
        <w:rPr>
          <w:rFonts w:ascii="Times New Roman" w:hAnsi="Times New Roman"/>
          <w:sz w:val="22"/>
          <w:szCs w:val="22"/>
          <w:lang w:val="nl"/>
        </w:rPr>
        <w:t xml:space="preserve">instrumenten van de </w:t>
      </w:r>
      <w:r w:rsidR="00C95A8A" w:rsidRPr="009D01FE">
        <w:rPr>
          <w:rFonts w:ascii="Times New Roman" w:hAnsi="Times New Roman"/>
          <w:sz w:val="22"/>
          <w:szCs w:val="22"/>
          <w:lang w:val="nl"/>
        </w:rPr>
        <w:t xml:space="preserve">grondverwervingen </w:t>
      </w:r>
      <w:r w:rsidR="00536A73">
        <w:rPr>
          <w:rFonts w:ascii="Times New Roman" w:hAnsi="Times New Roman"/>
          <w:sz w:val="22"/>
          <w:szCs w:val="22"/>
          <w:lang w:val="nl"/>
        </w:rPr>
        <w:t xml:space="preserve">in het kader van het cascadesysteem dat het Decreet Grond- en Pandenbeleid voorziet </w:t>
      </w:r>
      <w:r w:rsidR="00112A5B">
        <w:rPr>
          <w:rFonts w:ascii="Times New Roman" w:hAnsi="Times New Roman"/>
          <w:sz w:val="22"/>
          <w:szCs w:val="22"/>
          <w:lang w:val="nl"/>
        </w:rPr>
        <w:t xml:space="preserve">en van het </w:t>
      </w:r>
      <w:r w:rsidR="00C95A8A" w:rsidRPr="009D01FE">
        <w:rPr>
          <w:rFonts w:ascii="Times New Roman" w:hAnsi="Times New Roman"/>
          <w:sz w:val="22"/>
          <w:szCs w:val="22"/>
          <w:lang w:val="nl"/>
        </w:rPr>
        <w:t>Rollend Grondfonds</w:t>
      </w:r>
      <w:r w:rsidR="00112A5B">
        <w:rPr>
          <w:rFonts w:ascii="Times New Roman" w:hAnsi="Times New Roman"/>
          <w:sz w:val="22"/>
          <w:szCs w:val="22"/>
          <w:lang w:val="nl"/>
        </w:rPr>
        <w:t>.</w:t>
      </w:r>
    </w:p>
    <w:p w:rsidR="002F1337" w:rsidRPr="009D01FE" w:rsidRDefault="002F1337" w:rsidP="00A30112">
      <w:pPr>
        <w:jc w:val="both"/>
        <w:rPr>
          <w:szCs w:val="22"/>
          <w:lang w:val="nl"/>
        </w:rPr>
      </w:pPr>
    </w:p>
    <w:p w:rsidR="00934FFE" w:rsidRDefault="003C7BCB" w:rsidP="00934FFE">
      <w:pPr>
        <w:jc w:val="both"/>
        <w:rPr>
          <w:b/>
          <w:bCs/>
          <w:smallCaps/>
          <w:color w:val="FF0000"/>
          <w:szCs w:val="22"/>
          <w:u w:val="single"/>
        </w:rPr>
      </w:pPr>
      <w:r>
        <w:rPr>
          <w:b/>
          <w:bCs/>
          <w:smallCaps/>
          <w:color w:val="FF0000"/>
          <w:szCs w:val="22"/>
          <w:u w:val="single"/>
        </w:rPr>
        <w:t>bijlage</w:t>
      </w:r>
    </w:p>
    <w:p w:rsidR="00934FFE" w:rsidRDefault="00934FFE" w:rsidP="00934FFE">
      <w:pPr>
        <w:jc w:val="both"/>
        <w:rPr>
          <w:b/>
          <w:bCs/>
          <w:smallCaps/>
          <w:color w:val="FF0000"/>
          <w:szCs w:val="22"/>
          <w:u w:val="single"/>
        </w:rPr>
      </w:pPr>
    </w:p>
    <w:p w:rsidR="00BD540B" w:rsidRPr="003B632F" w:rsidRDefault="00E64AD0" w:rsidP="00A30112">
      <w:pPr>
        <w:jc w:val="both"/>
        <w:rPr>
          <w:szCs w:val="22"/>
          <w:lang w:val="nl"/>
        </w:rPr>
      </w:pPr>
      <w:r>
        <w:rPr>
          <w:szCs w:val="22"/>
          <w:lang w:val="nl"/>
        </w:rPr>
        <w:t>O</w:t>
      </w:r>
      <w:bookmarkStart w:id="6" w:name="_GoBack"/>
      <w:bookmarkEnd w:id="6"/>
      <w:r w:rsidRPr="003B632F">
        <w:rPr>
          <w:szCs w:val="22"/>
          <w:lang w:val="nl"/>
        </w:rPr>
        <w:t>verzicht van de oppervlakten aan bebouwbare reservegrond die de sociale huisvestingsmaatschappijen (SHM’s) in eigendom hebben</w:t>
      </w:r>
    </w:p>
    <w:sectPr w:rsidR="00BD540B" w:rsidRPr="003B632F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448"/>
    <w:multiLevelType w:val="hybridMultilevel"/>
    <w:tmpl w:val="C770A6F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9707D"/>
    <w:multiLevelType w:val="hybridMultilevel"/>
    <w:tmpl w:val="1DF801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33534"/>
    <w:multiLevelType w:val="hybridMultilevel"/>
    <w:tmpl w:val="B52CD2B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C766B"/>
    <w:multiLevelType w:val="hybridMultilevel"/>
    <w:tmpl w:val="3BF0C68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D950CA"/>
    <w:multiLevelType w:val="hybridMultilevel"/>
    <w:tmpl w:val="50203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2403CC"/>
    <w:multiLevelType w:val="hybridMultilevel"/>
    <w:tmpl w:val="7E3E9DDE"/>
    <w:lvl w:ilvl="0" w:tplc="B6D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33138A3"/>
    <w:multiLevelType w:val="hybridMultilevel"/>
    <w:tmpl w:val="DF70747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8">
    <w:nsid w:val="69F76FE1"/>
    <w:multiLevelType w:val="hybridMultilevel"/>
    <w:tmpl w:val="975E92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896689"/>
    <w:multiLevelType w:val="hybridMultilevel"/>
    <w:tmpl w:val="B37412C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C417A"/>
    <w:multiLevelType w:val="hybridMultilevel"/>
    <w:tmpl w:val="5D0AC3F0"/>
    <w:lvl w:ilvl="0" w:tplc="04C20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QJ6Fr9Bct4QK7R96XRwGvFa2I0=" w:salt="YBcRTfjfSZxrSyl7V7YzZ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1F"/>
    <w:rsid w:val="00005A6D"/>
    <w:rsid w:val="000071B4"/>
    <w:rsid w:val="00025658"/>
    <w:rsid w:val="00095C78"/>
    <w:rsid w:val="000976E9"/>
    <w:rsid w:val="000C409A"/>
    <w:rsid w:val="000C4E8C"/>
    <w:rsid w:val="000F3532"/>
    <w:rsid w:val="00103F3F"/>
    <w:rsid w:val="00107040"/>
    <w:rsid w:val="00112A5B"/>
    <w:rsid w:val="00160691"/>
    <w:rsid w:val="00187939"/>
    <w:rsid w:val="001D5EDF"/>
    <w:rsid w:val="001F609D"/>
    <w:rsid w:val="00210C07"/>
    <w:rsid w:val="002477E0"/>
    <w:rsid w:val="00274040"/>
    <w:rsid w:val="002843DB"/>
    <w:rsid w:val="002F1337"/>
    <w:rsid w:val="00310634"/>
    <w:rsid w:val="00326A58"/>
    <w:rsid w:val="003A1ED9"/>
    <w:rsid w:val="003B632F"/>
    <w:rsid w:val="003C4967"/>
    <w:rsid w:val="003C4C48"/>
    <w:rsid w:val="003C7A81"/>
    <w:rsid w:val="003C7BCB"/>
    <w:rsid w:val="003D438D"/>
    <w:rsid w:val="003E3FD0"/>
    <w:rsid w:val="004240E8"/>
    <w:rsid w:val="004314D9"/>
    <w:rsid w:val="00453194"/>
    <w:rsid w:val="00461EAE"/>
    <w:rsid w:val="00463FCD"/>
    <w:rsid w:val="00471904"/>
    <w:rsid w:val="0049038D"/>
    <w:rsid w:val="004C0DB9"/>
    <w:rsid w:val="004E4428"/>
    <w:rsid w:val="00536A73"/>
    <w:rsid w:val="005E1A71"/>
    <w:rsid w:val="005E2500"/>
    <w:rsid w:val="005E38CA"/>
    <w:rsid w:val="00625C5C"/>
    <w:rsid w:val="00655B7D"/>
    <w:rsid w:val="006563FB"/>
    <w:rsid w:val="006A76E7"/>
    <w:rsid w:val="006E50EA"/>
    <w:rsid w:val="0071248C"/>
    <w:rsid w:val="007252C7"/>
    <w:rsid w:val="007B43BC"/>
    <w:rsid w:val="008002C5"/>
    <w:rsid w:val="0083579D"/>
    <w:rsid w:val="00844BE4"/>
    <w:rsid w:val="008542BF"/>
    <w:rsid w:val="00877435"/>
    <w:rsid w:val="008A0F04"/>
    <w:rsid w:val="008A1969"/>
    <w:rsid w:val="008B29F6"/>
    <w:rsid w:val="008B6470"/>
    <w:rsid w:val="008D5DB4"/>
    <w:rsid w:val="009347E0"/>
    <w:rsid w:val="00934FFE"/>
    <w:rsid w:val="009456B5"/>
    <w:rsid w:val="009666FC"/>
    <w:rsid w:val="00996094"/>
    <w:rsid w:val="009965F9"/>
    <w:rsid w:val="009D01FE"/>
    <w:rsid w:val="009D7043"/>
    <w:rsid w:val="00A07BA6"/>
    <w:rsid w:val="00A23B3B"/>
    <w:rsid w:val="00A30112"/>
    <w:rsid w:val="00A47636"/>
    <w:rsid w:val="00A61C86"/>
    <w:rsid w:val="00A82E28"/>
    <w:rsid w:val="00A96688"/>
    <w:rsid w:val="00AD2437"/>
    <w:rsid w:val="00AF4376"/>
    <w:rsid w:val="00AF7000"/>
    <w:rsid w:val="00B06A7F"/>
    <w:rsid w:val="00B32B02"/>
    <w:rsid w:val="00B45EB2"/>
    <w:rsid w:val="00BC6A14"/>
    <w:rsid w:val="00BD540B"/>
    <w:rsid w:val="00BE425A"/>
    <w:rsid w:val="00C307C5"/>
    <w:rsid w:val="00C46A55"/>
    <w:rsid w:val="00C86ADC"/>
    <w:rsid w:val="00C91441"/>
    <w:rsid w:val="00C95A8A"/>
    <w:rsid w:val="00CC1D69"/>
    <w:rsid w:val="00CF755A"/>
    <w:rsid w:val="00D0731F"/>
    <w:rsid w:val="00D173BF"/>
    <w:rsid w:val="00D22297"/>
    <w:rsid w:val="00D438CB"/>
    <w:rsid w:val="00D71D99"/>
    <w:rsid w:val="00D754F2"/>
    <w:rsid w:val="00D77655"/>
    <w:rsid w:val="00DA794C"/>
    <w:rsid w:val="00DB41C0"/>
    <w:rsid w:val="00DC4DB6"/>
    <w:rsid w:val="00DF46AC"/>
    <w:rsid w:val="00E02106"/>
    <w:rsid w:val="00E35402"/>
    <w:rsid w:val="00E463AC"/>
    <w:rsid w:val="00E55200"/>
    <w:rsid w:val="00E64AD0"/>
    <w:rsid w:val="00E806BD"/>
    <w:rsid w:val="00E85C8D"/>
    <w:rsid w:val="00E94286"/>
    <w:rsid w:val="00EA7CEA"/>
    <w:rsid w:val="00F02A90"/>
    <w:rsid w:val="00F05F08"/>
    <w:rsid w:val="00F53EA0"/>
    <w:rsid w:val="00F8613E"/>
    <w:rsid w:val="00FA29D6"/>
    <w:rsid w:val="00FA589E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AD2437"/>
    <w:pPr>
      <w:widowControl w:val="0"/>
      <w:spacing w:after="120" w:line="240" w:lineRule="atLeast"/>
      <w:ind w:left="720"/>
      <w:contextualSpacing/>
    </w:pPr>
    <w:rPr>
      <w:rFonts w:ascii="Trebuchet MS" w:hAnsi="Trebuchet MS"/>
      <w:sz w:val="20"/>
      <w:szCs w:val="20"/>
      <w:lang w:val="nl-BE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AD2437"/>
    <w:pPr>
      <w:jc w:val="both"/>
    </w:pPr>
    <w:rPr>
      <w:i/>
      <w:szCs w:val="20"/>
    </w:rPr>
  </w:style>
  <w:style w:type="character" w:styleId="Hyperlink">
    <w:name w:val="Hyperlink"/>
    <w:basedOn w:val="Standaardalinea-lettertype"/>
    <w:rsid w:val="00AD2437"/>
    <w:rPr>
      <w:color w:val="0000FF"/>
      <w:u w:val="single"/>
    </w:rPr>
  </w:style>
  <w:style w:type="paragraph" w:styleId="Documentstructuur">
    <w:name w:val="Document Map"/>
    <w:basedOn w:val="Standaard"/>
    <w:semiHidden/>
    <w:rsid w:val="009456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095C78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09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095C78"/>
    <w:rPr>
      <w:sz w:val="20"/>
      <w:szCs w:val="20"/>
    </w:rPr>
  </w:style>
  <w:style w:type="paragraph" w:styleId="Ballontekst">
    <w:name w:val="Balloon Text"/>
    <w:basedOn w:val="Standaard"/>
    <w:link w:val="BallontekstChar"/>
    <w:rsid w:val="00D173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173BF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AD2437"/>
    <w:pPr>
      <w:widowControl w:val="0"/>
      <w:spacing w:after="120" w:line="240" w:lineRule="atLeast"/>
      <w:ind w:left="720"/>
      <w:contextualSpacing/>
    </w:pPr>
    <w:rPr>
      <w:rFonts w:ascii="Trebuchet MS" w:hAnsi="Trebuchet MS"/>
      <w:sz w:val="20"/>
      <w:szCs w:val="20"/>
      <w:lang w:val="nl-BE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AD2437"/>
    <w:pPr>
      <w:jc w:val="both"/>
    </w:pPr>
    <w:rPr>
      <w:i/>
      <w:szCs w:val="20"/>
    </w:rPr>
  </w:style>
  <w:style w:type="character" w:styleId="Hyperlink">
    <w:name w:val="Hyperlink"/>
    <w:basedOn w:val="Standaardalinea-lettertype"/>
    <w:rsid w:val="00AD2437"/>
    <w:rPr>
      <w:color w:val="0000FF"/>
      <w:u w:val="single"/>
    </w:rPr>
  </w:style>
  <w:style w:type="paragraph" w:styleId="Documentstructuur">
    <w:name w:val="Document Map"/>
    <w:basedOn w:val="Standaard"/>
    <w:semiHidden/>
    <w:rsid w:val="009456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095C78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09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095C78"/>
    <w:rPr>
      <w:sz w:val="20"/>
      <w:szCs w:val="20"/>
    </w:rPr>
  </w:style>
  <w:style w:type="paragraph" w:styleId="Ballontekst">
    <w:name w:val="Balloon Text"/>
    <w:basedOn w:val="Standaard"/>
    <w:link w:val="BallontekstChar"/>
    <w:rsid w:val="00D173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173BF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ffice2000.org\sjabloon\VMSW\Antwoord%20schriftelijke%20vraag%20-%20Van%20den%20Bossche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schriftelijke vraag - Van den Bossche</Template>
  <TotalTime>3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 265</vt:lpstr>
    </vt:vector>
  </TitlesOfParts>
  <Company>Vlaamse Maatschappij voor Sociaal Wonen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 265</dc:title>
  <dc:subject>Antwoord op Schriftelijke Vraag</dc:subject>
  <dc:creator>bl1388</dc:creator>
  <cp:lastModifiedBy>Vlaams Parlement</cp:lastModifiedBy>
  <cp:revision>2</cp:revision>
  <cp:lastPrinted>2013-04-16T08:00:00Z</cp:lastPrinted>
  <dcterms:created xsi:type="dcterms:W3CDTF">2013-04-16T08:01:00Z</dcterms:created>
  <dcterms:modified xsi:type="dcterms:W3CDTF">2013-04-16T08:01:00Z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2010-05-10T00:00:00Z</vt:lpwstr>
  </property>
  <property fmtid="{D5CDD505-2E9C-101B-9397-08002B2CF9AE}" pid="3" name="Kenmerk">
    <vt:lpwstr/>
  </property>
  <property fmtid="{D5CDD505-2E9C-101B-9397-08002B2CF9AE}" pid="4" name="NaamAfzender">
    <vt:lpwstr>&lt;div&gt;&lt;/div&gt;</vt:lpwstr>
  </property>
  <property fmtid="{D5CDD505-2E9C-101B-9397-08002B2CF9AE}" pid="5" name="AardVanVerzoek">
    <vt:lpwstr/>
  </property>
  <property fmtid="{D5CDD505-2E9C-101B-9397-08002B2CF9AE}" pid="6" name="Extra Opmerkingen">
    <vt:lpwstr>&lt;div&gt;&lt;/div&gt;</vt:lpwstr>
  </property>
  <property fmtid="{D5CDD505-2E9C-101B-9397-08002B2CF9AE}" pid="7" name="AntwoordBinnenDertigDagen">
    <vt:lpwstr>0</vt:lpwstr>
  </property>
  <property fmtid="{D5CDD505-2E9C-101B-9397-08002B2CF9AE}" pid="8" name="Finaal Antwoord">
    <vt:lpwstr>0</vt:lpwstr>
  </property>
  <property fmtid="{D5CDD505-2E9C-101B-9397-08002B2CF9AE}" pid="9" name="ContentType">
    <vt:lpwstr>RWO Document</vt:lpwstr>
  </property>
  <property fmtid="{D5CDD505-2E9C-101B-9397-08002B2CF9AE}" pid="10" name="AanduidenVanInstantie">
    <vt:lpwstr>;#Departement RWO;#</vt:lpwstr>
  </property>
</Properties>
</file>