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50860"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950860"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5086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50860" w:rsidRPr="00326A58">
        <w:rPr>
          <w:b w:val="0"/>
        </w:rPr>
      </w:r>
      <w:r w:rsidR="00950860" w:rsidRPr="00326A58">
        <w:rPr>
          <w:b w:val="0"/>
        </w:rPr>
        <w:fldChar w:fldCharType="separate"/>
      </w:r>
      <w:r w:rsidR="00E47593">
        <w:rPr>
          <w:b w:val="0"/>
        </w:rPr>
        <w:t>338</w:t>
      </w:r>
      <w:r w:rsidR="00950860"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5086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50860">
        <w:rPr>
          <w:b w:val="0"/>
        </w:rPr>
      </w:r>
      <w:r w:rsidR="00950860">
        <w:rPr>
          <w:b w:val="0"/>
        </w:rPr>
        <w:fldChar w:fldCharType="separate"/>
      </w:r>
      <w:r w:rsidR="00E50678">
        <w:rPr>
          <w:b w:val="0"/>
          <w:noProof/>
        </w:rPr>
        <w:t>21</w:t>
      </w:r>
      <w:r w:rsidR="00950860">
        <w:rPr>
          <w:b w:val="0"/>
        </w:rPr>
        <w:fldChar w:fldCharType="end"/>
      </w:r>
      <w:bookmarkEnd w:id="3"/>
      <w:r w:rsidRPr="00326A58">
        <w:rPr>
          <w:b w:val="0"/>
        </w:rPr>
        <w:t xml:space="preserve"> </w:t>
      </w:r>
      <w:bookmarkStart w:id="4" w:name="Dropdown2"/>
      <w:r w:rsidR="00950860">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50860">
        <w:rPr>
          <w:b w:val="0"/>
        </w:rPr>
      </w:r>
      <w:r w:rsidR="00950860">
        <w:rPr>
          <w:b w:val="0"/>
        </w:rPr>
        <w:fldChar w:fldCharType="end"/>
      </w:r>
      <w:bookmarkEnd w:id="4"/>
      <w:r w:rsidRPr="00326A58">
        <w:rPr>
          <w:b w:val="0"/>
        </w:rPr>
        <w:t xml:space="preserve"> </w:t>
      </w:r>
      <w:bookmarkStart w:id="5" w:name="Dropdown3"/>
      <w:r w:rsidR="00950860">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50860">
        <w:rPr>
          <w:b w:val="0"/>
        </w:rPr>
      </w:r>
      <w:r w:rsidR="00950860">
        <w:rPr>
          <w:b w:val="0"/>
        </w:rPr>
        <w:fldChar w:fldCharType="end"/>
      </w:r>
      <w:bookmarkEnd w:id="5"/>
    </w:p>
    <w:p w:rsidR="000976E9" w:rsidRDefault="000976E9" w:rsidP="000976E9">
      <w:pPr>
        <w:rPr>
          <w:szCs w:val="22"/>
        </w:rPr>
      </w:pPr>
      <w:r>
        <w:rPr>
          <w:szCs w:val="22"/>
        </w:rPr>
        <w:t xml:space="preserve">van </w:t>
      </w:r>
      <w:r w:rsidR="0095086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50860" w:rsidRPr="009D7043">
        <w:rPr>
          <w:rStyle w:val="AntwoordNaamMinisterChar"/>
        </w:rPr>
      </w:r>
      <w:r w:rsidR="00950860" w:rsidRPr="009D7043">
        <w:rPr>
          <w:rStyle w:val="AntwoordNaamMinisterChar"/>
        </w:rPr>
        <w:fldChar w:fldCharType="separate"/>
      </w:r>
      <w:r w:rsidR="004D6379">
        <w:rPr>
          <w:rStyle w:val="AntwoordNaamMinisterChar"/>
        </w:rPr>
        <w:t>elisabeth meuleman</w:t>
      </w:r>
      <w:r w:rsidR="0095086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44555" w:rsidRDefault="00AE0CF1" w:rsidP="00AE0CF1">
      <w:pPr>
        <w:ind w:left="426" w:hanging="426"/>
        <w:jc w:val="both"/>
      </w:pPr>
      <w:r>
        <w:lastRenderedPageBreak/>
        <w:t>1-3</w:t>
      </w:r>
      <w:r w:rsidR="005B75AC">
        <w:t xml:space="preserve">. </w:t>
      </w:r>
      <w:bookmarkStart w:id="6" w:name="_GoBack"/>
      <w:r>
        <w:fldChar w:fldCharType="begin"/>
      </w:r>
      <w:r>
        <w:instrText xml:space="preserve"> HYPERLINK "file:///C:\\Documents%20and%</w:instrText>
      </w:r>
      <w:r>
        <w:instrText xml:space="preserve">20Settings\\tvderoye\\Local%20Settings\\Temporary%20Internet%20Files\\Content.Outlook\\8RC999ZV\\201209077%20Opvangcentra.doc" </w:instrText>
      </w:r>
      <w:r>
        <w:fldChar w:fldCharType="separate"/>
      </w:r>
      <w:r w:rsidR="00D44555" w:rsidRPr="00ED78D7">
        <w:t xml:space="preserve">Naar aanleiding </w:t>
      </w:r>
      <w:r w:rsidR="00A76BF7" w:rsidRPr="00220A53">
        <w:t xml:space="preserve">van </w:t>
      </w:r>
      <w:r w:rsidR="005B75AC">
        <w:t>de media-</w:t>
      </w:r>
      <w:r w:rsidR="008C5CC3" w:rsidRPr="00220A53">
        <w:t xml:space="preserve">aandacht en de daaropvolgende debatten in het Vlaams parlement over de </w:t>
      </w:r>
      <w:r w:rsidR="00D44555" w:rsidRPr="00220A53">
        <w:t>situatie van de</w:t>
      </w:r>
      <w:r w:rsidR="00D44555" w:rsidRPr="00ED78D7">
        <w:t xml:space="preserve"> opvangcentra </w:t>
      </w:r>
      <w:r w:rsidR="00D44555">
        <w:t>begin oktober</w:t>
      </w:r>
      <w:r w:rsidR="00A76BF7">
        <w:t xml:space="preserve"> 2012</w:t>
      </w:r>
      <w:r w:rsidR="00E47593">
        <w:t xml:space="preserve">, </w:t>
      </w:r>
      <w:r w:rsidR="00D44555" w:rsidRPr="00ED78D7">
        <w:t xml:space="preserve">werd </w:t>
      </w:r>
      <w:r w:rsidR="00FC56BB">
        <w:t xml:space="preserve">door het GO! een rapport opgemaakt. Dit rapport werd </w:t>
      </w:r>
      <w:r w:rsidR="00D44555" w:rsidRPr="00ED78D7">
        <w:t>door de</w:t>
      </w:r>
      <w:r w:rsidR="00D44555">
        <w:t xml:space="preserve"> afgevaardigd bestuurder </w:t>
      </w:r>
      <w:r w:rsidR="00D44555" w:rsidRPr="00ED78D7">
        <w:t>toegelicht op een hoorzitting van de gezamenlijke comm</w:t>
      </w:r>
      <w:r w:rsidR="00D44555">
        <w:t>issies Onderwijs en Welzijn op 27</w:t>
      </w:r>
      <w:r w:rsidR="00D44555" w:rsidRPr="00ED78D7">
        <w:t xml:space="preserve"> november 2012. </w:t>
      </w:r>
      <w:r>
        <w:fldChar w:fldCharType="end"/>
      </w:r>
    </w:p>
    <w:p w:rsidR="00FD5BF4" w:rsidRDefault="00FD5BF4" w:rsidP="00AE0CF1">
      <w:pPr>
        <w:ind w:left="426" w:hanging="426"/>
        <w:jc w:val="both"/>
      </w:pPr>
    </w:p>
    <w:p w:rsidR="005B75AC" w:rsidRDefault="00D44555" w:rsidP="00AE0CF1">
      <w:pPr>
        <w:ind w:left="426"/>
        <w:jc w:val="both"/>
      </w:pPr>
      <w:r>
        <w:t>In dit rapport werden</w:t>
      </w:r>
      <w:r w:rsidR="00072DDE">
        <w:t xml:space="preserve"> onder andere</w:t>
      </w:r>
      <w:r>
        <w:t xml:space="preserve"> de meest prangende infrastructurele noden van de 4 opvangcentra opgelijst. </w:t>
      </w:r>
      <w:r w:rsidR="005B75AC">
        <w:t xml:space="preserve">Dit rapport vormde de basis voor de verdeling van de middelen. </w:t>
      </w:r>
    </w:p>
    <w:p w:rsidR="005B75AC" w:rsidRDefault="005B75AC" w:rsidP="00AE0CF1">
      <w:pPr>
        <w:ind w:left="426"/>
        <w:jc w:val="both"/>
      </w:pPr>
      <w:r>
        <w:t xml:space="preserve">Over de uiteindelijke verdeling over de opvangcentra werd beslist binnen de Raad van het Gemeenschapsonderwijs. </w:t>
      </w:r>
      <w:r w:rsidRPr="00220A53">
        <w:t>De verdeling van de</w:t>
      </w:r>
      <w:r>
        <w:t xml:space="preserve">  middelen werd </w:t>
      </w:r>
      <w:r w:rsidRPr="00220A53">
        <w:t>vervolgens meegedeeld aan</w:t>
      </w:r>
      <w:r>
        <w:rPr>
          <w:color w:val="FF0000"/>
        </w:rPr>
        <w:t xml:space="preserve"> </w:t>
      </w:r>
      <w:proofErr w:type="spellStart"/>
      <w:r>
        <w:t>AgoDi</w:t>
      </w:r>
      <w:proofErr w:type="spellEnd"/>
      <w:r>
        <w:t xml:space="preserve"> </w:t>
      </w:r>
      <w:r w:rsidRPr="00220A53">
        <w:t>die het bedrag</w:t>
      </w:r>
      <w:r>
        <w:rPr>
          <w:color w:val="FF0000"/>
        </w:rPr>
        <w:t xml:space="preserve"> </w:t>
      </w:r>
      <w:r>
        <w:t xml:space="preserve">in december 2012 aan de scholengroepen </w:t>
      </w:r>
      <w:r w:rsidRPr="00220A53">
        <w:t>hebben gestort</w:t>
      </w:r>
      <w:r>
        <w:rPr>
          <w:color w:val="FF0000"/>
        </w:rPr>
        <w:t xml:space="preserve"> </w:t>
      </w:r>
      <w:r>
        <w:t xml:space="preserve">met de opdracht om deze middelen ook effectief volledig </w:t>
      </w:r>
      <w:r w:rsidRPr="00220A53">
        <w:t>te besteden aan het opv</w:t>
      </w:r>
      <w:r>
        <w:t xml:space="preserve">angcentrum van hun scholengroep. </w:t>
      </w:r>
    </w:p>
    <w:p w:rsidR="005B75AC" w:rsidRDefault="005B75AC" w:rsidP="00AE0CF1">
      <w:pPr>
        <w:ind w:left="426"/>
        <w:jc w:val="both"/>
      </w:pPr>
      <w:r>
        <w:t xml:space="preserve">De tabel hieronder geeft de verdeling over de scholengroepen weer. </w:t>
      </w:r>
    </w:p>
    <w:bookmarkEnd w:id="6"/>
    <w:p w:rsidR="00EC3DD5" w:rsidRDefault="00EC3DD5" w:rsidP="00AE0CF1">
      <w:pPr>
        <w:ind w:left="426" w:hanging="426"/>
        <w:jc w:val="both"/>
      </w:pPr>
    </w:p>
    <w:tbl>
      <w:tblPr>
        <w:tblW w:w="7212" w:type="dxa"/>
        <w:tblInd w:w="501" w:type="dxa"/>
        <w:tblCellMar>
          <w:left w:w="70" w:type="dxa"/>
          <w:right w:w="70" w:type="dxa"/>
        </w:tblCellMar>
        <w:tblLook w:val="04A0" w:firstRow="1" w:lastRow="0" w:firstColumn="1" w:lastColumn="0" w:noHBand="0" w:noVBand="1"/>
      </w:tblPr>
      <w:tblGrid>
        <w:gridCol w:w="446"/>
        <w:gridCol w:w="2780"/>
        <w:gridCol w:w="2600"/>
        <w:gridCol w:w="1386"/>
      </w:tblGrid>
      <w:tr w:rsidR="005B75AC" w:rsidRPr="00EC3DD5" w:rsidTr="00AE0CF1">
        <w:trPr>
          <w:trHeight w:val="315"/>
        </w:trPr>
        <w:tc>
          <w:tcPr>
            <w:tcW w:w="4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proofErr w:type="spellStart"/>
            <w:r w:rsidRPr="00EC3DD5">
              <w:rPr>
                <w:color w:val="000000"/>
                <w:szCs w:val="22"/>
                <w:lang w:val="nl-BE" w:eastAsia="nl-BE"/>
              </w:rPr>
              <w:t>Sgr</w:t>
            </w:r>
            <w:proofErr w:type="spellEnd"/>
          </w:p>
        </w:tc>
        <w:tc>
          <w:tcPr>
            <w:tcW w:w="2780" w:type="dxa"/>
            <w:tcBorders>
              <w:top w:val="single" w:sz="8" w:space="0" w:color="auto"/>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Scholengroep</w:t>
            </w:r>
          </w:p>
        </w:tc>
        <w:tc>
          <w:tcPr>
            <w:tcW w:w="2600" w:type="dxa"/>
            <w:tcBorders>
              <w:top w:val="single" w:sz="8" w:space="0" w:color="auto"/>
              <w:left w:val="nil"/>
              <w:bottom w:val="single" w:sz="8" w:space="0" w:color="auto"/>
              <w:right w:val="single" w:sz="8" w:space="0" w:color="auto"/>
            </w:tcBorders>
            <w:shd w:val="clear" w:color="auto" w:fill="auto"/>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Naam</w:t>
            </w:r>
          </w:p>
        </w:tc>
        <w:tc>
          <w:tcPr>
            <w:tcW w:w="1386" w:type="dxa"/>
            <w:tcBorders>
              <w:top w:val="single" w:sz="8" w:space="0" w:color="auto"/>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Pr>
                <w:color w:val="000000"/>
                <w:szCs w:val="22"/>
                <w:lang w:val="nl-BE" w:eastAsia="nl-BE"/>
              </w:rPr>
              <w:t>Extra</w:t>
            </w:r>
            <w:r w:rsidRPr="00EC3DD5">
              <w:rPr>
                <w:color w:val="000000"/>
                <w:szCs w:val="22"/>
                <w:lang w:val="nl-BE" w:eastAsia="nl-BE"/>
              </w:rPr>
              <w:t xml:space="preserve"> dotatie</w:t>
            </w:r>
          </w:p>
        </w:tc>
      </w:tr>
      <w:tr w:rsidR="005B75AC" w:rsidRPr="00EC3DD5" w:rsidTr="00AE0CF1">
        <w:trPr>
          <w:trHeight w:val="615"/>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8</w:t>
            </w:r>
          </w:p>
        </w:tc>
        <w:tc>
          <w:tcPr>
            <w:tcW w:w="2780"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Scholengroep Brussel</w:t>
            </w:r>
          </w:p>
        </w:tc>
        <w:tc>
          <w:tcPr>
            <w:tcW w:w="2600" w:type="dxa"/>
            <w:tcBorders>
              <w:top w:val="nil"/>
              <w:left w:val="nil"/>
              <w:bottom w:val="single" w:sz="8" w:space="0" w:color="auto"/>
              <w:right w:val="single" w:sz="8" w:space="0" w:color="auto"/>
            </w:tcBorders>
            <w:shd w:val="clear" w:color="auto" w:fill="auto"/>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MPIGO-heemschool, Neder-Over-</w:t>
            </w:r>
            <w:proofErr w:type="spellStart"/>
            <w:r w:rsidRPr="00EC3DD5">
              <w:rPr>
                <w:color w:val="000000"/>
                <w:szCs w:val="22"/>
                <w:lang w:val="nl-BE" w:eastAsia="nl-BE"/>
              </w:rPr>
              <w:t>Heembeek</w:t>
            </w:r>
            <w:proofErr w:type="spellEnd"/>
          </w:p>
        </w:tc>
        <w:tc>
          <w:tcPr>
            <w:tcW w:w="1386"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113.625,87</w:t>
            </w:r>
          </w:p>
        </w:tc>
      </w:tr>
      <w:tr w:rsidR="005B75AC" w:rsidRPr="00EC3DD5" w:rsidTr="00AE0CF1">
        <w:trPr>
          <w:trHeight w:val="315"/>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15</w:t>
            </w:r>
          </w:p>
        </w:tc>
        <w:tc>
          <w:tcPr>
            <w:tcW w:w="2780"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Scholengroep Limburg-Noord</w:t>
            </w:r>
          </w:p>
        </w:tc>
        <w:tc>
          <w:tcPr>
            <w:tcW w:w="2600" w:type="dxa"/>
            <w:tcBorders>
              <w:top w:val="nil"/>
              <w:left w:val="nil"/>
              <w:bottom w:val="single" w:sz="8" w:space="0" w:color="auto"/>
              <w:right w:val="single" w:sz="8" w:space="0" w:color="auto"/>
            </w:tcBorders>
            <w:shd w:val="clear" w:color="auto" w:fill="auto"/>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Den Heuvel, Leopoldsburg</w:t>
            </w:r>
          </w:p>
        </w:tc>
        <w:tc>
          <w:tcPr>
            <w:tcW w:w="1386"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50.000,00</w:t>
            </w:r>
          </w:p>
        </w:tc>
      </w:tr>
      <w:tr w:rsidR="005B75AC" w:rsidRPr="00EC3DD5" w:rsidTr="00AE0CF1">
        <w:trPr>
          <w:trHeight w:val="315"/>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27</w:t>
            </w:r>
          </w:p>
        </w:tc>
        <w:tc>
          <w:tcPr>
            <w:tcW w:w="2780"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Scholengroep-aan-Zee</w:t>
            </w:r>
          </w:p>
        </w:tc>
        <w:tc>
          <w:tcPr>
            <w:tcW w:w="2600" w:type="dxa"/>
            <w:tcBorders>
              <w:top w:val="nil"/>
              <w:left w:val="nil"/>
              <w:bottom w:val="single" w:sz="8" w:space="0" w:color="auto"/>
              <w:right w:val="single" w:sz="8" w:space="0" w:color="auto"/>
            </w:tcBorders>
            <w:shd w:val="clear" w:color="auto" w:fill="auto"/>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De Vloedlijn, De Haan</w:t>
            </w:r>
          </w:p>
        </w:tc>
        <w:tc>
          <w:tcPr>
            <w:tcW w:w="1386"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234.922,45</w:t>
            </w:r>
          </w:p>
        </w:tc>
      </w:tr>
      <w:tr w:rsidR="005B75AC" w:rsidRPr="00EC3DD5" w:rsidTr="00AE0CF1">
        <w:trPr>
          <w:trHeight w:val="315"/>
        </w:trPr>
        <w:tc>
          <w:tcPr>
            <w:tcW w:w="446" w:type="dxa"/>
            <w:tcBorders>
              <w:top w:val="nil"/>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28</w:t>
            </w:r>
          </w:p>
        </w:tc>
        <w:tc>
          <w:tcPr>
            <w:tcW w:w="2780"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Scholengroep De Westhoek</w:t>
            </w:r>
          </w:p>
        </w:tc>
        <w:tc>
          <w:tcPr>
            <w:tcW w:w="2600" w:type="dxa"/>
            <w:tcBorders>
              <w:top w:val="nil"/>
              <w:left w:val="nil"/>
              <w:bottom w:val="single" w:sz="8" w:space="0" w:color="auto"/>
              <w:right w:val="single" w:sz="8" w:space="0" w:color="auto"/>
            </w:tcBorders>
            <w:shd w:val="clear" w:color="auto" w:fill="auto"/>
            <w:vAlign w:val="bottom"/>
            <w:hideMark/>
          </w:tcPr>
          <w:p w:rsidR="005B75AC" w:rsidRPr="00EC3DD5" w:rsidRDefault="005B75AC" w:rsidP="00AE0CF1">
            <w:pPr>
              <w:ind w:left="426" w:hanging="426"/>
              <w:rPr>
                <w:color w:val="000000"/>
                <w:szCs w:val="22"/>
                <w:lang w:val="nl-BE" w:eastAsia="nl-BE"/>
              </w:rPr>
            </w:pPr>
            <w:r w:rsidRPr="00EC3DD5">
              <w:rPr>
                <w:color w:val="000000"/>
                <w:szCs w:val="22"/>
                <w:lang w:val="nl-BE" w:eastAsia="nl-BE"/>
              </w:rPr>
              <w:t xml:space="preserve">De Steiger, </w:t>
            </w:r>
            <w:proofErr w:type="spellStart"/>
            <w:r w:rsidRPr="00EC3DD5">
              <w:rPr>
                <w:color w:val="000000"/>
                <w:szCs w:val="22"/>
                <w:lang w:val="nl-BE" w:eastAsia="nl-BE"/>
              </w:rPr>
              <w:t>Koksijde</w:t>
            </w:r>
            <w:proofErr w:type="spellEnd"/>
          </w:p>
        </w:tc>
        <w:tc>
          <w:tcPr>
            <w:tcW w:w="1386" w:type="dxa"/>
            <w:tcBorders>
              <w:top w:val="nil"/>
              <w:left w:val="nil"/>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101.451,68</w:t>
            </w:r>
          </w:p>
        </w:tc>
      </w:tr>
      <w:tr w:rsidR="005B75AC" w:rsidRPr="00EC3DD5" w:rsidTr="00AE0CF1">
        <w:trPr>
          <w:trHeight w:val="315"/>
        </w:trPr>
        <w:tc>
          <w:tcPr>
            <w:tcW w:w="446" w:type="dxa"/>
            <w:tcBorders>
              <w:top w:val="nil"/>
              <w:left w:val="nil"/>
              <w:bottom w:val="nil"/>
              <w:right w:val="nil"/>
            </w:tcBorders>
            <w:shd w:val="clear" w:color="auto" w:fill="auto"/>
            <w:noWrap/>
            <w:vAlign w:val="bottom"/>
            <w:hideMark/>
          </w:tcPr>
          <w:p w:rsidR="005B75AC" w:rsidRPr="00EC3DD5" w:rsidRDefault="005B75AC" w:rsidP="00AE0CF1">
            <w:pPr>
              <w:ind w:left="426" w:hanging="426"/>
              <w:rPr>
                <w:rFonts w:ascii="Calibri" w:hAnsi="Calibri"/>
                <w:color w:val="000000"/>
                <w:szCs w:val="22"/>
                <w:lang w:val="nl-BE" w:eastAsia="nl-BE"/>
              </w:rPr>
            </w:pPr>
          </w:p>
        </w:tc>
        <w:tc>
          <w:tcPr>
            <w:tcW w:w="2780" w:type="dxa"/>
            <w:tcBorders>
              <w:top w:val="nil"/>
              <w:left w:val="nil"/>
              <w:bottom w:val="nil"/>
              <w:right w:val="nil"/>
            </w:tcBorders>
            <w:shd w:val="clear" w:color="auto" w:fill="auto"/>
            <w:noWrap/>
            <w:vAlign w:val="bottom"/>
            <w:hideMark/>
          </w:tcPr>
          <w:p w:rsidR="005B75AC" w:rsidRPr="00EC3DD5" w:rsidRDefault="005B75AC" w:rsidP="00AE0CF1">
            <w:pPr>
              <w:ind w:left="426" w:hanging="426"/>
              <w:rPr>
                <w:rFonts w:ascii="Calibri" w:hAnsi="Calibri"/>
                <w:color w:val="000000"/>
                <w:szCs w:val="22"/>
                <w:lang w:val="nl-BE" w:eastAsia="nl-BE"/>
              </w:rPr>
            </w:pPr>
          </w:p>
        </w:tc>
        <w:tc>
          <w:tcPr>
            <w:tcW w:w="2600" w:type="dxa"/>
            <w:tcBorders>
              <w:top w:val="nil"/>
              <w:left w:val="nil"/>
              <w:bottom w:val="nil"/>
              <w:right w:val="nil"/>
            </w:tcBorders>
            <w:shd w:val="clear" w:color="auto" w:fill="auto"/>
            <w:noWrap/>
            <w:vAlign w:val="bottom"/>
            <w:hideMark/>
          </w:tcPr>
          <w:p w:rsidR="005B75AC" w:rsidRPr="00EC3DD5" w:rsidRDefault="005B75AC" w:rsidP="00AE0CF1">
            <w:pPr>
              <w:ind w:left="426" w:hanging="426"/>
              <w:rPr>
                <w:rFonts w:ascii="Calibri" w:hAnsi="Calibri"/>
                <w:color w:val="000000"/>
                <w:szCs w:val="22"/>
                <w:lang w:val="nl-BE" w:eastAsia="nl-BE"/>
              </w:rPr>
            </w:pPr>
          </w:p>
        </w:tc>
        <w:tc>
          <w:tcPr>
            <w:tcW w:w="1386" w:type="dxa"/>
            <w:tcBorders>
              <w:top w:val="nil"/>
              <w:left w:val="single" w:sz="8" w:space="0" w:color="auto"/>
              <w:bottom w:val="single" w:sz="8" w:space="0" w:color="auto"/>
              <w:right w:val="single" w:sz="8" w:space="0" w:color="auto"/>
            </w:tcBorders>
            <w:shd w:val="clear" w:color="auto" w:fill="auto"/>
            <w:noWrap/>
            <w:vAlign w:val="bottom"/>
            <w:hideMark/>
          </w:tcPr>
          <w:p w:rsidR="005B75AC" w:rsidRPr="00EC3DD5" w:rsidRDefault="005B75AC" w:rsidP="00AE0CF1">
            <w:pPr>
              <w:ind w:left="426" w:hanging="426"/>
              <w:jc w:val="right"/>
              <w:rPr>
                <w:color w:val="000000"/>
                <w:szCs w:val="22"/>
                <w:lang w:val="nl-BE" w:eastAsia="nl-BE"/>
              </w:rPr>
            </w:pPr>
            <w:r w:rsidRPr="00EC3DD5">
              <w:rPr>
                <w:color w:val="000000"/>
                <w:szCs w:val="22"/>
                <w:lang w:val="nl-BE" w:eastAsia="nl-BE"/>
              </w:rPr>
              <w:t>500.000,00</w:t>
            </w:r>
          </w:p>
        </w:tc>
      </w:tr>
    </w:tbl>
    <w:p w:rsidR="00072DDE" w:rsidRDefault="00072DDE" w:rsidP="00AE0CF1">
      <w:pPr>
        <w:ind w:left="426" w:hanging="426"/>
        <w:jc w:val="both"/>
      </w:pPr>
    </w:p>
    <w:p w:rsidR="005B75AC" w:rsidRDefault="005B75AC" w:rsidP="00AE0CF1">
      <w:pPr>
        <w:ind w:left="426"/>
        <w:jc w:val="both"/>
      </w:pPr>
      <w:r>
        <w:t>Voor Den Heuvel in Leopoldsburg werd het volledige gevraagde bedrag van 50.000 euro toegekend. Voor de andere 3 opvangcentra werden de overige 450.000 euro verdeeld a rato van hun aandeel binnen het bedrag van dringende infrastructuurnoden.</w:t>
      </w:r>
    </w:p>
    <w:p w:rsidR="00CD657A" w:rsidRPr="00220A53" w:rsidRDefault="00CD657A" w:rsidP="00AE0CF1">
      <w:pPr>
        <w:ind w:left="426" w:hanging="426"/>
        <w:jc w:val="both"/>
      </w:pPr>
    </w:p>
    <w:p w:rsidR="005B75AC" w:rsidRDefault="005B75AC" w:rsidP="00AE0CF1">
      <w:pPr>
        <w:ind w:left="426"/>
        <w:jc w:val="both"/>
      </w:pPr>
      <w:r>
        <w:t xml:space="preserve">Voor de verdere toekomstplannen met betrekking tot deze opvangcentra verwijs ik graag naar het antwoord dat ik op 19 maart 2013 gaf op de vragen om uitleg over hetzelfde thema (vragen 1043 en 1028) en meer specifiek naar de doorlichtingen die gepland zijn in de vier GO! opvangcentra. </w:t>
      </w:r>
    </w:p>
    <w:p w:rsidR="005B75AC" w:rsidRDefault="005B75AC" w:rsidP="00AE0CF1">
      <w:pPr>
        <w:ind w:left="426" w:hanging="426"/>
        <w:jc w:val="both"/>
      </w:pPr>
    </w:p>
    <w:p w:rsidR="00CD657A" w:rsidRPr="00220A53" w:rsidRDefault="00CD657A" w:rsidP="00EC3DD5">
      <w:pPr>
        <w:jc w:val="both"/>
      </w:pPr>
    </w:p>
    <w:sectPr w:rsidR="00CD657A" w:rsidRPr="00220A53"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72DDE"/>
    <w:rsid w:val="00092D87"/>
    <w:rsid w:val="000976E9"/>
    <w:rsid w:val="000C4E8C"/>
    <w:rsid w:val="000F3532"/>
    <w:rsid w:val="00125B6C"/>
    <w:rsid w:val="00210C07"/>
    <w:rsid w:val="00220A53"/>
    <w:rsid w:val="0029101F"/>
    <w:rsid w:val="00326A58"/>
    <w:rsid w:val="00333C15"/>
    <w:rsid w:val="003D7B98"/>
    <w:rsid w:val="003E507B"/>
    <w:rsid w:val="004D6379"/>
    <w:rsid w:val="005B75AC"/>
    <w:rsid w:val="005E38CA"/>
    <w:rsid w:val="00626447"/>
    <w:rsid w:val="00642668"/>
    <w:rsid w:val="006563FB"/>
    <w:rsid w:val="0071248C"/>
    <w:rsid w:val="007252C7"/>
    <w:rsid w:val="007800D1"/>
    <w:rsid w:val="008A0E0B"/>
    <w:rsid w:val="008C5CC3"/>
    <w:rsid w:val="008D1BFB"/>
    <w:rsid w:val="008D5DB4"/>
    <w:rsid w:val="009347E0"/>
    <w:rsid w:val="0093558D"/>
    <w:rsid w:val="00950860"/>
    <w:rsid w:val="009D7043"/>
    <w:rsid w:val="00A76BF7"/>
    <w:rsid w:val="00AE0CF1"/>
    <w:rsid w:val="00B21B45"/>
    <w:rsid w:val="00B45EB2"/>
    <w:rsid w:val="00BE425A"/>
    <w:rsid w:val="00C103D2"/>
    <w:rsid w:val="00C27D80"/>
    <w:rsid w:val="00C91441"/>
    <w:rsid w:val="00CC217E"/>
    <w:rsid w:val="00CD657A"/>
    <w:rsid w:val="00D309A9"/>
    <w:rsid w:val="00D44555"/>
    <w:rsid w:val="00D71D99"/>
    <w:rsid w:val="00D754F2"/>
    <w:rsid w:val="00DB41C0"/>
    <w:rsid w:val="00DC4DB6"/>
    <w:rsid w:val="00DD4EF9"/>
    <w:rsid w:val="00E47593"/>
    <w:rsid w:val="00E50678"/>
    <w:rsid w:val="00E53B36"/>
    <w:rsid w:val="00E55200"/>
    <w:rsid w:val="00E85C8D"/>
    <w:rsid w:val="00EC3DD5"/>
    <w:rsid w:val="00F1332D"/>
    <w:rsid w:val="00FA29D6"/>
    <w:rsid w:val="00FC56BB"/>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AE0CF1"/>
    <w:rPr>
      <w:rFonts w:ascii="Tahoma" w:hAnsi="Tahoma" w:cs="Tahoma"/>
      <w:sz w:val="16"/>
      <w:szCs w:val="16"/>
    </w:rPr>
  </w:style>
  <w:style w:type="character" w:customStyle="1" w:styleId="BallontekstChar">
    <w:name w:val="Ballontekst Char"/>
    <w:basedOn w:val="Standaardalinea-lettertype"/>
    <w:link w:val="Ballontekst"/>
    <w:rsid w:val="00AE0CF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Ballontekst">
    <w:name w:val="Balloon Text"/>
    <w:basedOn w:val="Standaard"/>
    <w:link w:val="BallontekstChar"/>
    <w:rsid w:val="00AE0CF1"/>
    <w:rPr>
      <w:rFonts w:ascii="Tahoma" w:hAnsi="Tahoma" w:cs="Tahoma"/>
      <w:sz w:val="16"/>
      <w:szCs w:val="16"/>
    </w:rPr>
  </w:style>
  <w:style w:type="character" w:customStyle="1" w:styleId="BallontekstChar">
    <w:name w:val="Ballontekst Char"/>
    <w:basedOn w:val="Standaardalinea-lettertype"/>
    <w:link w:val="Ballontekst"/>
    <w:rsid w:val="00AE0CF1"/>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4753">
      <w:bodyDiv w:val="1"/>
      <w:marLeft w:val="0"/>
      <w:marRight w:val="0"/>
      <w:marTop w:val="0"/>
      <w:marBottom w:val="0"/>
      <w:divBdr>
        <w:top w:val="none" w:sz="0" w:space="0" w:color="auto"/>
        <w:left w:val="none" w:sz="0" w:space="0" w:color="auto"/>
        <w:bottom w:val="none" w:sz="0" w:space="0" w:color="auto"/>
        <w:right w:val="none" w:sz="0" w:space="0" w:color="auto"/>
      </w:divBdr>
    </w:div>
    <w:div w:id="62758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340</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2013-03-25T09:25:00Z</cp:lastPrinted>
  <dcterms:created xsi:type="dcterms:W3CDTF">2013-03-25T09:25:00Z</dcterms:created>
  <dcterms:modified xsi:type="dcterms:W3CDTF">2013-03-25T09:25:00Z</dcterms:modified>
</cp:coreProperties>
</file>