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B7" w:rsidRPr="00A8473D" w:rsidRDefault="006A7DB7" w:rsidP="006A7DB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bookmarkStart w:id="0" w:name="_GoBack"/>
      <w:bookmarkEnd w:id="0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6A7DB7" w:rsidRDefault="006A7DB7" w:rsidP="006A7DB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6A7DB7" w:rsidRDefault="006A7DB7" w:rsidP="006A7DB7">
      <w:pPr>
        <w:pBdr>
          <w:bottom w:val="single" w:sz="4" w:space="1" w:color="auto"/>
        </w:pBdr>
        <w:rPr>
          <w:sz w:val="22"/>
        </w:rPr>
      </w:pPr>
    </w:p>
    <w:p w:rsidR="006A7DB7" w:rsidRDefault="006A7DB7" w:rsidP="006A7DB7">
      <w:pPr>
        <w:rPr>
          <w:sz w:val="22"/>
        </w:rPr>
      </w:pPr>
    </w:p>
    <w:p w:rsidR="006A7DB7" w:rsidRPr="00EB78CA" w:rsidRDefault="006A7DB7" w:rsidP="006A7DB7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6A7DB7" w:rsidRPr="00EB78CA" w:rsidRDefault="006A7DB7" w:rsidP="006A7DB7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314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11 februari 2013</w:t>
      </w:r>
    </w:p>
    <w:p w:rsidR="006A7DB7" w:rsidRDefault="006A7DB7" w:rsidP="006A7DB7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r>
        <w:rPr>
          <w:b/>
          <w:smallCaps/>
          <w:sz w:val="22"/>
        </w:rPr>
        <w:t>robrecht bothuyne</w:t>
      </w:r>
    </w:p>
    <w:p w:rsidR="006A7DB7" w:rsidRDefault="006A7DB7" w:rsidP="006A7DB7">
      <w:pPr>
        <w:pBdr>
          <w:bottom w:val="single" w:sz="4" w:space="1" w:color="auto"/>
        </w:pBdr>
        <w:jc w:val="both"/>
        <w:rPr>
          <w:sz w:val="22"/>
        </w:rPr>
      </w:pPr>
    </w:p>
    <w:p w:rsidR="006A7DB7" w:rsidRDefault="006A7DB7" w:rsidP="006A7DB7">
      <w:pPr>
        <w:jc w:val="both"/>
        <w:rPr>
          <w:sz w:val="22"/>
          <w:szCs w:val="22"/>
        </w:rPr>
      </w:pPr>
    </w:p>
    <w:p w:rsidR="00136A3E" w:rsidRPr="008D2E5B" w:rsidRDefault="00136A3E" w:rsidP="0023526D">
      <w:pPr>
        <w:pStyle w:val="StandaardSV"/>
        <w:rPr>
          <w:lang w:val="nl-BE"/>
        </w:rPr>
      </w:pPr>
    </w:p>
    <w:p w:rsidR="0023526D" w:rsidRPr="00D75E0A" w:rsidRDefault="0023526D" w:rsidP="0023526D">
      <w:pPr>
        <w:pStyle w:val="StandaardSV"/>
        <w:rPr>
          <w:i/>
          <w:lang w:val="nl-BE"/>
        </w:rPr>
      </w:pPr>
      <w:r w:rsidRPr="00D75E0A">
        <w:rPr>
          <w:i/>
          <w:lang w:val="nl-BE"/>
        </w:rPr>
        <w:t>Voor de periode vanaf 20 december 2012</w:t>
      </w:r>
    </w:p>
    <w:p w:rsidR="0023526D" w:rsidRPr="008D2E5B" w:rsidRDefault="0023526D" w:rsidP="0023526D">
      <w:pPr>
        <w:pStyle w:val="StandaardSV"/>
        <w:rPr>
          <w:lang w:val="nl-BE"/>
        </w:rPr>
      </w:pPr>
    </w:p>
    <w:p w:rsidR="00136A3E" w:rsidRPr="008D2E5B" w:rsidRDefault="00136A3E" w:rsidP="00D75E0A">
      <w:pPr>
        <w:pStyle w:val="StandaardSV"/>
        <w:numPr>
          <w:ilvl w:val="0"/>
          <w:numId w:val="10"/>
        </w:numPr>
        <w:rPr>
          <w:lang w:val="nl-BE"/>
        </w:rPr>
      </w:pPr>
      <w:r w:rsidRPr="008D2E5B">
        <w:rPr>
          <w:lang w:val="nl-BE"/>
        </w:rPr>
        <w:t xml:space="preserve">Vanaf 20 december 2012 tot </w:t>
      </w:r>
      <w:r w:rsidR="004420B4">
        <w:rPr>
          <w:lang w:val="nl-BE"/>
        </w:rPr>
        <w:t>26 februari 2013</w:t>
      </w:r>
      <w:r w:rsidRPr="008D2E5B">
        <w:rPr>
          <w:lang w:val="nl-BE"/>
        </w:rPr>
        <w:t xml:space="preserve"> werden er </w:t>
      </w:r>
      <w:r w:rsidR="007348E2" w:rsidRPr="008D2E5B">
        <w:rPr>
          <w:lang w:val="nl-BE"/>
        </w:rPr>
        <w:t>83</w:t>
      </w:r>
      <w:r w:rsidRPr="008D2E5B">
        <w:rPr>
          <w:lang w:val="nl-BE"/>
        </w:rPr>
        <w:t xml:space="preserve"> steunaanvragen</w:t>
      </w:r>
      <w:r w:rsidR="007348E2" w:rsidRPr="008D2E5B">
        <w:rPr>
          <w:lang w:val="nl-BE"/>
        </w:rPr>
        <w:t xml:space="preserve"> ingediend</w:t>
      </w:r>
      <w:r w:rsidR="00230DD8">
        <w:rPr>
          <w:lang w:val="nl-BE"/>
        </w:rPr>
        <w:t>.</w:t>
      </w:r>
    </w:p>
    <w:p w:rsidR="007348E2" w:rsidRPr="008D2E5B" w:rsidRDefault="007348E2" w:rsidP="00D75E0A">
      <w:pPr>
        <w:pStyle w:val="StandaardSV"/>
        <w:ind w:left="360"/>
        <w:rPr>
          <w:lang w:val="nl-BE"/>
        </w:rPr>
      </w:pPr>
    </w:p>
    <w:p w:rsidR="007348E2" w:rsidRPr="008D2E5B" w:rsidRDefault="007348E2" w:rsidP="00D75E0A">
      <w:pPr>
        <w:pStyle w:val="StandaardSV"/>
        <w:ind w:left="360"/>
        <w:rPr>
          <w:lang w:val="nl-BE"/>
        </w:rPr>
      </w:pPr>
      <w:r w:rsidRPr="008D2E5B">
        <w:rPr>
          <w:lang w:val="nl-BE"/>
        </w:rPr>
        <w:t>Ingediende aanvragen per maand met investerings- en subsidiebedrag:</w:t>
      </w:r>
    </w:p>
    <w:p w:rsidR="007348E2" w:rsidRDefault="007348E2" w:rsidP="00D75E0A">
      <w:pPr>
        <w:pStyle w:val="StandaardSV"/>
        <w:ind w:left="360"/>
        <w:rPr>
          <w:lang w:val="nl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65"/>
        <w:gridCol w:w="962"/>
        <w:gridCol w:w="1481"/>
        <w:gridCol w:w="1481"/>
      </w:tblGrid>
      <w:tr w:rsidR="00D75E0A" w:rsidRPr="008D2E5B" w:rsidTr="00D75E0A">
        <w:trPr>
          <w:trHeight w:val="288"/>
        </w:trPr>
        <w:tc>
          <w:tcPr>
            <w:tcW w:w="1708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Indieningsjaar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Indieningsmaand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Investering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Subsidie</w:t>
            </w:r>
          </w:p>
        </w:tc>
      </w:tr>
      <w:tr w:rsidR="00D75E0A" w:rsidRPr="008D2E5B" w:rsidTr="00D75E0A">
        <w:trPr>
          <w:trHeight w:val="288"/>
        </w:trPr>
        <w:tc>
          <w:tcPr>
            <w:tcW w:w="1708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2012</w:t>
            </w:r>
          </w:p>
        </w:tc>
        <w:tc>
          <w:tcPr>
            <w:tcW w:w="1965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12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11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1.937.257,56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660.502,35</w:t>
            </w:r>
          </w:p>
        </w:tc>
      </w:tr>
      <w:tr w:rsidR="00D75E0A" w:rsidRPr="008D2E5B" w:rsidTr="00D75E0A">
        <w:trPr>
          <w:trHeight w:val="288"/>
        </w:trPr>
        <w:tc>
          <w:tcPr>
            <w:tcW w:w="1708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2013</w:t>
            </w:r>
          </w:p>
        </w:tc>
        <w:tc>
          <w:tcPr>
            <w:tcW w:w="1965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36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16.808.029,62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4.897.357,79</w:t>
            </w:r>
          </w:p>
        </w:tc>
      </w:tr>
      <w:tr w:rsidR="00D75E0A" w:rsidRPr="008D2E5B" w:rsidTr="00D75E0A">
        <w:trPr>
          <w:trHeight w:val="288"/>
        </w:trPr>
        <w:tc>
          <w:tcPr>
            <w:tcW w:w="1708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2013</w:t>
            </w:r>
          </w:p>
        </w:tc>
        <w:tc>
          <w:tcPr>
            <w:tcW w:w="1965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36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18.450.465,99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3.139.074,17</w:t>
            </w:r>
          </w:p>
        </w:tc>
      </w:tr>
      <w:tr w:rsidR="00D75E0A" w:rsidRPr="008D2E5B" w:rsidTr="00D75E0A">
        <w:trPr>
          <w:trHeight w:val="288"/>
        </w:trPr>
        <w:tc>
          <w:tcPr>
            <w:tcW w:w="1708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1965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83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37.195.753,17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8.696.934,31</w:t>
            </w:r>
          </w:p>
        </w:tc>
      </w:tr>
    </w:tbl>
    <w:p w:rsidR="00D75E0A" w:rsidRDefault="00D75E0A" w:rsidP="00D75E0A">
      <w:pPr>
        <w:pStyle w:val="StandaardSV"/>
        <w:ind w:left="360"/>
        <w:rPr>
          <w:lang w:val="nl-BE"/>
        </w:rPr>
      </w:pPr>
    </w:p>
    <w:p w:rsidR="00D75E0A" w:rsidRDefault="00D75E0A" w:rsidP="00D75E0A">
      <w:pPr>
        <w:pStyle w:val="StandaardSV"/>
        <w:ind w:left="360"/>
        <w:rPr>
          <w:lang w:val="nl-BE"/>
        </w:rPr>
      </w:pPr>
      <w:r w:rsidRPr="00D75E0A">
        <w:rPr>
          <w:lang w:val="nl-BE"/>
        </w:rPr>
        <w:t>Ingediende aanvragen per provincie met investerings- en subsidiebedrag:</w:t>
      </w:r>
    </w:p>
    <w:p w:rsidR="00D75E0A" w:rsidRDefault="00D75E0A" w:rsidP="00D75E0A">
      <w:pPr>
        <w:pStyle w:val="StandaardSV"/>
        <w:ind w:left="360"/>
        <w:rPr>
          <w:lang w:val="nl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962"/>
        <w:gridCol w:w="1591"/>
        <w:gridCol w:w="1481"/>
      </w:tblGrid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Provincie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Investering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Subsidie</w:t>
            </w:r>
          </w:p>
        </w:tc>
      </w:tr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Antwerpen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25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5.244.176,05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1.636.690,76</w:t>
            </w:r>
          </w:p>
        </w:tc>
      </w:tr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Limburg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16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9.144.668,08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2.538.292,04</w:t>
            </w:r>
          </w:p>
        </w:tc>
      </w:tr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hideMark/>
          </w:tcPr>
          <w:p w:rsidR="00D75E0A" w:rsidRPr="00CB5F27" w:rsidRDefault="00D75E0A" w:rsidP="00230DD8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Oost</w:t>
            </w:r>
            <w:r w:rsidR="00230DD8">
              <w:rPr>
                <w:rFonts w:eastAsia="Calibri"/>
                <w:szCs w:val="22"/>
              </w:rPr>
              <w:t>-</w:t>
            </w:r>
            <w:r w:rsidRPr="00CB5F27">
              <w:rPr>
                <w:rFonts w:eastAsia="Calibri"/>
                <w:szCs w:val="22"/>
              </w:rPr>
              <w:t>Vlaanderen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20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5.467.300,59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1.492.757,99</w:t>
            </w:r>
          </w:p>
        </w:tc>
      </w:tr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hideMark/>
          </w:tcPr>
          <w:p w:rsidR="00D75E0A" w:rsidRPr="00CB5F27" w:rsidRDefault="00D75E0A" w:rsidP="00230DD8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Vlaams</w:t>
            </w:r>
            <w:r w:rsidR="00230DD8">
              <w:rPr>
                <w:rFonts w:eastAsia="Calibri"/>
                <w:szCs w:val="22"/>
              </w:rPr>
              <w:t>-</w:t>
            </w:r>
            <w:r w:rsidRPr="00CB5F27">
              <w:rPr>
                <w:rFonts w:eastAsia="Calibri"/>
                <w:szCs w:val="22"/>
              </w:rPr>
              <w:t>Brabant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9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15.560.847,90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2.515.628,07</w:t>
            </w:r>
          </w:p>
        </w:tc>
      </w:tr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hideMark/>
          </w:tcPr>
          <w:p w:rsidR="00D75E0A" w:rsidRPr="00CB5F27" w:rsidRDefault="00D75E0A" w:rsidP="00230DD8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West</w:t>
            </w:r>
            <w:r w:rsidR="00230DD8">
              <w:rPr>
                <w:rFonts w:eastAsia="Calibri"/>
                <w:szCs w:val="22"/>
              </w:rPr>
              <w:t>-</w:t>
            </w:r>
            <w:r w:rsidRPr="00CB5F27">
              <w:rPr>
                <w:rFonts w:eastAsia="Calibri"/>
                <w:szCs w:val="22"/>
              </w:rPr>
              <w:t>Vlaanderen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13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1.778.760,55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513.565,45</w:t>
            </w:r>
          </w:p>
        </w:tc>
      </w:tr>
      <w:tr w:rsidR="00D75E0A" w:rsidRPr="008D2E5B" w:rsidTr="00D75E0A">
        <w:trPr>
          <w:trHeight w:val="288"/>
        </w:trPr>
        <w:tc>
          <w:tcPr>
            <w:tcW w:w="1847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83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37.195.753,17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8.696.934,31</w:t>
            </w:r>
          </w:p>
        </w:tc>
      </w:tr>
    </w:tbl>
    <w:p w:rsidR="00D75E0A" w:rsidRDefault="00D75E0A" w:rsidP="00D75E0A">
      <w:pPr>
        <w:pStyle w:val="StandaardSV"/>
        <w:ind w:left="360"/>
        <w:rPr>
          <w:lang w:val="nl-BE"/>
        </w:rPr>
      </w:pPr>
    </w:p>
    <w:p w:rsidR="007348E2" w:rsidRPr="008D2E5B" w:rsidRDefault="007348E2" w:rsidP="00D75E0A">
      <w:pPr>
        <w:pStyle w:val="StandaardSV"/>
        <w:ind w:left="348"/>
        <w:rPr>
          <w:lang w:val="nl-BE"/>
        </w:rPr>
      </w:pPr>
      <w:r w:rsidRPr="008D2E5B">
        <w:rPr>
          <w:lang w:val="nl-BE"/>
        </w:rPr>
        <w:t>Ingediende aanvragen per ondernemingsgrootte met investerings- en subsidiebedrag:</w:t>
      </w:r>
    </w:p>
    <w:p w:rsidR="007348E2" w:rsidRDefault="007348E2" w:rsidP="00D75E0A">
      <w:pPr>
        <w:pStyle w:val="StandaardSV"/>
        <w:ind w:left="348"/>
        <w:rPr>
          <w:lang w:val="nl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962"/>
        <w:gridCol w:w="1591"/>
        <w:gridCol w:w="1481"/>
      </w:tblGrid>
      <w:tr w:rsidR="00D75E0A" w:rsidRPr="008D2E5B" w:rsidTr="00D75E0A">
        <w:trPr>
          <w:trHeight w:val="288"/>
        </w:trPr>
        <w:tc>
          <w:tcPr>
            <w:tcW w:w="2392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Ondernemingsgrootte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1591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Investering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Subsidie</w:t>
            </w:r>
          </w:p>
        </w:tc>
      </w:tr>
      <w:tr w:rsidR="00D75E0A" w:rsidRPr="008D2E5B" w:rsidTr="00D75E0A">
        <w:trPr>
          <w:trHeight w:val="288"/>
        </w:trPr>
        <w:tc>
          <w:tcPr>
            <w:tcW w:w="239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KMO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69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17.110.104,46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5.007.895,20</w:t>
            </w:r>
          </w:p>
        </w:tc>
      </w:tr>
      <w:tr w:rsidR="00D75E0A" w:rsidRPr="008D2E5B" w:rsidTr="00D75E0A">
        <w:trPr>
          <w:trHeight w:val="288"/>
        </w:trPr>
        <w:tc>
          <w:tcPr>
            <w:tcW w:w="239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GO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14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20.085.648,71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3.689.039,11</w:t>
            </w:r>
          </w:p>
        </w:tc>
      </w:tr>
      <w:tr w:rsidR="00D75E0A" w:rsidRPr="008D2E5B" w:rsidTr="00D75E0A">
        <w:trPr>
          <w:trHeight w:val="288"/>
        </w:trPr>
        <w:tc>
          <w:tcPr>
            <w:tcW w:w="239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83</w:t>
            </w:r>
          </w:p>
        </w:tc>
        <w:tc>
          <w:tcPr>
            <w:tcW w:w="159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37.195.753,17</w:t>
            </w:r>
          </w:p>
        </w:tc>
        <w:tc>
          <w:tcPr>
            <w:tcW w:w="1481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8.696.934,31</w:t>
            </w:r>
          </w:p>
        </w:tc>
      </w:tr>
    </w:tbl>
    <w:p w:rsidR="00D75E0A" w:rsidRDefault="00D75E0A" w:rsidP="00D75E0A">
      <w:pPr>
        <w:pStyle w:val="StandaardSV"/>
        <w:ind w:left="348"/>
        <w:rPr>
          <w:lang w:val="nl-BE"/>
        </w:rPr>
      </w:pPr>
    </w:p>
    <w:p w:rsidR="00D75E0A" w:rsidRPr="00D75E0A" w:rsidRDefault="00D75E0A" w:rsidP="00D75E0A">
      <w:pPr>
        <w:pStyle w:val="StandaardSV"/>
        <w:ind w:left="348"/>
        <w:rPr>
          <w:lang w:val="nl-BE"/>
        </w:rPr>
      </w:pPr>
      <w:r w:rsidRPr="00D75E0A">
        <w:rPr>
          <w:lang w:val="nl-BE"/>
        </w:rPr>
        <w:t>Voor de indeling per technologie met vermelding van het investerings</w:t>
      </w:r>
      <w:r>
        <w:rPr>
          <w:lang w:val="nl-BE"/>
        </w:rPr>
        <w:t>-</w:t>
      </w:r>
      <w:r w:rsidRPr="00D75E0A">
        <w:rPr>
          <w:lang w:val="nl-BE"/>
        </w:rPr>
        <w:t xml:space="preserve"> en subsidiebedrag verwi</w:t>
      </w:r>
      <w:r w:rsidRPr="00D75E0A">
        <w:rPr>
          <w:lang w:val="nl-BE"/>
        </w:rPr>
        <w:t>j</w:t>
      </w:r>
      <w:r w:rsidRPr="00D75E0A">
        <w:rPr>
          <w:lang w:val="nl-BE"/>
        </w:rPr>
        <w:t xml:space="preserve">zen we naar de tabel </w:t>
      </w:r>
      <w:r>
        <w:rPr>
          <w:lang w:val="nl-BE"/>
        </w:rPr>
        <w:t xml:space="preserve">in </w:t>
      </w:r>
      <w:r w:rsidRPr="00D75E0A">
        <w:rPr>
          <w:u w:val="single"/>
          <w:lang w:val="nl-BE"/>
        </w:rPr>
        <w:t>bijlage 1</w:t>
      </w:r>
      <w:r>
        <w:rPr>
          <w:lang w:val="nl-BE"/>
        </w:rPr>
        <w:t>.</w:t>
      </w:r>
    </w:p>
    <w:p w:rsidR="00D75E0A" w:rsidRDefault="00D75E0A" w:rsidP="00D75E0A">
      <w:pPr>
        <w:pStyle w:val="StandaardSV"/>
        <w:ind w:left="348"/>
        <w:rPr>
          <w:lang w:val="nl-BE"/>
        </w:rPr>
      </w:pPr>
    </w:p>
    <w:p w:rsidR="007348E2" w:rsidRPr="008D2E5B" w:rsidRDefault="00D75E0A" w:rsidP="00D75E0A">
      <w:pPr>
        <w:pStyle w:val="StandaardSV"/>
        <w:numPr>
          <w:ilvl w:val="0"/>
          <w:numId w:val="10"/>
        </w:numPr>
        <w:rPr>
          <w:lang w:val="nl-BE"/>
        </w:rPr>
      </w:pPr>
      <w:r>
        <w:rPr>
          <w:lang w:val="nl-BE"/>
        </w:rPr>
        <w:t>Zie (de overzichtstabellen in) het antwoord op deelvraag 1.</w:t>
      </w:r>
    </w:p>
    <w:p w:rsidR="007348E2" w:rsidRPr="008D2E5B" w:rsidRDefault="007348E2" w:rsidP="00D75E0A">
      <w:pPr>
        <w:pStyle w:val="StandaardSV"/>
        <w:ind w:left="360"/>
        <w:rPr>
          <w:lang w:val="nl-BE"/>
        </w:rPr>
      </w:pPr>
    </w:p>
    <w:p w:rsidR="0023526D" w:rsidRPr="008D2E5B" w:rsidRDefault="00D75E0A" w:rsidP="007102F7">
      <w:pPr>
        <w:pStyle w:val="StandaardSV"/>
        <w:numPr>
          <w:ilvl w:val="0"/>
          <w:numId w:val="10"/>
        </w:numPr>
        <w:rPr>
          <w:lang w:val="nl-BE"/>
        </w:rPr>
      </w:pPr>
      <w:r>
        <w:rPr>
          <w:lang w:val="nl-BE"/>
        </w:rPr>
        <w:t>Zie (de overzichtstabellen in) het antwoord op deelvraag 1.</w:t>
      </w:r>
    </w:p>
    <w:p w:rsidR="0023526D" w:rsidRPr="008D2E5B" w:rsidRDefault="0023526D" w:rsidP="00D75E0A">
      <w:pPr>
        <w:pStyle w:val="StandaardSV"/>
        <w:ind w:left="360"/>
        <w:rPr>
          <w:lang w:val="nl-BE"/>
        </w:rPr>
      </w:pPr>
    </w:p>
    <w:p w:rsidR="002E7377" w:rsidRPr="008D2E5B" w:rsidRDefault="002E7377" w:rsidP="00D75E0A">
      <w:pPr>
        <w:pStyle w:val="StandaardSV"/>
        <w:numPr>
          <w:ilvl w:val="0"/>
          <w:numId w:val="10"/>
        </w:numPr>
        <w:rPr>
          <w:lang w:val="nl-BE"/>
        </w:rPr>
      </w:pPr>
      <w:r w:rsidRPr="008D2E5B">
        <w:rPr>
          <w:lang w:val="nl-BE"/>
        </w:rPr>
        <w:t>Vanaf 20</w:t>
      </w:r>
      <w:r w:rsidR="002A5A4A" w:rsidRPr="008D2E5B">
        <w:rPr>
          <w:lang w:val="nl-BE"/>
        </w:rPr>
        <w:t xml:space="preserve"> december 2012</w:t>
      </w:r>
      <w:r w:rsidRPr="008D2E5B">
        <w:rPr>
          <w:lang w:val="nl-BE"/>
        </w:rPr>
        <w:t xml:space="preserve"> tot </w:t>
      </w:r>
      <w:r w:rsidR="004420B4">
        <w:rPr>
          <w:lang w:val="nl-BE"/>
        </w:rPr>
        <w:t>26 februari 2013</w:t>
      </w:r>
      <w:r w:rsidR="004420B4" w:rsidRPr="008D2E5B">
        <w:rPr>
          <w:lang w:val="nl-BE"/>
        </w:rPr>
        <w:t xml:space="preserve"> </w:t>
      </w:r>
      <w:r w:rsidRPr="008D2E5B">
        <w:rPr>
          <w:lang w:val="nl-BE"/>
        </w:rPr>
        <w:t>werden er 38 steunaanvragen goedgekeurd.</w:t>
      </w:r>
    </w:p>
    <w:p w:rsidR="002E7377" w:rsidRPr="008D2E5B" w:rsidRDefault="002E7377" w:rsidP="00D75E0A">
      <w:pPr>
        <w:pStyle w:val="StandaardSV"/>
        <w:ind w:left="360"/>
        <w:rPr>
          <w:lang w:val="nl-BE"/>
        </w:rPr>
      </w:pPr>
    </w:p>
    <w:p w:rsidR="002E7377" w:rsidRPr="008D2E5B" w:rsidRDefault="002E7377" w:rsidP="00D75E0A">
      <w:pPr>
        <w:pStyle w:val="StandaardSV"/>
        <w:ind w:left="360"/>
        <w:rPr>
          <w:lang w:val="nl-BE"/>
        </w:rPr>
      </w:pPr>
      <w:r w:rsidRPr="008D2E5B">
        <w:rPr>
          <w:lang w:val="nl-BE"/>
        </w:rPr>
        <w:t>Goedgekeurde aanvragen per maand met investerings- en subsidiebedrag:</w:t>
      </w:r>
    </w:p>
    <w:p w:rsidR="002E7377" w:rsidRPr="008D2E5B" w:rsidRDefault="002E7377" w:rsidP="00D75E0A">
      <w:pPr>
        <w:pStyle w:val="StandaardSV"/>
        <w:ind w:left="360"/>
        <w:rPr>
          <w:lang w:val="nl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867"/>
        <w:gridCol w:w="852"/>
        <w:gridCol w:w="1481"/>
        <w:gridCol w:w="1371"/>
      </w:tblGrid>
      <w:tr w:rsidR="002E7377" w:rsidRPr="008D2E5B" w:rsidTr="00D75E0A">
        <w:trPr>
          <w:trHeight w:val="288"/>
        </w:trPr>
        <w:tc>
          <w:tcPr>
            <w:tcW w:w="1529" w:type="dxa"/>
            <w:shd w:val="clear" w:color="auto" w:fill="auto"/>
            <w:noWrap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lastRenderedPageBreak/>
              <w:t>Beslissingsjaar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Beslissingsmaand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2E7377" w:rsidRPr="00CB5F27" w:rsidRDefault="002E7377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Investering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2E7377" w:rsidRPr="00CB5F27" w:rsidRDefault="002E7377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Subsidie</w:t>
            </w:r>
          </w:p>
        </w:tc>
      </w:tr>
      <w:tr w:rsidR="002E7377" w:rsidRPr="008D2E5B" w:rsidTr="00D75E0A">
        <w:trPr>
          <w:trHeight w:val="288"/>
        </w:trPr>
        <w:tc>
          <w:tcPr>
            <w:tcW w:w="1529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2013</w:t>
            </w:r>
          </w:p>
        </w:tc>
        <w:tc>
          <w:tcPr>
            <w:tcW w:w="1867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38</w:t>
            </w:r>
          </w:p>
        </w:tc>
        <w:tc>
          <w:tcPr>
            <w:tcW w:w="1481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14.434.728,48</w:t>
            </w:r>
          </w:p>
        </w:tc>
        <w:tc>
          <w:tcPr>
            <w:tcW w:w="1371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3.959.374,18</w:t>
            </w:r>
          </w:p>
        </w:tc>
      </w:tr>
      <w:tr w:rsidR="002E7377" w:rsidRPr="008D2E5B" w:rsidTr="00D75E0A">
        <w:trPr>
          <w:trHeight w:val="288"/>
        </w:trPr>
        <w:tc>
          <w:tcPr>
            <w:tcW w:w="1529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867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852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38</w:t>
            </w:r>
          </w:p>
        </w:tc>
        <w:tc>
          <w:tcPr>
            <w:tcW w:w="1481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14.434.728,48</w:t>
            </w:r>
          </w:p>
        </w:tc>
        <w:tc>
          <w:tcPr>
            <w:tcW w:w="1371" w:type="dxa"/>
            <w:shd w:val="clear" w:color="auto" w:fill="auto"/>
            <w:hideMark/>
          </w:tcPr>
          <w:p w:rsidR="002E7377" w:rsidRPr="00CB5F27" w:rsidRDefault="002E7377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3.959.374,18</w:t>
            </w:r>
          </w:p>
        </w:tc>
      </w:tr>
    </w:tbl>
    <w:p w:rsidR="002E7377" w:rsidRPr="008D2E5B" w:rsidRDefault="002E7377" w:rsidP="00D75E0A">
      <w:pPr>
        <w:pStyle w:val="StandaardSV"/>
        <w:ind w:left="360"/>
        <w:rPr>
          <w:lang w:val="nl-BE"/>
        </w:rPr>
      </w:pPr>
    </w:p>
    <w:p w:rsidR="00B348DD" w:rsidRPr="008D2E5B" w:rsidRDefault="00B348DD" w:rsidP="00D75E0A">
      <w:pPr>
        <w:pStyle w:val="StandaardSV"/>
        <w:ind w:left="360"/>
        <w:rPr>
          <w:lang w:val="nl-BE"/>
        </w:rPr>
      </w:pPr>
      <w:r w:rsidRPr="008D2E5B">
        <w:rPr>
          <w:lang w:val="nl-BE"/>
        </w:rPr>
        <w:t>Ingediende aanvragen per provincie met investerings- en subsidiebedrag:</w:t>
      </w:r>
    </w:p>
    <w:p w:rsidR="00B348DD" w:rsidRPr="008D2E5B" w:rsidRDefault="00B348DD" w:rsidP="00D75E0A">
      <w:pPr>
        <w:pStyle w:val="StandaardSV"/>
        <w:ind w:left="360"/>
        <w:rPr>
          <w:lang w:val="nl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852"/>
        <w:gridCol w:w="1506"/>
        <w:gridCol w:w="1395"/>
      </w:tblGrid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Provincie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Investering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Subsidie</w:t>
            </w:r>
          </w:p>
        </w:tc>
      </w:tr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Antwerpen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8</w:t>
            </w:r>
          </w:p>
        </w:tc>
        <w:tc>
          <w:tcPr>
            <w:tcW w:w="1506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1.098.790,15</w:t>
            </w:r>
          </w:p>
        </w:tc>
        <w:tc>
          <w:tcPr>
            <w:tcW w:w="1395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289.896,91</w:t>
            </w:r>
          </w:p>
        </w:tc>
      </w:tr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Limburg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8</w:t>
            </w:r>
          </w:p>
        </w:tc>
        <w:tc>
          <w:tcPr>
            <w:tcW w:w="1506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6.572.017,29</w:t>
            </w:r>
          </w:p>
        </w:tc>
        <w:tc>
          <w:tcPr>
            <w:tcW w:w="1395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1.489.337,24</w:t>
            </w:r>
          </w:p>
        </w:tc>
      </w:tr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hideMark/>
          </w:tcPr>
          <w:p w:rsidR="00B348DD" w:rsidRPr="00CB5F27" w:rsidRDefault="00B348DD" w:rsidP="00230DD8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Oost</w:t>
            </w:r>
            <w:r w:rsidR="00230DD8">
              <w:rPr>
                <w:rFonts w:eastAsia="Calibri"/>
                <w:szCs w:val="22"/>
              </w:rPr>
              <w:t>-</w:t>
            </w:r>
            <w:r w:rsidRPr="00CB5F27">
              <w:rPr>
                <w:rFonts w:eastAsia="Calibri"/>
                <w:szCs w:val="22"/>
              </w:rPr>
              <w:t>Vlaanderen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9</w:t>
            </w:r>
          </w:p>
        </w:tc>
        <w:tc>
          <w:tcPr>
            <w:tcW w:w="1506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2.102.455,69</w:t>
            </w:r>
          </w:p>
        </w:tc>
        <w:tc>
          <w:tcPr>
            <w:tcW w:w="1395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581.940,11</w:t>
            </w:r>
          </w:p>
        </w:tc>
      </w:tr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hideMark/>
          </w:tcPr>
          <w:p w:rsidR="00B348DD" w:rsidRPr="00CB5F27" w:rsidRDefault="00B348DD" w:rsidP="00230DD8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Vlaams</w:t>
            </w:r>
            <w:r w:rsidR="00230DD8">
              <w:rPr>
                <w:rFonts w:eastAsia="Calibri"/>
                <w:szCs w:val="22"/>
              </w:rPr>
              <w:t>-</w:t>
            </w:r>
            <w:r w:rsidRPr="00CB5F27">
              <w:rPr>
                <w:rFonts w:eastAsia="Calibri"/>
                <w:szCs w:val="22"/>
              </w:rPr>
              <w:t>Brabant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</w:t>
            </w:r>
          </w:p>
        </w:tc>
        <w:tc>
          <w:tcPr>
            <w:tcW w:w="1506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4.399.102,10</w:t>
            </w:r>
          </w:p>
        </w:tc>
        <w:tc>
          <w:tcPr>
            <w:tcW w:w="1395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1.504.121,34</w:t>
            </w:r>
          </w:p>
        </w:tc>
      </w:tr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hideMark/>
          </w:tcPr>
          <w:p w:rsidR="00B348DD" w:rsidRPr="00CB5F27" w:rsidRDefault="00B348DD" w:rsidP="00230DD8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West</w:t>
            </w:r>
            <w:r w:rsidR="00230DD8">
              <w:rPr>
                <w:rFonts w:eastAsia="Calibri"/>
                <w:szCs w:val="22"/>
              </w:rPr>
              <w:t>-</w:t>
            </w:r>
            <w:r w:rsidRPr="00CB5F27">
              <w:rPr>
                <w:rFonts w:eastAsia="Calibri"/>
                <w:szCs w:val="22"/>
              </w:rPr>
              <w:t>Vlaanderen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8</w:t>
            </w:r>
          </w:p>
        </w:tc>
        <w:tc>
          <w:tcPr>
            <w:tcW w:w="1506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262.363,25</w:t>
            </w:r>
          </w:p>
        </w:tc>
        <w:tc>
          <w:tcPr>
            <w:tcW w:w="1395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94.078,58</w:t>
            </w:r>
          </w:p>
        </w:tc>
      </w:tr>
      <w:tr w:rsidR="00B348DD" w:rsidRPr="008D2E5B" w:rsidTr="00D75E0A">
        <w:trPr>
          <w:trHeight w:val="288"/>
        </w:trPr>
        <w:tc>
          <w:tcPr>
            <w:tcW w:w="1919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38</w:t>
            </w:r>
          </w:p>
        </w:tc>
        <w:tc>
          <w:tcPr>
            <w:tcW w:w="1506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14.434.728,48</w:t>
            </w:r>
          </w:p>
        </w:tc>
        <w:tc>
          <w:tcPr>
            <w:tcW w:w="1395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3.959.374,18</w:t>
            </w:r>
          </w:p>
        </w:tc>
      </w:tr>
    </w:tbl>
    <w:p w:rsidR="00B348DD" w:rsidRPr="008D2E5B" w:rsidRDefault="00B348DD" w:rsidP="00D75E0A">
      <w:pPr>
        <w:pStyle w:val="StandaardSV"/>
        <w:ind w:left="360"/>
        <w:rPr>
          <w:lang w:val="nl-BE"/>
        </w:rPr>
      </w:pPr>
    </w:p>
    <w:p w:rsidR="00B348DD" w:rsidRPr="008D2E5B" w:rsidRDefault="00B348DD" w:rsidP="00D75E0A">
      <w:pPr>
        <w:pStyle w:val="StandaardSV"/>
        <w:ind w:left="360"/>
        <w:rPr>
          <w:lang w:val="nl-BE"/>
        </w:rPr>
      </w:pPr>
      <w:r w:rsidRPr="008D2E5B">
        <w:rPr>
          <w:lang w:val="nl-BE"/>
        </w:rPr>
        <w:t>Ingediende aanvragen per ondernemingsgrootte met investerings- en subsidiebedrag:</w:t>
      </w:r>
    </w:p>
    <w:p w:rsidR="00B348DD" w:rsidRPr="008D2E5B" w:rsidRDefault="00B348DD" w:rsidP="00D75E0A">
      <w:pPr>
        <w:pStyle w:val="StandaardSV"/>
        <w:ind w:left="360"/>
        <w:rPr>
          <w:lang w:val="nl-B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52"/>
        <w:gridCol w:w="1481"/>
        <w:gridCol w:w="1371"/>
      </w:tblGrid>
      <w:tr w:rsidR="00B348DD" w:rsidRPr="008D2E5B" w:rsidTr="00D75E0A">
        <w:trPr>
          <w:trHeight w:val="288"/>
        </w:trPr>
        <w:tc>
          <w:tcPr>
            <w:tcW w:w="2201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Ondernemingsgrootte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Investering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Subsidie</w:t>
            </w:r>
          </w:p>
        </w:tc>
      </w:tr>
      <w:tr w:rsidR="00B348DD" w:rsidRPr="008D2E5B" w:rsidTr="00D75E0A">
        <w:trPr>
          <w:trHeight w:val="288"/>
        </w:trPr>
        <w:tc>
          <w:tcPr>
            <w:tcW w:w="220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KMO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31</w:t>
            </w:r>
          </w:p>
        </w:tc>
        <w:tc>
          <w:tcPr>
            <w:tcW w:w="148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10.315.389,77</w:t>
            </w:r>
          </w:p>
        </w:tc>
        <w:tc>
          <w:tcPr>
            <w:tcW w:w="137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2.825.235,67</w:t>
            </w:r>
          </w:p>
        </w:tc>
      </w:tr>
      <w:tr w:rsidR="00B348DD" w:rsidRPr="008D2E5B" w:rsidTr="00D75E0A">
        <w:trPr>
          <w:trHeight w:val="288"/>
        </w:trPr>
        <w:tc>
          <w:tcPr>
            <w:tcW w:w="220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GO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7</w:t>
            </w:r>
          </w:p>
        </w:tc>
        <w:tc>
          <w:tcPr>
            <w:tcW w:w="148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4.119.338,71</w:t>
            </w:r>
          </w:p>
        </w:tc>
        <w:tc>
          <w:tcPr>
            <w:tcW w:w="137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1.134.138,51</w:t>
            </w:r>
          </w:p>
        </w:tc>
      </w:tr>
      <w:tr w:rsidR="00B348DD" w:rsidRPr="008D2E5B" w:rsidTr="00D75E0A">
        <w:trPr>
          <w:trHeight w:val="288"/>
        </w:trPr>
        <w:tc>
          <w:tcPr>
            <w:tcW w:w="220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 </w:t>
            </w:r>
          </w:p>
        </w:tc>
        <w:tc>
          <w:tcPr>
            <w:tcW w:w="852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38</w:t>
            </w:r>
          </w:p>
        </w:tc>
        <w:tc>
          <w:tcPr>
            <w:tcW w:w="148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14.434.728,48</w:t>
            </w:r>
          </w:p>
        </w:tc>
        <w:tc>
          <w:tcPr>
            <w:tcW w:w="1371" w:type="dxa"/>
            <w:shd w:val="clear" w:color="auto" w:fill="auto"/>
            <w:hideMark/>
          </w:tcPr>
          <w:p w:rsidR="00B348DD" w:rsidRPr="00CB5F27" w:rsidRDefault="00B348DD" w:rsidP="006A7DB7">
            <w:pPr>
              <w:pStyle w:val="StandaardSV"/>
              <w:jc w:val="righ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3.959.374,18</w:t>
            </w:r>
          </w:p>
        </w:tc>
      </w:tr>
    </w:tbl>
    <w:p w:rsidR="00B348DD" w:rsidRPr="008D2E5B" w:rsidRDefault="00B348DD" w:rsidP="00D75E0A">
      <w:pPr>
        <w:pStyle w:val="StandaardSV"/>
        <w:ind w:left="360"/>
        <w:rPr>
          <w:lang w:val="nl-BE"/>
        </w:rPr>
      </w:pPr>
    </w:p>
    <w:p w:rsidR="00B348DD" w:rsidRPr="008D2E5B" w:rsidRDefault="00B348DD" w:rsidP="00D75E0A">
      <w:pPr>
        <w:pStyle w:val="StandaardSV"/>
        <w:ind w:left="360"/>
        <w:rPr>
          <w:lang w:val="nl-BE"/>
        </w:rPr>
      </w:pPr>
      <w:r w:rsidRPr="008D2E5B">
        <w:rPr>
          <w:lang w:val="nl-BE"/>
        </w:rPr>
        <w:t>Voor de indeling per technologie met vermelding van het investerings en subsidiebedrag verwi</w:t>
      </w:r>
      <w:r w:rsidRPr="008D2E5B">
        <w:rPr>
          <w:lang w:val="nl-BE"/>
        </w:rPr>
        <w:t>j</w:t>
      </w:r>
      <w:r w:rsidRPr="008D2E5B">
        <w:rPr>
          <w:lang w:val="nl-BE"/>
        </w:rPr>
        <w:t xml:space="preserve">zen we naar de </w:t>
      </w:r>
      <w:r w:rsidR="00D75E0A">
        <w:rPr>
          <w:lang w:val="nl-BE"/>
        </w:rPr>
        <w:t>t</w:t>
      </w:r>
      <w:r w:rsidRPr="008D2E5B">
        <w:rPr>
          <w:lang w:val="nl-BE"/>
        </w:rPr>
        <w:t>abel</w:t>
      </w:r>
      <w:r w:rsidR="00D75E0A">
        <w:rPr>
          <w:lang w:val="nl-BE"/>
        </w:rPr>
        <w:t xml:space="preserve"> in </w:t>
      </w:r>
      <w:r w:rsidR="00D75E0A" w:rsidRPr="00D75E0A">
        <w:rPr>
          <w:u w:val="single"/>
          <w:lang w:val="nl-BE"/>
        </w:rPr>
        <w:t>bijlage 2</w:t>
      </w:r>
      <w:r w:rsidR="00D75E0A">
        <w:rPr>
          <w:lang w:val="nl-BE"/>
        </w:rPr>
        <w:t>.</w:t>
      </w:r>
    </w:p>
    <w:p w:rsidR="00B348DD" w:rsidRPr="008D2E5B" w:rsidRDefault="00B348DD" w:rsidP="00D75E0A">
      <w:pPr>
        <w:pStyle w:val="StandaardSV"/>
        <w:ind w:left="360"/>
        <w:rPr>
          <w:lang w:val="nl-BE"/>
        </w:rPr>
      </w:pPr>
    </w:p>
    <w:p w:rsidR="0023526D" w:rsidRPr="008D2E5B" w:rsidRDefault="00D75E0A" w:rsidP="007102F7">
      <w:pPr>
        <w:pStyle w:val="StandaardSV"/>
        <w:numPr>
          <w:ilvl w:val="0"/>
          <w:numId w:val="10"/>
        </w:numPr>
        <w:rPr>
          <w:lang w:val="nl-BE"/>
        </w:rPr>
      </w:pPr>
      <w:r>
        <w:rPr>
          <w:lang w:val="nl-BE"/>
        </w:rPr>
        <w:t>Zie (de overzichtstabellen in) het antwoord op deelvraag 4.</w:t>
      </w:r>
    </w:p>
    <w:p w:rsidR="002E7377" w:rsidRPr="008D2E5B" w:rsidRDefault="002E7377" w:rsidP="002E7377">
      <w:pPr>
        <w:pStyle w:val="StandaardSV"/>
        <w:rPr>
          <w:lang w:val="nl-BE"/>
        </w:rPr>
      </w:pPr>
    </w:p>
    <w:p w:rsidR="00D75E0A" w:rsidRDefault="00D75E0A" w:rsidP="00D75E0A">
      <w:pPr>
        <w:pStyle w:val="StandaardSV"/>
        <w:numPr>
          <w:ilvl w:val="0"/>
          <w:numId w:val="10"/>
        </w:numPr>
        <w:rPr>
          <w:lang w:val="nl-BE"/>
        </w:rPr>
      </w:pPr>
      <w:r>
        <w:rPr>
          <w:lang w:val="nl-BE"/>
        </w:rPr>
        <w:t>Zie (de overzichtstabellen in) het antwoord op deelvraag 4.</w:t>
      </w:r>
    </w:p>
    <w:p w:rsidR="00D75E0A" w:rsidRDefault="00D75E0A" w:rsidP="002A5A4A">
      <w:pPr>
        <w:pStyle w:val="StandaardSV"/>
        <w:rPr>
          <w:lang w:val="nl-BE"/>
        </w:rPr>
      </w:pPr>
    </w:p>
    <w:p w:rsidR="0023526D" w:rsidRPr="00D75E0A" w:rsidRDefault="0023526D" w:rsidP="0023526D">
      <w:pPr>
        <w:pStyle w:val="StandaardSV"/>
        <w:rPr>
          <w:i/>
          <w:lang w:val="nl-BE"/>
        </w:rPr>
      </w:pPr>
      <w:r w:rsidRPr="00D75E0A">
        <w:rPr>
          <w:i/>
          <w:lang w:val="nl-BE"/>
        </w:rPr>
        <w:t>Algemeen</w:t>
      </w:r>
    </w:p>
    <w:p w:rsidR="0023526D" w:rsidRPr="008D2E5B" w:rsidRDefault="0023526D" w:rsidP="0023526D">
      <w:pPr>
        <w:pStyle w:val="StandaardSV"/>
        <w:rPr>
          <w:lang w:val="nl-BE"/>
        </w:rPr>
      </w:pPr>
    </w:p>
    <w:p w:rsidR="0023526D" w:rsidRDefault="002A5A4A" w:rsidP="00D75E0A">
      <w:pPr>
        <w:pStyle w:val="StandaardSV"/>
        <w:numPr>
          <w:ilvl w:val="0"/>
          <w:numId w:val="10"/>
        </w:numPr>
      </w:pPr>
      <w:r w:rsidRPr="008D2E5B">
        <w:t>Onderstaande tabel geeft een overzicht van de meest in aanmerking komende technologieën</w:t>
      </w:r>
      <w:r w:rsidR="00CC4BC5">
        <w:t xml:space="preserve"> (top 5)</w:t>
      </w:r>
      <w:r w:rsidR="00DD032A" w:rsidRPr="008D2E5B">
        <w:t xml:space="preserve"> </w:t>
      </w:r>
      <w:r w:rsidRPr="008D2E5B">
        <w:t>voor de periode vanaf 20 december 2012 to</w:t>
      </w:r>
      <w:r w:rsidR="004420B4">
        <w:t xml:space="preserve">t </w:t>
      </w:r>
      <w:r w:rsidR="004420B4">
        <w:rPr>
          <w:lang w:val="nl-BE"/>
        </w:rPr>
        <w:t>26 februari 2013</w:t>
      </w:r>
      <w:r w:rsidRPr="008D2E5B">
        <w:t>.</w:t>
      </w:r>
    </w:p>
    <w:p w:rsidR="00D75E0A" w:rsidRDefault="00D75E0A" w:rsidP="00D75E0A">
      <w:pPr>
        <w:pStyle w:val="StandaardSV"/>
        <w:ind w:left="360"/>
      </w:pPr>
    </w:p>
    <w:tbl>
      <w:tblPr>
        <w:tblW w:w="94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40"/>
      </w:tblGrid>
      <w:tr w:rsidR="00D75E0A" w:rsidRPr="00CC4BC5" w:rsidTr="006A7DB7">
        <w:trPr>
          <w:trHeight w:val="288"/>
          <w:tblHeader/>
        </w:trPr>
        <w:tc>
          <w:tcPr>
            <w:tcW w:w="962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Aantal</w:t>
            </w:r>
          </w:p>
        </w:tc>
        <w:tc>
          <w:tcPr>
            <w:tcW w:w="8440" w:type="dxa"/>
            <w:shd w:val="clear" w:color="auto" w:fill="auto"/>
            <w:noWrap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b/>
                <w:bCs/>
                <w:szCs w:val="22"/>
              </w:rPr>
            </w:pPr>
            <w:r w:rsidRPr="00CB5F27">
              <w:rPr>
                <w:rFonts w:eastAsia="Calibri"/>
                <w:b/>
                <w:bCs/>
                <w:szCs w:val="22"/>
              </w:rPr>
              <w:t>Technologie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9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Euro VI motor voor zware voertuigen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5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Aanwenden van geothermische energie in een gesloten systeem - boorgat-energieopslag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4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(Elektrische) warmtepomp ( met water of lucht als warmtebronsysteem)</w:t>
            </w:r>
          </w:p>
        </w:tc>
      </w:tr>
      <w:tr w:rsidR="00D75E0A" w:rsidRPr="00CC4BC5" w:rsidTr="001B75C8">
        <w:trPr>
          <w:trHeight w:val="576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4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 xml:space="preserve">Recuperatie van restenergie (warmte/koude) voor gebouwklimatisatie en/of voor gebruik in </w:t>
            </w:r>
            <w:r w:rsidR="006A7DB7" w:rsidRPr="00CB5F27">
              <w:rPr>
                <w:rFonts w:eastAsia="Calibri"/>
                <w:szCs w:val="22"/>
              </w:rPr>
              <w:t>industriële</w:t>
            </w:r>
            <w:r w:rsidRPr="00CB5F27">
              <w:rPr>
                <w:rFonts w:eastAsia="Calibri"/>
                <w:szCs w:val="22"/>
              </w:rPr>
              <w:t xml:space="preserve"> processen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Geothermische (elektrische) warmtepomp (bodem als warmtebronsysteem)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Terugwininstallatie voor waterverdunbare verf, lak, inkt of lijm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EEV-motor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3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Zonneboiler</w:t>
            </w:r>
          </w:p>
        </w:tc>
      </w:tr>
      <w:tr w:rsidR="00D75E0A" w:rsidRPr="00CC4BC5" w:rsidTr="001B75C8">
        <w:trPr>
          <w:trHeight w:val="576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Gebruik van speciale, duurzame, interne paletten en oplegplaten, specifiek voor de grafische sector</w:t>
            </w:r>
          </w:p>
        </w:tc>
      </w:tr>
      <w:tr w:rsidR="00D75E0A" w:rsidRPr="00CC4BC5" w:rsidTr="001B75C8">
        <w:trPr>
          <w:trHeight w:val="576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Aanwending van de computer-to-plate (CTP) technologie voor voorinstelling van inktschu</w:t>
            </w:r>
            <w:r w:rsidRPr="00CB5F27">
              <w:rPr>
                <w:rFonts w:eastAsia="Calibri"/>
                <w:szCs w:val="22"/>
              </w:rPr>
              <w:t>i</w:t>
            </w:r>
            <w:r w:rsidRPr="00CB5F27">
              <w:rPr>
                <w:rFonts w:eastAsia="Calibri"/>
                <w:szCs w:val="22"/>
              </w:rPr>
              <w:t>ven op de offsetdrukpersen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Spaarsysteem op anti-smet-poeder-installaties op drukpersen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Gasgestookte infraroodpanelen voor droging van oppervlakken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lastRenderedPageBreak/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Verdeelinstallaties voor offsetinkt uit retourcontainer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Koelsysteem (nieuw) op basis van alternatieve koudemiddelen (uitgezonderd ammoniak)</w:t>
            </w:r>
          </w:p>
        </w:tc>
      </w:tr>
      <w:tr w:rsidR="00D75E0A" w:rsidRPr="00CC4BC5" w:rsidTr="001B75C8">
        <w:trPr>
          <w:trHeight w:val="864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Centrale vochtwaterinstallatie voor offsetdrukpersen die vochtwater met een ideale en co</w:t>
            </w:r>
            <w:r w:rsidRPr="00CB5F27">
              <w:rPr>
                <w:rFonts w:eastAsia="Calibri"/>
                <w:szCs w:val="22"/>
              </w:rPr>
              <w:t>n</w:t>
            </w:r>
            <w:r w:rsidRPr="00CB5F27">
              <w:rPr>
                <w:rFonts w:eastAsia="Calibri"/>
                <w:szCs w:val="22"/>
              </w:rPr>
              <w:t>stante samenstelling produceert waardoor slechts een minimum aan isopropylalcohol nodig is</w:t>
            </w:r>
          </w:p>
        </w:tc>
      </w:tr>
      <w:tr w:rsidR="00D75E0A" w:rsidRPr="00CC4BC5" w:rsidTr="001B75C8">
        <w:trPr>
          <w:trHeight w:val="288"/>
        </w:trPr>
        <w:tc>
          <w:tcPr>
            <w:tcW w:w="962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center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2</w:t>
            </w:r>
          </w:p>
        </w:tc>
        <w:tc>
          <w:tcPr>
            <w:tcW w:w="8440" w:type="dxa"/>
            <w:shd w:val="clear" w:color="auto" w:fill="auto"/>
            <w:hideMark/>
          </w:tcPr>
          <w:p w:rsidR="00D75E0A" w:rsidRPr="00CB5F27" w:rsidRDefault="00D75E0A" w:rsidP="006A7DB7">
            <w:pPr>
              <w:pStyle w:val="StandaardSV"/>
              <w:jc w:val="left"/>
              <w:rPr>
                <w:rFonts w:eastAsia="Calibri"/>
                <w:szCs w:val="22"/>
              </w:rPr>
            </w:pPr>
            <w:r w:rsidRPr="00CB5F27">
              <w:rPr>
                <w:rFonts w:eastAsia="Calibri"/>
                <w:szCs w:val="22"/>
              </w:rPr>
              <w:t>Ondersteuningsventilatoren</w:t>
            </w:r>
          </w:p>
        </w:tc>
      </w:tr>
    </w:tbl>
    <w:p w:rsidR="00D75E0A" w:rsidRDefault="00D75E0A" w:rsidP="00D75E0A">
      <w:pPr>
        <w:pStyle w:val="StandaardSV"/>
        <w:ind w:left="360"/>
      </w:pPr>
    </w:p>
    <w:p w:rsidR="00D75E0A" w:rsidRDefault="00D75E0A" w:rsidP="00D75E0A">
      <w:pPr>
        <w:pStyle w:val="StandaardSV"/>
        <w:ind w:left="360"/>
      </w:pPr>
      <w:r>
        <w:t>Voor een verdere opsplitsing van bovenstaande tabel naar soort onderneming, provincie en tec</w:t>
      </w:r>
      <w:r>
        <w:t>h</w:t>
      </w:r>
      <w:r>
        <w:t xml:space="preserve">nologie van wordt verwezen naar de tabel in </w:t>
      </w:r>
      <w:r w:rsidRPr="00D75E0A">
        <w:rPr>
          <w:u w:val="single"/>
        </w:rPr>
        <w:t>bijlage 3</w:t>
      </w:r>
      <w:r>
        <w:t>.</w:t>
      </w:r>
    </w:p>
    <w:p w:rsidR="00D75E0A" w:rsidRDefault="00D75E0A" w:rsidP="00D75E0A">
      <w:pPr>
        <w:pStyle w:val="StandaardSV"/>
      </w:pPr>
    </w:p>
    <w:p w:rsidR="00D75E0A" w:rsidRDefault="006A7DB7" w:rsidP="00D75E0A">
      <w:pPr>
        <w:pStyle w:val="StandaardSV"/>
      </w:pPr>
      <w:r w:rsidRPr="00FB7096">
        <w:rPr>
          <w:b/>
          <w:bCs/>
          <w:smallCaps/>
          <w:color w:val="FF0000"/>
          <w:szCs w:val="22"/>
          <w:u w:val="single"/>
        </w:rPr>
        <w:t>bijlagen</w:t>
      </w:r>
    </w:p>
    <w:p w:rsidR="00D75E0A" w:rsidRDefault="00D75E0A" w:rsidP="00D75E0A">
      <w:pPr>
        <w:pStyle w:val="StandaardSV"/>
      </w:pPr>
    </w:p>
    <w:p w:rsidR="006A7DB7" w:rsidRDefault="006A7DB7" w:rsidP="006A7DB7">
      <w:pPr>
        <w:pStyle w:val="StandaardSV"/>
        <w:numPr>
          <w:ilvl w:val="0"/>
          <w:numId w:val="12"/>
        </w:numPr>
        <w:jc w:val="left"/>
      </w:pPr>
      <w:r>
        <w:t>Bijlage 1. Ingediende projecten Ecologiepremie Plus.</w:t>
      </w:r>
    </w:p>
    <w:p w:rsidR="006A7DB7" w:rsidRDefault="006A7DB7" w:rsidP="006A7DB7">
      <w:pPr>
        <w:pStyle w:val="StandaardSV"/>
        <w:numPr>
          <w:ilvl w:val="0"/>
          <w:numId w:val="12"/>
        </w:numPr>
        <w:jc w:val="left"/>
      </w:pPr>
      <w:r>
        <w:t>Bijlage 2. Goedgekeurde projecten Ecologiepremie Plus.</w:t>
      </w:r>
    </w:p>
    <w:p w:rsidR="006A7DB7" w:rsidRDefault="006A7DB7" w:rsidP="006A7DB7">
      <w:pPr>
        <w:pStyle w:val="StandaardSV"/>
        <w:numPr>
          <w:ilvl w:val="0"/>
          <w:numId w:val="12"/>
        </w:numPr>
        <w:jc w:val="left"/>
      </w:pPr>
      <w:r>
        <w:t>Bijlage 3. Meest in aanmerking komende technologieën (detail) Ecologiepremie Plus.</w:t>
      </w:r>
    </w:p>
    <w:p w:rsidR="00D75E0A" w:rsidRDefault="00D75E0A" w:rsidP="00D75E0A">
      <w:pPr>
        <w:pStyle w:val="StandaardSV"/>
      </w:pPr>
    </w:p>
    <w:p w:rsidR="00D75E0A" w:rsidRDefault="00D75E0A" w:rsidP="00D75E0A">
      <w:pPr>
        <w:pStyle w:val="StandaardSV"/>
      </w:pPr>
    </w:p>
    <w:p w:rsidR="00D75E0A" w:rsidRDefault="00D75E0A" w:rsidP="00D75E0A">
      <w:pPr>
        <w:pStyle w:val="StandaardSV"/>
      </w:pPr>
    </w:p>
    <w:p w:rsidR="008D2E5B" w:rsidRDefault="008D2E5B" w:rsidP="00D75E0A">
      <w:pPr>
        <w:pStyle w:val="StandaardSV"/>
      </w:pPr>
    </w:p>
    <w:sectPr w:rsidR="008D2E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C1" w:rsidRDefault="00C80FC1">
      <w:r>
        <w:separator/>
      </w:r>
    </w:p>
  </w:endnote>
  <w:endnote w:type="continuationSeparator" w:id="0">
    <w:p w:rsidR="00C80FC1" w:rsidRDefault="00C8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C1" w:rsidRDefault="00C80FC1">
      <w:r>
        <w:separator/>
      </w:r>
    </w:p>
  </w:footnote>
  <w:footnote w:type="continuationSeparator" w:id="0">
    <w:p w:rsidR="00C80FC1" w:rsidRDefault="00C8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061"/>
    <w:multiLevelType w:val="hybridMultilevel"/>
    <w:tmpl w:val="7A94E1C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033FA"/>
    <w:multiLevelType w:val="hybridMultilevel"/>
    <w:tmpl w:val="8FEE0C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BF75F2"/>
    <w:multiLevelType w:val="hybridMultilevel"/>
    <w:tmpl w:val="30D82AAA"/>
    <w:lvl w:ilvl="0" w:tplc="F07EBE32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6D11E2"/>
    <w:multiLevelType w:val="hybridMultilevel"/>
    <w:tmpl w:val="B8984C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05302"/>
    <w:multiLevelType w:val="hybridMultilevel"/>
    <w:tmpl w:val="ACC48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9164B"/>
    <w:multiLevelType w:val="hybridMultilevel"/>
    <w:tmpl w:val="9D1A916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DAB"/>
    <w:multiLevelType w:val="hybridMultilevel"/>
    <w:tmpl w:val="FFACF2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8696B"/>
    <w:multiLevelType w:val="hybridMultilevel"/>
    <w:tmpl w:val="27623C5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70DD"/>
    <w:multiLevelType w:val="hybridMultilevel"/>
    <w:tmpl w:val="8C728F66"/>
    <w:lvl w:ilvl="0" w:tplc="BEA0A6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5F027F"/>
    <w:multiLevelType w:val="hybridMultilevel"/>
    <w:tmpl w:val="A23A34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70FBE"/>
    <w:multiLevelType w:val="hybridMultilevel"/>
    <w:tmpl w:val="45BCA7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16AB6"/>
    <w:rsid w:val="0008597D"/>
    <w:rsid w:val="000C6B7E"/>
    <w:rsid w:val="00102476"/>
    <w:rsid w:val="001058E4"/>
    <w:rsid w:val="00136A3E"/>
    <w:rsid w:val="001561C9"/>
    <w:rsid w:val="0016148B"/>
    <w:rsid w:val="001755B2"/>
    <w:rsid w:val="001A4E37"/>
    <w:rsid w:val="001C0B52"/>
    <w:rsid w:val="001D50C6"/>
    <w:rsid w:val="001F547D"/>
    <w:rsid w:val="001F713E"/>
    <w:rsid w:val="00202FA9"/>
    <w:rsid w:val="00215D0A"/>
    <w:rsid w:val="00224933"/>
    <w:rsid w:val="002267BC"/>
    <w:rsid w:val="00230DD8"/>
    <w:rsid w:val="0023526D"/>
    <w:rsid w:val="002536A1"/>
    <w:rsid w:val="002A5A4A"/>
    <w:rsid w:val="002B65A3"/>
    <w:rsid w:val="002E7377"/>
    <w:rsid w:val="002F1544"/>
    <w:rsid w:val="00321F10"/>
    <w:rsid w:val="0032261D"/>
    <w:rsid w:val="00323AF3"/>
    <w:rsid w:val="0034616F"/>
    <w:rsid w:val="003750D5"/>
    <w:rsid w:val="00380B8F"/>
    <w:rsid w:val="0039205C"/>
    <w:rsid w:val="003B6A5C"/>
    <w:rsid w:val="003C730B"/>
    <w:rsid w:val="00423F29"/>
    <w:rsid w:val="004420B4"/>
    <w:rsid w:val="0046761C"/>
    <w:rsid w:val="0047032B"/>
    <w:rsid w:val="00472C97"/>
    <w:rsid w:val="00477EB3"/>
    <w:rsid w:val="004A56C3"/>
    <w:rsid w:val="004D21E2"/>
    <w:rsid w:val="004F3708"/>
    <w:rsid w:val="00512E83"/>
    <w:rsid w:val="00540203"/>
    <w:rsid w:val="00540740"/>
    <w:rsid w:val="00560124"/>
    <w:rsid w:val="005B3194"/>
    <w:rsid w:val="005F4053"/>
    <w:rsid w:val="00680F3A"/>
    <w:rsid w:val="006A5A3E"/>
    <w:rsid w:val="006A7DB7"/>
    <w:rsid w:val="006C574A"/>
    <w:rsid w:val="006F445E"/>
    <w:rsid w:val="007102F7"/>
    <w:rsid w:val="00723B3F"/>
    <w:rsid w:val="007348E2"/>
    <w:rsid w:val="007408E7"/>
    <w:rsid w:val="00766C70"/>
    <w:rsid w:val="007E5C1D"/>
    <w:rsid w:val="00842183"/>
    <w:rsid w:val="00867AAA"/>
    <w:rsid w:val="008A6DA3"/>
    <w:rsid w:val="008D2E5B"/>
    <w:rsid w:val="008E3430"/>
    <w:rsid w:val="009511C4"/>
    <w:rsid w:val="00995A04"/>
    <w:rsid w:val="00995F79"/>
    <w:rsid w:val="009A0EA7"/>
    <w:rsid w:val="009A346D"/>
    <w:rsid w:val="009A6335"/>
    <w:rsid w:val="00A40700"/>
    <w:rsid w:val="00A63EDF"/>
    <w:rsid w:val="00A8473D"/>
    <w:rsid w:val="00AD549A"/>
    <w:rsid w:val="00AE40DC"/>
    <w:rsid w:val="00AF49A9"/>
    <w:rsid w:val="00B029ED"/>
    <w:rsid w:val="00B16D19"/>
    <w:rsid w:val="00B348DD"/>
    <w:rsid w:val="00B61409"/>
    <w:rsid w:val="00B81749"/>
    <w:rsid w:val="00B82A3E"/>
    <w:rsid w:val="00BB2A82"/>
    <w:rsid w:val="00BB38B7"/>
    <w:rsid w:val="00BB6E27"/>
    <w:rsid w:val="00BE315B"/>
    <w:rsid w:val="00BF0C33"/>
    <w:rsid w:val="00C50A13"/>
    <w:rsid w:val="00C625C9"/>
    <w:rsid w:val="00C80E5F"/>
    <w:rsid w:val="00C80FC1"/>
    <w:rsid w:val="00CB5F27"/>
    <w:rsid w:val="00CC4BC5"/>
    <w:rsid w:val="00CE2DB2"/>
    <w:rsid w:val="00CE5C0A"/>
    <w:rsid w:val="00D10A53"/>
    <w:rsid w:val="00D146CD"/>
    <w:rsid w:val="00D44CA5"/>
    <w:rsid w:val="00D5568D"/>
    <w:rsid w:val="00D61A12"/>
    <w:rsid w:val="00D67BAF"/>
    <w:rsid w:val="00D75E0A"/>
    <w:rsid w:val="00DA3A9B"/>
    <w:rsid w:val="00DD00E2"/>
    <w:rsid w:val="00DD032A"/>
    <w:rsid w:val="00DE405B"/>
    <w:rsid w:val="00E43487"/>
    <w:rsid w:val="00E839E8"/>
    <w:rsid w:val="00EA50CA"/>
    <w:rsid w:val="00EB0A62"/>
    <w:rsid w:val="00EC361E"/>
    <w:rsid w:val="00F64DB8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table" w:styleId="Tabelraster">
    <w:name w:val="Table Grid"/>
    <w:basedOn w:val="Standaardtabel"/>
    <w:uiPriority w:val="59"/>
    <w:rsid w:val="00EA5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ardSVChar">
    <w:name w:val="Standaard SV Char"/>
    <w:link w:val="StandaardSV"/>
    <w:locked/>
    <w:rsid w:val="00C50A13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C50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50A13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nhideWhenUsed/>
    <w:rsid w:val="0023526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3526D"/>
    <w:pPr>
      <w:spacing w:before="100" w:beforeAutospacing="1" w:after="100" w:afterAutospacing="1"/>
    </w:pPr>
    <w:rPr>
      <w:szCs w:val="24"/>
    </w:rPr>
  </w:style>
  <w:style w:type="character" w:styleId="Nadruk">
    <w:name w:val="Emphasis"/>
    <w:uiPriority w:val="20"/>
    <w:qFormat/>
    <w:rsid w:val="00235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table" w:styleId="Tabelraster">
    <w:name w:val="Table Grid"/>
    <w:basedOn w:val="Standaardtabel"/>
    <w:uiPriority w:val="59"/>
    <w:rsid w:val="00EA50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ardSVChar">
    <w:name w:val="Standaard SV Char"/>
    <w:link w:val="StandaardSV"/>
    <w:locked/>
    <w:rsid w:val="00C50A13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C50A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50A13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nhideWhenUsed/>
    <w:rsid w:val="0023526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3526D"/>
    <w:pPr>
      <w:spacing w:before="100" w:beforeAutospacing="1" w:after="100" w:afterAutospacing="1"/>
    </w:pPr>
    <w:rPr>
      <w:szCs w:val="24"/>
    </w:rPr>
  </w:style>
  <w:style w:type="character" w:styleId="Nadruk">
    <w:name w:val="Emphasis"/>
    <w:uiPriority w:val="20"/>
    <w:qFormat/>
    <w:rsid w:val="00235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4298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http://www.ecologiepremie.be/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Vlaams Parlement</cp:lastModifiedBy>
  <cp:revision>2</cp:revision>
  <cp:lastPrinted>2013-03-15T15:00:00Z</cp:lastPrinted>
  <dcterms:created xsi:type="dcterms:W3CDTF">2013-03-15T15:00:00Z</dcterms:created>
  <dcterms:modified xsi:type="dcterms:W3CDTF">2013-03-15T15:00:00Z</dcterms:modified>
</cp:coreProperties>
</file>