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70DAF"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170DAF"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rsidSect="00866226">
          <w:pgSz w:w="11906" w:h="16838"/>
          <w:pgMar w:top="1417" w:right="1417" w:bottom="1417" w:left="1417" w:header="708" w:footer="708" w:gutter="0"/>
          <w:cols w:space="708"/>
          <w:docGrid w:linePitch="360"/>
        </w:sectPr>
      </w:pPr>
    </w:p>
    <w:p w:rsidR="00210C07" w:rsidRDefault="000976E9" w:rsidP="000976E9">
      <w:pPr>
        <w:pStyle w:val="A-Type"/>
        <w:sectPr w:rsidR="00210C07" w:rsidSect="00866226">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70DAF"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70DAF" w:rsidRPr="00326A58">
        <w:rPr>
          <w:b w:val="0"/>
        </w:rPr>
      </w:r>
      <w:r w:rsidR="00170DAF" w:rsidRPr="00326A58">
        <w:rPr>
          <w:b w:val="0"/>
        </w:rPr>
        <w:fldChar w:fldCharType="separate"/>
      </w:r>
      <w:r w:rsidR="00EC015F">
        <w:rPr>
          <w:b w:val="0"/>
        </w:rPr>
        <w:t>3</w:t>
      </w:r>
      <w:r w:rsidR="0022642B">
        <w:rPr>
          <w:b w:val="0"/>
        </w:rPr>
        <w:t>2</w:t>
      </w:r>
      <w:r w:rsidR="00EC015F">
        <w:rPr>
          <w:b w:val="0"/>
        </w:rPr>
        <w:t>1</w:t>
      </w:r>
      <w:r w:rsidR="00170DAF"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70DAF">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70DAF">
        <w:rPr>
          <w:b w:val="0"/>
        </w:rPr>
      </w:r>
      <w:r w:rsidR="00170DAF">
        <w:rPr>
          <w:b w:val="0"/>
        </w:rPr>
        <w:fldChar w:fldCharType="separate"/>
      </w:r>
      <w:r w:rsidR="00EC015F">
        <w:rPr>
          <w:b w:val="0"/>
        </w:rPr>
        <w:t>1</w:t>
      </w:r>
      <w:r w:rsidR="0022642B">
        <w:rPr>
          <w:b w:val="0"/>
        </w:rPr>
        <w:t>4</w:t>
      </w:r>
      <w:r w:rsidR="00170DAF">
        <w:rPr>
          <w:b w:val="0"/>
        </w:rPr>
        <w:fldChar w:fldCharType="end"/>
      </w:r>
      <w:bookmarkEnd w:id="3"/>
      <w:r w:rsidRPr="00326A58">
        <w:rPr>
          <w:b w:val="0"/>
        </w:rPr>
        <w:t xml:space="preserve"> </w:t>
      </w:r>
      <w:bookmarkStart w:id="4" w:name="Dropdown2"/>
      <w:r w:rsidR="00170DAF">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70DAF">
        <w:rPr>
          <w:b w:val="0"/>
        </w:rPr>
      </w:r>
      <w:r w:rsidR="00170DAF">
        <w:rPr>
          <w:b w:val="0"/>
        </w:rPr>
        <w:fldChar w:fldCharType="end"/>
      </w:r>
      <w:bookmarkEnd w:id="4"/>
      <w:r w:rsidRPr="00326A58">
        <w:rPr>
          <w:b w:val="0"/>
        </w:rPr>
        <w:t xml:space="preserve"> </w:t>
      </w:r>
      <w:bookmarkStart w:id="5" w:name="Dropdown3"/>
      <w:r w:rsidR="00170DAF">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70DAF">
        <w:rPr>
          <w:b w:val="0"/>
        </w:rPr>
      </w:r>
      <w:r w:rsidR="00170DAF">
        <w:rPr>
          <w:b w:val="0"/>
        </w:rPr>
        <w:fldChar w:fldCharType="end"/>
      </w:r>
      <w:bookmarkEnd w:id="5"/>
    </w:p>
    <w:p w:rsidR="000976E9" w:rsidRDefault="000976E9" w:rsidP="000976E9">
      <w:pPr>
        <w:rPr>
          <w:szCs w:val="22"/>
        </w:rPr>
      </w:pPr>
      <w:r>
        <w:rPr>
          <w:szCs w:val="22"/>
        </w:rPr>
        <w:t xml:space="preserve">van </w:t>
      </w:r>
      <w:r w:rsidR="00170DAF"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70DAF" w:rsidRPr="009D7043">
        <w:rPr>
          <w:rStyle w:val="AntwoordNaamMinisterChar"/>
        </w:rPr>
      </w:r>
      <w:r w:rsidR="00170DAF" w:rsidRPr="009D7043">
        <w:rPr>
          <w:rStyle w:val="AntwoordNaamMinisterChar"/>
        </w:rPr>
        <w:fldChar w:fldCharType="separate"/>
      </w:r>
      <w:r w:rsidR="0022642B">
        <w:rPr>
          <w:rStyle w:val="AntwoordNaamMinisterChar"/>
        </w:rPr>
        <w:t>ivan sabbe</w:t>
      </w:r>
      <w:r w:rsidR="00170DAF"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866226">
          <w:type w:val="continuous"/>
          <w:pgSz w:w="11906" w:h="16838"/>
          <w:pgMar w:top="1417" w:right="1417" w:bottom="1417" w:left="1417" w:header="708" w:footer="708" w:gutter="0"/>
          <w:cols w:space="708"/>
          <w:docGrid w:linePitch="360"/>
        </w:sectPr>
      </w:pPr>
    </w:p>
    <w:p w:rsidR="00BD5394" w:rsidRDefault="00BD5394" w:rsidP="00BD5394">
      <w:pPr>
        <w:tabs>
          <w:tab w:val="left" w:pos="0"/>
        </w:tabs>
        <w:jc w:val="both"/>
      </w:pPr>
      <w:r>
        <w:lastRenderedPageBreak/>
        <w:t>De bevoegdheden die ik uitoefen ten aanzien van het beleidsdomein Diensten voor het Algemeen Regeringsbeleid (DAR) hebben op het vlak van subsidies betrekking op Communicatie enerzijds, en op Duurzame Ontwikkeling anderzijds.</w:t>
      </w:r>
    </w:p>
    <w:p w:rsidR="00BD5394" w:rsidRDefault="00BD5394" w:rsidP="00BD5394">
      <w:pPr>
        <w:tabs>
          <w:tab w:val="left" w:pos="0"/>
        </w:tabs>
        <w:jc w:val="both"/>
      </w:pPr>
    </w:p>
    <w:p w:rsidR="00BD5394" w:rsidRDefault="00BD5394" w:rsidP="00BD5394">
      <w:pPr>
        <w:tabs>
          <w:tab w:val="left" w:pos="0"/>
        </w:tabs>
        <w:jc w:val="both"/>
      </w:pPr>
      <w:r>
        <w:t xml:space="preserve">In de bijlage is voor de beide bevoegdheden de lijst terug </w:t>
      </w:r>
      <w:r w:rsidR="00103228">
        <w:t xml:space="preserve">(ingedeeld per basisallocatie) van </w:t>
      </w:r>
      <w:r>
        <w:t>de subsidies die toegekend zijn op basis van de begrotingskredieten 2012 (vastleggingskredieten - VAK) en van hetgeen in 2012 is betaald (vereffeningskredieten - VEK). Hierbij dient aangestipt dat de betalingen in 2012 zowel betrekking hebben op subsidies die in 2012 zijn toegekend (betaling van voorschotten) als op subsidies die in 2011 (of zelfs nog daarvóór) werden toegekend (volgende schijven + eindafrekeningen, afhankelijk van de betalingskalender voor die subsidies).</w:t>
      </w:r>
    </w:p>
    <w:p w:rsidR="00BD5394" w:rsidRDefault="00BD5394" w:rsidP="00BD5394">
      <w:pPr>
        <w:tabs>
          <w:tab w:val="left" w:pos="0"/>
        </w:tabs>
        <w:ind w:left="426" w:hanging="426"/>
        <w:jc w:val="both"/>
      </w:pPr>
    </w:p>
    <w:p w:rsidR="00BD5394" w:rsidRDefault="00BD5394" w:rsidP="00BD5394">
      <w:pPr>
        <w:tabs>
          <w:tab w:val="left" w:pos="0"/>
        </w:tabs>
        <w:ind w:left="426" w:hanging="426"/>
        <w:jc w:val="both"/>
      </w:pPr>
      <w:r>
        <w:t>In verband met de evaluatie van de subsidies kan ik het volgende meedelen.</w:t>
      </w:r>
    </w:p>
    <w:p w:rsidR="00BD5394" w:rsidRDefault="00BD5394" w:rsidP="00BD5394">
      <w:pPr>
        <w:tabs>
          <w:tab w:val="left" w:pos="0"/>
        </w:tabs>
        <w:ind w:left="426" w:hanging="426"/>
        <w:jc w:val="both"/>
      </w:pPr>
    </w:p>
    <w:p w:rsidR="00BD5394" w:rsidRPr="0099367B" w:rsidRDefault="00BD5394" w:rsidP="00BD5394">
      <w:pPr>
        <w:tabs>
          <w:tab w:val="left" w:pos="0"/>
        </w:tabs>
        <w:ind w:left="426" w:hanging="426"/>
        <w:jc w:val="both"/>
        <w:rPr>
          <w:i/>
        </w:rPr>
      </w:pPr>
      <w:r w:rsidRPr="0099367B">
        <w:rPr>
          <w:i/>
        </w:rPr>
        <w:t>Communicatie</w:t>
      </w:r>
    </w:p>
    <w:p w:rsidR="00BD5394" w:rsidRDefault="00BD5394" w:rsidP="00BD5394">
      <w:pPr>
        <w:tabs>
          <w:tab w:val="left" w:pos="0"/>
        </w:tabs>
        <w:ind w:left="426" w:hanging="426"/>
        <w:jc w:val="both"/>
      </w:pPr>
    </w:p>
    <w:p w:rsidR="00103228" w:rsidRDefault="00103228" w:rsidP="00103228">
      <w:pPr>
        <w:tabs>
          <w:tab w:val="left" w:pos="0"/>
        </w:tabs>
        <w:jc w:val="both"/>
      </w:pPr>
      <w:r>
        <w:t>Alle subsidies worden jaarlijks op hun doeltreffendheid en doelmatigheid geëvalueerd. Dit gebeurt in globaliteit ter gelegenheid van de begrotingsopmaak, maar daarnaast vindt een dergelijke analyse ook plaats op het niveau van de individuele dossiers, zowel bij de toekenning van de subsidies als bij de afrekening ervan.</w:t>
      </w:r>
    </w:p>
    <w:p w:rsidR="00103228" w:rsidRDefault="00103228" w:rsidP="00BD5394">
      <w:pPr>
        <w:tabs>
          <w:tab w:val="left" w:pos="0"/>
        </w:tabs>
        <w:ind w:left="426" w:hanging="426"/>
        <w:jc w:val="both"/>
      </w:pPr>
    </w:p>
    <w:p w:rsidR="0099367B" w:rsidRDefault="00103228" w:rsidP="0099367B">
      <w:pPr>
        <w:tabs>
          <w:tab w:val="left" w:pos="0"/>
        </w:tabs>
        <w:jc w:val="both"/>
      </w:pPr>
      <w:r>
        <w:t>Er</w:t>
      </w:r>
      <w:r w:rsidR="0099367B">
        <w:t xml:space="preserve"> worden ook efficiëntieverbeteringen doorgevoerd </w:t>
      </w:r>
      <w:r>
        <w:t xml:space="preserve">wanneer deze zich op basis van een dergelijke </w:t>
      </w:r>
      <w:r w:rsidR="0099367B">
        <w:t>evaluatie aandienen.</w:t>
      </w:r>
      <w:r>
        <w:t xml:space="preserve"> </w:t>
      </w:r>
      <w:r w:rsidR="0099367B">
        <w:t xml:space="preserve">Zo zullen de subsidies aan vzw Toerisme Voerstreek (AL014) en vzw </w:t>
      </w:r>
      <w:proofErr w:type="spellStart"/>
      <w:r w:rsidR="0099367B">
        <w:t>Kamelego</w:t>
      </w:r>
      <w:proofErr w:type="spellEnd"/>
      <w:r w:rsidR="0099367B">
        <w:t xml:space="preserve"> (AL015) vanaf het begrotingsjaar 2013 overgeheveld worden naar het beleidsdomeinen iV (sector Toerisme), r</w:t>
      </w:r>
      <w:r>
        <w:t>e</w:t>
      </w:r>
      <w:r w:rsidR="0099367B">
        <w:t xml:space="preserve">sp. </w:t>
      </w:r>
      <w:r>
        <w:t>n</w:t>
      </w:r>
      <w:r w:rsidR="0099367B">
        <w:t xml:space="preserve">aar het beleidsdomein CJSM (sector Cultuur). Voor vzw Toerisme Voerstreek zal dit ongetwijfeld een efficiëntere subsidievoering betekenen, terwijl </w:t>
      </w:r>
      <w:r>
        <w:t xml:space="preserve">de subsidiëring aan de </w:t>
      </w:r>
      <w:r w:rsidR="0099367B">
        <w:t xml:space="preserve">vzw </w:t>
      </w:r>
      <w:proofErr w:type="spellStart"/>
      <w:r w:rsidR="0099367B">
        <w:t>Kamelego</w:t>
      </w:r>
      <w:proofErr w:type="spellEnd"/>
      <w:r w:rsidR="0099367B">
        <w:t xml:space="preserve"> </w:t>
      </w:r>
      <w:r>
        <w:t xml:space="preserve">aldus zal </w:t>
      </w:r>
      <w:r w:rsidR="0099367B">
        <w:t xml:space="preserve">ingebed </w:t>
      </w:r>
      <w:r>
        <w:t xml:space="preserve">worden in </w:t>
      </w:r>
      <w:r w:rsidR="0099367B">
        <w:t xml:space="preserve">een breder werkingsgeheel (met Luisterpuntbibliotheek en </w:t>
      </w:r>
      <w:proofErr w:type="spellStart"/>
      <w:r w:rsidR="0099367B">
        <w:t>progrebraille</w:t>
      </w:r>
      <w:proofErr w:type="spellEnd"/>
      <w:r w:rsidR="0099367B">
        <w:t xml:space="preserve"> Helen Keller) met een</w:t>
      </w:r>
      <w:r>
        <w:t xml:space="preserve"> </w:t>
      </w:r>
      <w:r w:rsidR="0099367B">
        <w:t>zelfde efficiëntiewinst als doel.</w:t>
      </w:r>
    </w:p>
    <w:p w:rsidR="00BD5394" w:rsidRDefault="00BD5394" w:rsidP="00BD5394">
      <w:pPr>
        <w:tabs>
          <w:tab w:val="left" w:pos="0"/>
        </w:tabs>
        <w:ind w:left="426" w:hanging="426"/>
        <w:jc w:val="both"/>
      </w:pPr>
    </w:p>
    <w:p w:rsidR="00BD5394" w:rsidRPr="0099367B" w:rsidRDefault="00BD5394" w:rsidP="00BD5394">
      <w:pPr>
        <w:tabs>
          <w:tab w:val="left" w:pos="0"/>
        </w:tabs>
        <w:ind w:left="426" w:hanging="426"/>
        <w:jc w:val="both"/>
        <w:rPr>
          <w:i/>
        </w:rPr>
      </w:pPr>
      <w:r w:rsidRPr="0099367B">
        <w:rPr>
          <w:i/>
        </w:rPr>
        <w:t>Duurzame Ontwikkeling</w:t>
      </w:r>
    </w:p>
    <w:p w:rsidR="00BD5394" w:rsidRDefault="00BD5394" w:rsidP="00BD5394">
      <w:pPr>
        <w:tabs>
          <w:tab w:val="left" w:pos="0"/>
        </w:tabs>
        <w:ind w:left="426" w:hanging="426"/>
        <w:jc w:val="both"/>
      </w:pPr>
    </w:p>
    <w:p w:rsidR="0099367B" w:rsidRDefault="00103228" w:rsidP="0099367B">
      <w:pPr>
        <w:tabs>
          <w:tab w:val="left" w:pos="0"/>
        </w:tabs>
        <w:jc w:val="both"/>
      </w:pPr>
      <w:r>
        <w:t xml:space="preserve">Alle subsidies worden op hun doeltreffendheid en doelmatigheid geëvalueerd. Dit gebeurt jaarlijks in globaliteit ter gelegenheid van de begrotingsopmaak, maar daarnaast vindt een dergelijke analyse ook plaats op het niveau van de individuele dossiers, zowel bij de toekenning van de subsidies als bij de afrekening ervan. </w:t>
      </w:r>
      <w:r w:rsidR="0099367B">
        <w:t xml:space="preserve">De </w:t>
      </w:r>
      <w:r>
        <w:t xml:space="preserve">periodiciteit van deze evaluaties </w:t>
      </w:r>
      <w:r w:rsidR="00FC3631">
        <w:t xml:space="preserve">hangt samen met de periode voor dewelke de subsidies zijn toegekend: </w:t>
      </w:r>
      <w:r w:rsidR="0099367B">
        <w:t xml:space="preserve">jaarlijks of </w:t>
      </w:r>
      <w:r>
        <w:t xml:space="preserve">gekoppeld aan </w:t>
      </w:r>
      <w:r w:rsidR="00FC3631">
        <w:t xml:space="preserve">een </w:t>
      </w:r>
      <w:proofErr w:type="spellStart"/>
      <w:r w:rsidR="0099367B">
        <w:t>meerjarenovereenkomst</w:t>
      </w:r>
      <w:proofErr w:type="spellEnd"/>
      <w:r w:rsidR="0099367B">
        <w:t>.</w:t>
      </w:r>
    </w:p>
    <w:p w:rsidR="00BD5394" w:rsidRDefault="00BD5394" w:rsidP="00BD5394">
      <w:pPr>
        <w:tabs>
          <w:tab w:val="left" w:pos="0"/>
        </w:tabs>
        <w:jc w:val="both"/>
      </w:pPr>
    </w:p>
    <w:p w:rsidR="00424C59" w:rsidRPr="00424C59" w:rsidRDefault="00424C59" w:rsidP="00FC3631">
      <w:pPr>
        <w:tabs>
          <w:tab w:val="left" w:pos="0"/>
          <w:tab w:val="left" w:pos="1276"/>
        </w:tabs>
        <w:jc w:val="both"/>
        <w:rPr>
          <w:smallCaps/>
          <w:color w:val="FF0000"/>
          <w:u w:val="single"/>
        </w:rPr>
      </w:pPr>
      <w:bookmarkStart w:id="6" w:name="_GoBack"/>
      <w:r w:rsidRPr="00424C59">
        <w:rPr>
          <w:smallCaps/>
          <w:color w:val="FF0000"/>
          <w:u w:val="single"/>
        </w:rPr>
        <w:t>bijlage</w:t>
      </w:r>
    </w:p>
    <w:bookmarkEnd w:id="6"/>
    <w:p w:rsidR="00424C59" w:rsidRDefault="00424C59" w:rsidP="00FC3631">
      <w:pPr>
        <w:tabs>
          <w:tab w:val="left" w:pos="0"/>
          <w:tab w:val="left" w:pos="1276"/>
        </w:tabs>
        <w:jc w:val="both"/>
      </w:pPr>
    </w:p>
    <w:p w:rsidR="00861661" w:rsidRPr="00D92582" w:rsidRDefault="00424C59" w:rsidP="00FC3631">
      <w:pPr>
        <w:tabs>
          <w:tab w:val="left" w:pos="0"/>
          <w:tab w:val="left" w:pos="1276"/>
        </w:tabs>
        <w:jc w:val="both"/>
      </w:pPr>
      <w:r>
        <w:t>L</w:t>
      </w:r>
      <w:r w:rsidR="00BD5394">
        <w:t>ijst van subsidies per bevoegdheid</w:t>
      </w:r>
      <w:r w:rsidR="00103228">
        <w:t xml:space="preserve"> en per basisallocatie (begroting 2012)</w:t>
      </w:r>
    </w:p>
    <w:sectPr w:rsidR="00861661" w:rsidRPr="00D9258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BCF"/>
    <w:multiLevelType w:val="hybridMultilevel"/>
    <w:tmpl w:val="54129598"/>
    <w:lvl w:ilvl="0" w:tplc="C7B29406">
      <w:start w:val="3"/>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B65A31"/>
    <w:multiLevelType w:val="hybridMultilevel"/>
    <w:tmpl w:val="F208B1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FD9612C"/>
    <w:multiLevelType w:val="hybridMultilevel"/>
    <w:tmpl w:val="217882DC"/>
    <w:lvl w:ilvl="0" w:tplc="C7B29406">
      <w:start w:val="3"/>
      <w:numFmt w:val="bullet"/>
      <w:lvlText w:val="-"/>
      <w:lvlJc w:val="left"/>
      <w:pPr>
        <w:ind w:left="3621"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8705302"/>
    <w:multiLevelType w:val="hybridMultilevel"/>
    <w:tmpl w:val="E280EA7E"/>
    <w:lvl w:ilvl="0" w:tplc="0813000F">
      <w:start w:val="1"/>
      <w:numFmt w:val="decimal"/>
      <w:lvlText w:val="%1."/>
      <w:lvlJc w:val="left"/>
      <w:pPr>
        <w:ind w:left="1353" w:hanging="360"/>
      </w:p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4">
    <w:nsid w:val="59665DAC"/>
    <w:multiLevelType w:val="hybridMultilevel"/>
    <w:tmpl w:val="363AD6FA"/>
    <w:lvl w:ilvl="0" w:tplc="0813000F">
      <w:start w:val="1"/>
      <w:numFmt w:val="decimal"/>
      <w:lvlText w:val="%1."/>
      <w:lvlJc w:val="left"/>
      <w:pPr>
        <w:ind w:left="1353" w:hanging="360"/>
      </w:pPr>
      <w:rPr>
        <w:rFonts w:hint="default"/>
      </w:rPr>
    </w:lvl>
    <w:lvl w:ilvl="1" w:tplc="08130019" w:tentative="1">
      <w:start w:val="1"/>
      <w:numFmt w:val="lowerLetter"/>
      <w:lvlText w:val="%2."/>
      <w:lvlJc w:val="left"/>
      <w:pPr>
        <w:ind w:left="6467" w:hanging="360"/>
      </w:pPr>
    </w:lvl>
    <w:lvl w:ilvl="2" w:tplc="0813001B" w:tentative="1">
      <w:start w:val="1"/>
      <w:numFmt w:val="lowerRoman"/>
      <w:lvlText w:val="%3."/>
      <w:lvlJc w:val="right"/>
      <w:pPr>
        <w:ind w:left="7187" w:hanging="180"/>
      </w:pPr>
    </w:lvl>
    <w:lvl w:ilvl="3" w:tplc="0813000F" w:tentative="1">
      <w:start w:val="1"/>
      <w:numFmt w:val="decimal"/>
      <w:lvlText w:val="%4."/>
      <w:lvlJc w:val="left"/>
      <w:pPr>
        <w:ind w:left="7907" w:hanging="360"/>
      </w:pPr>
    </w:lvl>
    <w:lvl w:ilvl="4" w:tplc="08130019" w:tentative="1">
      <w:start w:val="1"/>
      <w:numFmt w:val="lowerLetter"/>
      <w:lvlText w:val="%5."/>
      <w:lvlJc w:val="left"/>
      <w:pPr>
        <w:ind w:left="8627" w:hanging="360"/>
      </w:pPr>
    </w:lvl>
    <w:lvl w:ilvl="5" w:tplc="0813001B" w:tentative="1">
      <w:start w:val="1"/>
      <w:numFmt w:val="lowerRoman"/>
      <w:lvlText w:val="%6."/>
      <w:lvlJc w:val="right"/>
      <w:pPr>
        <w:ind w:left="9347" w:hanging="180"/>
      </w:pPr>
    </w:lvl>
    <w:lvl w:ilvl="6" w:tplc="0813000F" w:tentative="1">
      <w:start w:val="1"/>
      <w:numFmt w:val="decimal"/>
      <w:lvlText w:val="%7."/>
      <w:lvlJc w:val="left"/>
      <w:pPr>
        <w:ind w:left="10067" w:hanging="360"/>
      </w:pPr>
    </w:lvl>
    <w:lvl w:ilvl="7" w:tplc="08130019" w:tentative="1">
      <w:start w:val="1"/>
      <w:numFmt w:val="lowerLetter"/>
      <w:lvlText w:val="%8."/>
      <w:lvlJc w:val="left"/>
      <w:pPr>
        <w:ind w:left="10787" w:hanging="360"/>
      </w:pPr>
    </w:lvl>
    <w:lvl w:ilvl="8" w:tplc="0813001B" w:tentative="1">
      <w:start w:val="1"/>
      <w:numFmt w:val="lowerRoman"/>
      <w:lvlText w:val="%9."/>
      <w:lvlJc w:val="right"/>
      <w:pPr>
        <w:ind w:left="11507" w:hanging="180"/>
      </w:pPr>
    </w:lvl>
  </w:abstractNum>
  <w:abstractNum w:abstractNumId="5">
    <w:nsid w:val="5C643679"/>
    <w:multiLevelType w:val="hybridMultilevel"/>
    <w:tmpl w:val="1D687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7">
    <w:nsid w:val="6B09044D"/>
    <w:multiLevelType w:val="hybridMultilevel"/>
    <w:tmpl w:val="63E253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E881FDC"/>
    <w:multiLevelType w:val="hybridMultilevel"/>
    <w:tmpl w:val="20886FFA"/>
    <w:lvl w:ilvl="0" w:tplc="0813000F">
      <w:start w:val="1"/>
      <w:numFmt w:val="decimal"/>
      <w:lvlText w:val="%1."/>
      <w:lvlJc w:val="left"/>
      <w:pPr>
        <w:ind w:left="1211" w:hanging="360"/>
      </w:pPr>
    </w:lvl>
    <w:lvl w:ilvl="1" w:tplc="08130019">
      <w:start w:val="1"/>
      <w:numFmt w:val="lowerLetter"/>
      <w:lvlText w:val="%2."/>
      <w:lvlJc w:val="left"/>
      <w:pPr>
        <w:ind w:left="1931" w:hanging="360"/>
      </w:pPr>
    </w:lvl>
    <w:lvl w:ilvl="2" w:tplc="0813001B">
      <w:start w:val="1"/>
      <w:numFmt w:val="lowerRoman"/>
      <w:lvlText w:val="%3."/>
      <w:lvlJc w:val="right"/>
      <w:pPr>
        <w:ind w:left="2651" w:hanging="180"/>
      </w:pPr>
    </w:lvl>
    <w:lvl w:ilvl="3" w:tplc="0813000F">
      <w:start w:val="1"/>
      <w:numFmt w:val="decimal"/>
      <w:lvlText w:val="%4."/>
      <w:lvlJc w:val="left"/>
      <w:pPr>
        <w:ind w:left="3371" w:hanging="360"/>
      </w:pPr>
    </w:lvl>
    <w:lvl w:ilvl="4" w:tplc="08130019">
      <w:start w:val="1"/>
      <w:numFmt w:val="lowerLetter"/>
      <w:lvlText w:val="%5."/>
      <w:lvlJc w:val="left"/>
      <w:pPr>
        <w:ind w:left="4091" w:hanging="360"/>
      </w:pPr>
    </w:lvl>
    <w:lvl w:ilvl="5" w:tplc="0813001B">
      <w:start w:val="1"/>
      <w:numFmt w:val="lowerRoman"/>
      <w:lvlText w:val="%6."/>
      <w:lvlJc w:val="right"/>
      <w:pPr>
        <w:ind w:left="4811" w:hanging="180"/>
      </w:pPr>
    </w:lvl>
    <w:lvl w:ilvl="6" w:tplc="0813000F">
      <w:start w:val="1"/>
      <w:numFmt w:val="decimal"/>
      <w:lvlText w:val="%7."/>
      <w:lvlJc w:val="left"/>
      <w:pPr>
        <w:ind w:left="5531" w:hanging="360"/>
      </w:pPr>
    </w:lvl>
    <w:lvl w:ilvl="7" w:tplc="08130019">
      <w:start w:val="1"/>
      <w:numFmt w:val="lowerLetter"/>
      <w:lvlText w:val="%8."/>
      <w:lvlJc w:val="left"/>
      <w:pPr>
        <w:ind w:left="6251" w:hanging="360"/>
      </w:pPr>
    </w:lvl>
    <w:lvl w:ilvl="8" w:tplc="0813001B">
      <w:start w:val="1"/>
      <w:numFmt w:val="lowerRoman"/>
      <w:lvlText w:val="%9."/>
      <w:lvlJc w:val="right"/>
      <w:pPr>
        <w:ind w:left="6971" w:hanging="180"/>
      </w:pPr>
    </w:lvl>
  </w:abstractNum>
  <w:abstractNum w:abstractNumId="9">
    <w:nsid w:val="76B70FBE"/>
    <w:multiLevelType w:val="hybridMultilevel"/>
    <w:tmpl w:val="45BCA79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6"/>
  </w:num>
  <w:num w:numId="3">
    <w:abstractNumId w:val="5"/>
  </w:num>
  <w:num w:numId="4">
    <w:abstractNumId w:val="4"/>
  </w:num>
  <w:num w:numId="5">
    <w:abstractNumId w:val="1"/>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znzpjt1afVuUwby8NPqdvn+HA=" w:salt="YjILjc+0rFScma3nCafAM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65DB"/>
    <w:rsid w:val="000976E9"/>
    <w:rsid w:val="000B4C85"/>
    <w:rsid w:val="000B7F6E"/>
    <w:rsid w:val="000C28E3"/>
    <w:rsid w:val="000C4E8C"/>
    <w:rsid w:val="000C5959"/>
    <w:rsid w:val="000D012C"/>
    <w:rsid w:val="000D295F"/>
    <w:rsid w:val="000F2B34"/>
    <w:rsid w:val="000F3532"/>
    <w:rsid w:val="00103228"/>
    <w:rsid w:val="001141B3"/>
    <w:rsid w:val="00134D41"/>
    <w:rsid w:val="00170DAF"/>
    <w:rsid w:val="001B6E48"/>
    <w:rsid w:val="001E5711"/>
    <w:rsid w:val="001E5C97"/>
    <w:rsid w:val="001F7390"/>
    <w:rsid w:val="00210C07"/>
    <w:rsid w:val="0022642B"/>
    <w:rsid w:val="00227463"/>
    <w:rsid w:val="00266E3B"/>
    <w:rsid w:val="00270361"/>
    <w:rsid w:val="002C377F"/>
    <w:rsid w:val="002C7A6C"/>
    <w:rsid w:val="002E7CFF"/>
    <w:rsid w:val="00302B07"/>
    <w:rsid w:val="003038F2"/>
    <w:rsid w:val="00326A58"/>
    <w:rsid w:val="003515EF"/>
    <w:rsid w:val="00383836"/>
    <w:rsid w:val="0039557A"/>
    <w:rsid w:val="003A1BA5"/>
    <w:rsid w:val="003E3F71"/>
    <w:rsid w:val="003E51DD"/>
    <w:rsid w:val="00407570"/>
    <w:rsid w:val="00410C45"/>
    <w:rsid w:val="0041623A"/>
    <w:rsid w:val="00424C59"/>
    <w:rsid w:val="004E1E63"/>
    <w:rsid w:val="004E2833"/>
    <w:rsid w:val="004E68A0"/>
    <w:rsid w:val="00502268"/>
    <w:rsid w:val="00566C53"/>
    <w:rsid w:val="005810B5"/>
    <w:rsid w:val="005828DA"/>
    <w:rsid w:val="005900AD"/>
    <w:rsid w:val="005A55C1"/>
    <w:rsid w:val="005A7B11"/>
    <w:rsid w:val="005B5BC5"/>
    <w:rsid w:val="005C4C03"/>
    <w:rsid w:val="005E38CA"/>
    <w:rsid w:val="00611ACD"/>
    <w:rsid w:val="006151B1"/>
    <w:rsid w:val="0063138E"/>
    <w:rsid w:val="006548DD"/>
    <w:rsid w:val="0067761B"/>
    <w:rsid w:val="006A09A8"/>
    <w:rsid w:val="0071248C"/>
    <w:rsid w:val="007252C7"/>
    <w:rsid w:val="007304D7"/>
    <w:rsid w:val="0073150E"/>
    <w:rsid w:val="00741C55"/>
    <w:rsid w:val="007474BA"/>
    <w:rsid w:val="007524B7"/>
    <w:rsid w:val="00755EBE"/>
    <w:rsid w:val="007829B0"/>
    <w:rsid w:val="00785A0D"/>
    <w:rsid w:val="007B177C"/>
    <w:rsid w:val="007F3FB8"/>
    <w:rsid w:val="007F60A8"/>
    <w:rsid w:val="007F69B0"/>
    <w:rsid w:val="0081794E"/>
    <w:rsid w:val="00831B92"/>
    <w:rsid w:val="008346AE"/>
    <w:rsid w:val="00847469"/>
    <w:rsid w:val="00861661"/>
    <w:rsid w:val="00866226"/>
    <w:rsid w:val="00894185"/>
    <w:rsid w:val="008A713D"/>
    <w:rsid w:val="008B00F4"/>
    <w:rsid w:val="008C2E27"/>
    <w:rsid w:val="008D5DB4"/>
    <w:rsid w:val="008E5CD9"/>
    <w:rsid w:val="008E7963"/>
    <w:rsid w:val="00915106"/>
    <w:rsid w:val="009347E0"/>
    <w:rsid w:val="009559B5"/>
    <w:rsid w:val="009772BF"/>
    <w:rsid w:val="00983321"/>
    <w:rsid w:val="0099367B"/>
    <w:rsid w:val="009D0315"/>
    <w:rsid w:val="009D7043"/>
    <w:rsid w:val="009E613C"/>
    <w:rsid w:val="009E7332"/>
    <w:rsid w:val="009F0F39"/>
    <w:rsid w:val="00A3106D"/>
    <w:rsid w:val="00A42280"/>
    <w:rsid w:val="00A45417"/>
    <w:rsid w:val="00A76EC9"/>
    <w:rsid w:val="00A804C0"/>
    <w:rsid w:val="00AA20B4"/>
    <w:rsid w:val="00AA4420"/>
    <w:rsid w:val="00AA5C57"/>
    <w:rsid w:val="00AC3657"/>
    <w:rsid w:val="00AE4D31"/>
    <w:rsid w:val="00B02503"/>
    <w:rsid w:val="00B05220"/>
    <w:rsid w:val="00B05AA7"/>
    <w:rsid w:val="00B258DC"/>
    <w:rsid w:val="00B271A7"/>
    <w:rsid w:val="00B45EB2"/>
    <w:rsid w:val="00B60F0E"/>
    <w:rsid w:val="00B71654"/>
    <w:rsid w:val="00BB5301"/>
    <w:rsid w:val="00BD5394"/>
    <w:rsid w:val="00BE425A"/>
    <w:rsid w:val="00BF494D"/>
    <w:rsid w:val="00C04C65"/>
    <w:rsid w:val="00C0707D"/>
    <w:rsid w:val="00C232B3"/>
    <w:rsid w:val="00C72112"/>
    <w:rsid w:val="00C9356F"/>
    <w:rsid w:val="00CB3512"/>
    <w:rsid w:val="00CD651E"/>
    <w:rsid w:val="00CE006E"/>
    <w:rsid w:val="00CF3F4E"/>
    <w:rsid w:val="00D30AED"/>
    <w:rsid w:val="00D37773"/>
    <w:rsid w:val="00D429D3"/>
    <w:rsid w:val="00D46D41"/>
    <w:rsid w:val="00D71D99"/>
    <w:rsid w:val="00D754F2"/>
    <w:rsid w:val="00D92582"/>
    <w:rsid w:val="00DA4CD4"/>
    <w:rsid w:val="00DA5DF3"/>
    <w:rsid w:val="00DA5E75"/>
    <w:rsid w:val="00DB41C0"/>
    <w:rsid w:val="00DC4DB6"/>
    <w:rsid w:val="00DD19EF"/>
    <w:rsid w:val="00E0674C"/>
    <w:rsid w:val="00E12C5D"/>
    <w:rsid w:val="00E55200"/>
    <w:rsid w:val="00E75830"/>
    <w:rsid w:val="00E76476"/>
    <w:rsid w:val="00E90A9E"/>
    <w:rsid w:val="00E9742C"/>
    <w:rsid w:val="00EB3EA5"/>
    <w:rsid w:val="00EC015F"/>
    <w:rsid w:val="00EF078F"/>
    <w:rsid w:val="00EF6964"/>
    <w:rsid w:val="00EF7EBB"/>
    <w:rsid w:val="00F166B7"/>
    <w:rsid w:val="00F178C5"/>
    <w:rsid w:val="00F369E3"/>
    <w:rsid w:val="00F55D7C"/>
    <w:rsid w:val="00F61B5A"/>
    <w:rsid w:val="00F8586F"/>
    <w:rsid w:val="00FA29D6"/>
    <w:rsid w:val="00FB3D24"/>
    <w:rsid w:val="00FB5887"/>
    <w:rsid w:val="00FC3631"/>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qFormat/>
    <w:rsid w:val="00BF494D"/>
    <w:pPr>
      <w:ind w:left="720"/>
      <w:contextualSpacing/>
    </w:pPr>
  </w:style>
  <w:style w:type="paragraph" w:customStyle="1" w:styleId="SVTitel">
    <w:name w:val="SV Titel"/>
    <w:basedOn w:val="Standaard"/>
    <w:rsid w:val="00302B07"/>
    <w:pPr>
      <w:jc w:val="both"/>
    </w:pPr>
    <w:rPr>
      <w:i/>
      <w:szCs w:val="20"/>
    </w:rPr>
  </w:style>
  <w:style w:type="paragraph" w:customStyle="1" w:styleId="StandaardSV">
    <w:name w:val="Standaard SV"/>
    <w:basedOn w:val="Standaard"/>
    <w:link w:val="StandaardSVChar"/>
    <w:rsid w:val="00CD651E"/>
    <w:pPr>
      <w:jc w:val="both"/>
    </w:pPr>
    <w:rPr>
      <w:szCs w:val="20"/>
    </w:rPr>
  </w:style>
  <w:style w:type="table" w:styleId="Tabelraster">
    <w:name w:val="Table Grid"/>
    <w:basedOn w:val="Standaardtabel"/>
    <w:rsid w:val="00C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B05AA7"/>
    <w:rPr>
      <w:color w:val="0000FF" w:themeColor="hyperlink"/>
      <w:u w:val="single"/>
    </w:rPr>
  </w:style>
  <w:style w:type="character" w:styleId="GevolgdeHyperlink">
    <w:name w:val="FollowedHyperlink"/>
    <w:basedOn w:val="Standaardalinea-lettertype"/>
    <w:rsid w:val="003A1BA5"/>
    <w:rPr>
      <w:color w:val="800080" w:themeColor="followedHyperlink"/>
      <w:u w:val="single"/>
    </w:rPr>
  </w:style>
  <w:style w:type="character" w:customStyle="1" w:styleId="StandaardSVChar">
    <w:name w:val="Standaard SV Char"/>
    <w:link w:val="StandaardSV"/>
    <w:locked/>
    <w:rsid w:val="00861661"/>
    <w:rPr>
      <w:sz w:val="22"/>
      <w:lang w:val="nl-NL" w:eastAsia="nl-NL"/>
    </w:rPr>
  </w:style>
  <w:style w:type="table" w:customStyle="1" w:styleId="Lichtelijst1">
    <w:name w:val="Lichte lijst1"/>
    <w:basedOn w:val="Standaardtabel"/>
    <w:uiPriority w:val="61"/>
    <w:rsid w:val="00861661"/>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rsid w:val="00424C59"/>
    <w:rPr>
      <w:rFonts w:ascii="Tahoma" w:hAnsi="Tahoma" w:cs="Tahoma"/>
      <w:sz w:val="16"/>
      <w:szCs w:val="16"/>
    </w:rPr>
  </w:style>
  <w:style w:type="character" w:customStyle="1" w:styleId="BallontekstChar">
    <w:name w:val="Ballontekst Char"/>
    <w:basedOn w:val="Standaardalinea-lettertype"/>
    <w:link w:val="Ballontekst"/>
    <w:rsid w:val="00424C5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qFormat/>
    <w:rsid w:val="00BF494D"/>
    <w:pPr>
      <w:ind w:left="720"/>
      <w:contextualSpacing/>
    </w:pPr>
  </w:style>
  <w:style w:type="paragraph" w:customStyle="1" w:styleId="SVTitel">
    <w:name w:val="SV Titel"/>
    <w:basedOn w:val="Standaard"/>
    <w:rsid w:val="00302B07"/>
    <w:pPr>
      <w:jc w:val="both"/>
    </w:pPr>
    <w:rPr>
      <w:i/>
      <w:szCs w:val="20"/>
    </w:rPr>
  </w:style>
  <w:style w:type="paragraph" w:customStyle="1" w:styleId="StandaardSV">
    <w:name w:val="Standaard SV"/>
    <w:basedOn w:val="Standaard"/>
    <w:link w:val="StandaardSVChar"/>
    <w:rsid w:val="00CD651E"/>
    <w:pPr>
      <w:jc w:val="both"/>
    </w:pPr>
    <w:rPr>
      <w:szCs w:val="20"/>
    </w:rPr>
  </w:style>
  <w:style w:type="table" w:styleId="Tabelraster">
    <w:name w:val="Table Grid"/>
    <w:basedOn w:val="Standaardtabel"/>
    <w:rsid w:val="00C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B05AA7"/>
    <w:rPr>
      <w:color w:val="0000FF" w:themeColor="hyperlink"/>
      <w:u w:val="single"/>
    </w:rPr>
  </w:style>
  <w:style w:type="character" w:styleId="GevolgdeHyperlink">
    <w:name w:val="FollowedHyperlink"/>
    <w:basedOn w:val="Standaardalinea-lettertype"/>
    <w:rsid w:val="003A1BA5"/>
    <w:rPr>
      <w:color w:val="800080" w:themeColor="followedHyperlink"/>
      <w:u w:val="single"/>
    </w:rPr>
  </w:style>
  <w:style w:type="character" w:customStyle="1" w:styleId="StandaardSVChar">
    <w:name w:val="Standaard SV Char"/>
    <w:link w:val="StandaardSV"/>
    <w:locked/>
    <w:rsid w:val="00861661"/>
    <w:rPr>
      <w:sz w:val="22"/>
      <w:lang w:val="nl-NL" w:eastAsia="nl-NL"/>
    </w:rPr>
  </w:style>
  <w:style w:type="table" w:customStyle="1" w:styleId="Lichtelijst1">
    <w:name w:val="Lichte lijst1"/>
    <w:basedOn w:val="Standaardtabel"/>
    <w:uiPriority w:val="61"/>
    <w:rsid w:val="00861661"/>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ntekst">
    <w:name w:val="Balloon Text"/>
    <w:basedOn w:val="Standaard"/>
    <w:link w:val="BallontekstChar"/>
    <w:rsid w:val="00424C59"/>
    <w:rPr>
      <w:rFonts w:ascii="Tahoma" w:hAnsi="Tahoma" w:cs="Tahoma"/>
      <w:sz w:val="16"/>
      <w:szCs w:val="16"/>
    </w:rPr>
  </w:style>
  <w:style w:type="character" w:customStyle="1" w:styleId="BallontekstChar">
    <w:name w:val="Ballontekst Char"/>
    <w:basedOn w:val="Standaardalinea-lettertype"/>
    <w:link w:val="Ballontekst"/>
    <w:rsid w:val="00424C5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 w:id="20001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368</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2013-03-15T14:48:00Z</cp:lastPrinted>
  <dcterms:created xsi:type="dcterms:W3CDTF">2013-03-15T14:48:00Z</dcterms:created>
  <dcterms:modified xsi:type="dcterms:W3CDTF">2013-03-15T14:48:00Z</dcterms:modified>
</cp:coreProperties>
</file>