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D8" w:rsidRPr="00693743" w:rsidRDefault="008948D8" w:rsidP="009F4F22">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8948D8" w:rsidRPr="00693743" w:rsidRDefault="008948D8" w:rsidP="009F4F22">
      <w:pPr>
        <w:pStyle w:val="StandaardSV"/>
        <w:pBdr>
          <w:bottom w:val="single" w:sz="4" w:space="1" w:color="auto"/>
        </w:pBdr>
        <w:rPr>
          <w:smallCaps/>
          <w:szCs w:val="22"/>
          <w:lang w:val="nl-BE"/>
        </w:rPr>
      </w:pPr>
      <w:r w:rsidRPr="00693743">
        <w:rPr>
          <w:smallCaps/>
          <w:szCs w:val="22"/>
          <w:lang w:val="nl-BE"/>
        </w:rPr>
        <w:t xml:space="preserve">viceminister-president van de </w:t>
      </w:r>
      <w:proofErr w:type="spellStart"/>
      <w:r w:rsidRPr="00693743">
        <w:rPr>
          <w:smallCaps/>
          <w:szCs w:val="22"/>
          <w:lang w:val="nl-BE"/>
        </w:rPr>
        <w:t>vlaamse</w:t>
      </w:r>
      <w:proofErr w:type="spellEnd"/>
      <w:r w:rsidRPr="00693743">
        <w:rPr>
          <w:smallCaps/>
          <w:szCs w:val="22"/>
          <w:lang w:val="nl-BE"/>
        </w:rPr>
        <w:t xml:space="preserve"> regering, </w:t>
      </w:r>
      <w:proofErr w:type="spellStart"/>
      <w:r w:rsidRPr="00693743">
        <w:rPr>
          <w:smallCaps/>
          <w:szCs w:val="22"/>
          <w:lang w:val="nl-BE"/>
        </w:rPr>
        <w:t>vlaams</w:t>
      </w:r>
      <w:proofErr w:type="spellEnd"/>
      <w:r w:rsidRPr="00693743">
        <w:rPr>
          <w:smallCaps/>
          <w:szCs w:val="22"/>
          <w:lang w:val="nl-BE"/>
        </w:rPr>
        <w:t xml:space="preserve"> minister van innovatie, overheidsinvesteringen, media en armoedebestrijding</w:t>
      </w:r>
    </w:p>
    <w:p w:rsidR="008948D8" w:rsidRDefault="008948D8" w:rsidP="009F4F22">
      <w:pPr>
        <w:pStyle w:val="StandaardSV"/>
        <w:pBdr>
          <w:bottom w:val="single" w:sz="4" w:space="1" w:color="auto"/>
        </w:pBdr>
      </w:pPr>
    </w:p>
    <w:p w:rsidR="008948D8" w:rsidRDefault="008948D8" w:rsidP="009F4F22">
      <w:pPr>
        <w:jc w:val="both"/>
        <w:rPr>
          <w:sz w:val="22"/>
        </w:rPr>
      </w:pPr>
    </w:p>
    <w:p w:rsidR="00450B5F" w:rsidRPr="002E3B44" w:rsidRDefault="002E3B44" w:rsidP="009F4F22">
      <w:pPr>
        <w:jc w:val="both"/>
        <w:rPr>
          <w:rFonts w:ascii="Times New Roman Vet" w:hAnsi="Times New Roman Vet"/>
          <w:b/>
          <w:smallCaps/>
          <w:sz w:val="22"/>
        </w:rPr>
      </w:pPr>
      <w:r w:rsidRPr="002E3B44">
        <w:rPr>
          <w:rFonts w:ascii="Times New Roman Vet" w:hAnsi="Times New Roman Vet"/>
          <w:b/>
          <w:smallCaps/>
          <w:sz w:val="22"/>
        </w:rPr>
        <w:t>antwoord</w:t>
      </w:r>
    </w:p>
    <w:p w:rsidR="008948D8" w:rsidRDefault="000E7D61" w:rsidP="009F4F22">
      <w:pPr>
        <w:jc w:val="both"/>
        <w:rPr>
          <w:sz w:val="22"/>
        </w:rPr>
      </w:pPr>
      <w:r>
        <w:rPr>
          <w:sz w:val="22"/>
        </w:rPr>
        <w:t>op v</w:t>
      </w:r>
      <w:r w:rsidR="008948D8">
        <w:rPr>
          <w:sz w:val="22"/>
        </w:rPr>
        <w:t>raag nr. 177</w:t>
      </w:r>
      <w:r w:rsidR="00450B5F">
        <w:rPr>
          <w:sz w:val="22"/>
        </w:rPr>
        <w:t xml:space="preserve"> </w:t>
      </w:r>
      <w:r w:rsidR="008948D8">
        <w:rPr>
          <w:sz w:val="22"/>
        </w:rPr>
        <w:t>van 25 januari 2013</w:t>
      </w:r>
    </w:p>
    <w:p w:rsidR="008948D8" w:rsidRDefault="008948D8" w:rsidP="009F4F22">
      <w:pPr>
        <w:pStyle w:val="StandaardSV"/>
        <w:rPr>
          <w:b/>
        </w:rPr>
      </w:pPr>
      <w:r>
        <w:t xml:space="preserve">van </w:t>
      </w:r>
      <w:proofErr w:type="spellStart"/>
      <w:r>
        <w:rPr>
          <w:b/>
          <w:smallCaps/>
        </w:rPr>
        <w:t>lode</w:t>
      </w:r>
      <w:proofErr w:type="spellEnd"/>
      <w:r>
        <w:rPr>
          <w:b/>
          <w:smallCaps/>
        </w:rPr>
        <w:t xml:space="preserve"> </w:t>
      </w:r>
      <w:proofErr w:type="spellStart"/>
      <w:r>
        <w:rPr>
          <w:b/>
          <w:smallCaps/>
        </w:rPr>
        <w:t>vereeck</w:t>
      </w:r>
      <w:proofErr w:type="spellEnd"/>
    </w:p>
    <w:p w:rsidR="008948D8" w:rsidRDefault="008948D8" w:rsidP="009F4F22">
      <w:pPr>
        <w:pBdr>
          <w:bottom w:val="single" w:sz="4" w:space="1" w:color="auto"/>
        </w:pBdr>
        <w:jc w:val="both"/>
        <w:rPr>
          <w:sz w:val="22"/>
        </w:rPr>
      </w:pPr>
    </w:p>
    <w:p w:rsidR="008948D8" w:rsidRDefault="008948D8" w:rsidP="009F4F22">
      <w:pPr>
        <w:pStyle w:val="StandaardSV"/>
      </w:pPr>
    </w:p>
    <w:p w:rsidR="008948D8" w:rsidRDefault="008948D8" w:rsidP="009F4F22">
      <w:pPr>
        <w:pStyle w:val="StandaardSV"/>
      </w:pPr>
    </w:p>
    <w:p w:rsidR="002F7EC1" w:rsidRPr="000E7D61" w:rsidRDefault="002F7EC1" w:rsidP="009F4F22">
      <w:pPr>
        <w:pStyle w:val="StandaardSV"/>
        <w:numPr>
          <w:ilvl w:val="0"/>
          <w:numId w:val="42"/>
        </w:numPr>
        <w:ind w:left="360"/>
      </w:pPr>
      <w:r w:rsidRPr="000E7D61">
        <w:t xml:space="preserve">Begin 2012 startte de raad van bestuur van IWT een </w:t>
      </w:r>
      <w:r w:rsidR="006F0E17" w:rsidRPr="000E7D61">
        <w:t>strategieoefening</w:t>
      </w:r>
      <w:r w:rsidRPr="000E7D61">
        <w:t xml:space="preserve"> </w:t>
      </w:r>
      <w:r w:rsidR="00EA4797">
        <w:t>over</w:t>
      </w:r>
      <w:r w:rsidRPr="000E7D61">
        <w:t xml:space="preserve"> de bedrijfssteun van het IWT.  Dit resulteerde in een aantal basislijnen voor vernie</w:t>
      </w:r>
      <w:r w:rsidR="00EA4797">
        <w:t>uwing die in juli 2012 door de r</w:t>
      </w:r>
      <w:r w:rsidR="000E7D61">
        <w:t xml:space="preserve">aad van bestuur </w:t>
      </w:r>
      <w:r w:rsidRPr="000E7D61">
        <w:t>werden onderschreven. Na goedkeuring van de verdere uitwerking van de hervormin</w:t>
      </w:r>
      <w:r w:rsidR="00EA4797">
        <w:t>gen door de r</w:t>
      </w:r>
      <w:r w:rsidR="000E7D61">
        <w:t xml:space="preserve">aad van bestuur </w:t>
      </w:r>
      <w:r w:rsidRPr="000E7D61">
        <w:t xml:space="preserve">van </w:t>
      </w:r>
      <w:r w:rsidR="008C4EF7" w:rsidRPr="000E7D61">
        <w:t xml:space="preserve">10 </w:t>
      </w:r>
      <w:r w:rsidRPr="000E7D61">
        <w:t>oktober 2012 werd de vernieuwde aanpak meeg</w:t>
      </w:r>
      <w:r w:rsidR="008C4EF7" w:rsidRPr="000E7D61">
        <w:t>edeeld aan de Vlaamse Regering (30 november 2012).</w:t>
      </w:r>
    </w:p>
    <w:p w:rsidR="002F7EC1" w:rsidRPr="000E7D61" w:rsidRDefault="002F7EC1" w:rsidP="009F4F22">
      <w:pPr>
        <w:pStyle w:val="StandaardSV"/>
      </w:pPr>
    </w:p>
    <w:p w:rsidR="002A479D" w:rsidRPr="000E7D61" w:rsidRDefault="002F7EC1" w:rsidP="009F4F22">
      <w:pPr>
        <w:pStyle w:val="StandaardSV"/>
        <w:ind w:left="360"/>
      </w:pPr>
      <w:r w:rsidRPr="000E7D61">
        <w:t>Aangezien a</w:t>
      </w:r>
      <w:r w:rsidR="002A479D" w:rsidRPr="000E7D61">
        <w:t>lle stakeholde</w:t>
      </w:r>
      <w:r w:rsidR="00EA4797">
        <w:t>rs zijn vertegenwoordigd in de r</w:t>
      </w:r>
      <w:r w:rsidR="002A479D" w:rsidRPr="000E7D61">
        <w:t>aa</w:t>
      </w:r>
      <w:r w:rsidR="00EA4797">
        <w:t>d van b</w:t>
      </w:r>
      <w:r w:rsidR="002A479D" w:rsidRPr="000E7D61">
        <w:t>estuur van IWT</w:t>
      </w:r>
      <w:r w:rsidRPr="000E7D61">
        <w:t xml:space="preserve"> werden ze i</w:t>
      </w:r>
      <w:r w:rsidR="002A479D" w:rsidRPr="000E7D61">
        <w:t xml:space="preserve">n die hoedanigheid geconsulteerd en geïnformeerd over de hervormingen van de O&amp;O-bedrijfssteun. </w:t>
      </w:r>
    </w:p>
    <w:p w:rsidR="008948D8" w:rsidRDefault="008948D8" w:rsidP="009F4F22">
      <w:pPr>
        <w:pStyle w:val="StandaardSV"/>
      </w:pPr>
    </w:p>
    <w:p w:rsidR="002A479D" w:rsidRPr="000E7D61" w:rsidRDefault="002A479D" w:rsidP="009F4F22">
      <w:pPr>
        <w:pStyle w:val="StandaardSV"/>
        <w:ind w:left="360"/>
      </w:pPr>
      <w:r w:rsidRPr="000E7D61">
        <w:t>De nieuwe regeling is van kracht vanaf 1 januari 2013</w:t>
      </w:r>
      <w:r w:rsidR="000E7D61">
        <w:t xml:space="preserve">. Voor de indieners geldt een overgangsperiode tot begin maart. </w:t>
      </w:r>
    </w:p>
    <w:p w:rsidR="002A479D" w:rsidRDefault="002A479D" w:rsidP="009F4F22">
      <w:pPr>
        <w:pStyle w:val="StandaardSV"/>
      </w:pPr>
    </w:p>
    <w:p w:rsidR="00646EDF" w:rsidRDefault="00646EDF" w:rsidP="009F4F22">
      <w:pPr>
        <w:pStyle w:val="StandaardSV"/>
        <w:ind w:left="360"/>
      </w:pPr>
      <w:r>
        <w:t xml:space="preserve">De belangrijkste stappen om tot implementatie over te gaan zijn de communicatie over de aanpassing en de aanpassingen aan het proces van evaluatie en toekenning. </w:t>
      </w:r>
    </w:p>
    <w:p w:rsidR="00E25A62" w:rsidRPr="000E7D61" w:rsidRDefault="00E25A62" w:rsidP="009F4F22">
      <w:pPr>
        <w:pStyle w:val="Rapport1"/>
        <w:spacing w:line="276" w:lineRule="auto"/>
        <w:ind w:left="360"/>
        <w:jc w:val="both"/>
        <w:rPr>
          <w:szCs w:val="22"/>
        </w:rPr>
      </w:pPr>
      <w:r w:rsidRPr="000E7D61">
        <w:rPr>
          <w:u w:val="single"/>
        </w:rPr>
        <w:t>A/Communicatie:</w:t>
      </w:r>
      <w:r w:rsidRPr="000E7D61">
        <w:t xml:space="preserve"> </w:t>
      </w:r>
      <w:r w:rsidRPr="000E7D61">
        <w:rPr>
          <w:szCs w:val="22"/>
        </w:rPr>
        <w:t xml:space="preserve">Nadat de vernieuwde aanpak </w:t>
      </w:r>
      <w:r w:rsidR="00646EDF">
        <w:rPr>
          <w:szCs w:val="22"/>
        </w:rPr>
        <w:t>werd</w:t>
      </w:r>
      <w:r w:rsidRPr="000E7D61">
        <w:rPr>
          <w:szCs w:val="22"/>
        </w:rPr>
        <w:t xml:space="preserve"> meegedeeld aan de Vlaamse Regering en de handleidingen en overige documenten voor het voorbereiden van de aanvragen </w:t>
      </w:r>
      <w:r w:rsidR="00646EDF">
        <w:rPr>
          <w:szCs w:val="22"/>
        </w:rPr>
        <w:t>werden</w:t>
      </w:r>
      <w:r w:rsidRPr="000E7D61">
        <w:rPr>
          <w:szCs w:val="22"/>
        </w:rPr>
        <w:t xml:space="preserve"> gefinaliseerd, </w:t>
      </w:r>
      <w:r w:rsidR="00646EDF">
        <w:rPr>
          <w:szCs w:val="22"/>
        </w:rPr>
        <w:t xml:space="preserve">werden deze </w:t>
      </w:r>
      <w:r w:rsidRPr="000E7D61">
        <w:rPr>
          <w:szCs w:val="22"/>
        </w:rPr>
        <w:t xml:space="preserve">aan het </w:t>
      </w:r>
      <w:r w:rsidR="00EA4797">
        <w:rPr>
          <w:szCs w:val="22"/>
        </w:rPr>
        <w:t xml:space="preserve">ruime publiek verspreid </w:t>
      </w:r>
      <w:r w:rsidRPr="000E7D61">
        <w:rPr>
          <w:szCs w:val="22"/>
        </w:rPr>
        <w:t>via de volgende kanalen.</w:t>
      </w:r>
    </w:p>
    <w:p w:rsidR="00E25A62" w:rsidRPr="000E7D61" w:rsidRDefault="00E25A62" w:rsidP="009F4F22">
      <w:pPr>
        <w:pStyle w:val="Rapport1"/>
        <w:numPr>
          <w:ilvl w:val="0"/>
          <w:numId w:val="36"/>
        </w:numPr>
        <w:spacing w:line="276" w:lineRule="auto"/>
        <w:jc w:val="both"/>
        <w:rPr>
          <w:szCs w:val="22"/>
        </w:rPr>
      </w:pPr>
      <w:r w:rsidRPr="000E7D61">
        <w:rPr>
          <w:b/>
          <w:szCs w:val="22"/>
        </w:rPr>
        <w:t>Persbericht</w:t>
      </w:r>
      <w:r w:rsidRPr="000E7D61">
        <w:rPr>
          <w:szCs w:val="22"/>
        </w:rPr>
        <w:t xml:space="preserve"> : dit beschrijft de doelstellingen van de vernieuwing van de IWT-bedrijfssteun en</w:t>
      </w:r>
      <w:r w:rsidR="00EA4797">
        <w:rPr>
          <w:szCs w:val="22"/>
        </w:rPr>
        <w:t xml:space="preserve"> licht de </w:t>
      </w:r>
      <w:r w:rsidRPr="000E7D61">
        <w:rPr>
          <w:szCs w:val="22"/>
        </w:rPr>
        <w:t>essentiële elementen ervan toe. Deze persmededeling w</w:t>
      </w:r>
      <w:r w:rsidR="00646EDF">
        <w:rPr>
          <w:szCs w:val="22"/>
        </w:rPr>
        <w:t>erd</w:t>
      </w:r>
      <w:r w:rsidRPr="000E7D61">
        <w:rPr>
          <w:szCs w:val="22"/>
        </w:rPr>
        <w:t xml:space="preserve"> op de website van IWT gepubliceerd en verspreid aan de perscontacten van IWT. </w:t>
      </w:r>
    </w:p>
    <w:p w:rsidR="00E25A62" w:rsidRPr="000E7D61" w:rsidRDefault="00E25A62" w:rsidP="009F4F22">
      <w:pPr>
        <w:pStyle w:val="Rapport1"/>
        <w:numPr>
          <w:ilvl w:val="0"/>
          <w:numId w:val="36"/>
        </w:numPr>
        <w:spacing w:line="276" w:lineRule="auto"/>
        <w:jc w:val="both"/>
        <w:rPr>
          <w:szCs w:val="22"/>
        </w:rPr>
      </w:pPr>
      <w:r w:rsidRPr="000E7D61">
        <w:rPr>
          <w:b/>
          <w:szCs w:val="22"/>
        </w:rPr>
        <w:t>Website</w:t>
      </w:r>
      <w:r w:rsidRPr="000E7D61">
        <w:rPr>
          <w:szCs w:val="22"/>
        </w:rPr>
        <w:t xml:space="preserve"> :  behalve  het nieuwsbericht w</w:t>
      </w:r>
      <w:r w:rsidR="00646EDF">
        <w:rPr>
          <w:szCs w:val="22"/>
        </w:rPr>
        <w:t>o</w:t>
      </w:r>
      <w:r w:rsidRPr="000E7D61">
        <w:rPr>
          <w:szCs w:val="22"/>
        </w:rPr>
        <w:t xml:space="preserve">rden al de aangepaste documenten ter beschikking gesteld op de IWT-website. In eerste instantie in het Nederlands, maar ook zo snel mogelijk in het Engels. </w:t>
      </w:r>
      <w:r w:rsidR="008C4EF7" w:rsidRPr="000E7D61">
        <w:t>De website wordt continu aangevuld en zal na de overgangsperiode in januari-februari volledig op punt worden gezet.</w:t>
      </w:r>
    </w:p>
    <w:p w:rsidR="00E25A62" w:rsidRPr="000E7D61" w:rsidRDefault="00E25A62" w:rsidP="009F4F22">
      <w:pPr>
        <w:pStyle w:val="Rapport1"/>
        <w:numPr>
          <w:ilvl w:val="0"/>
          <w:numId w:val="36"/>
        </w:numPr>
        <w:spacing w:line="276" w:lineRule="auto"/>
        <w:jc w:val="both"/>
        <w:rPr>
          <w:szCs w:val="22"/>
        </w:rPr>
      </w:pPr>
      <w:r w:rsidRPr="000E7D61">
        <w:rPr>
          <w:b/>
          <w:szCs w:val="22"/>
        </w:rPr>
        <w:t xml:space="preserve">Publicatie in diverse media : </w:t>
      </w:r>
      <w:r w:rsidRPr="000E7D61">
        <w:rPr>
          <w:szCs w:val="22"/>
        </w:rPr>
        <w:t xml:space="preserve"> er w</w:t>
      </w:r>
      <w:r w:rsidR="00646EDF">
        <w:rPr>
          <w:szCs w:val="22"/>
        </w:rPr>
        <w:t>erd</w:t>
      </w:r>
      <w:r w:rsidRPr="000E7D61">
        <w:rPr>
          <w:szCs w:val="22"/>
        </w:rPr>
        <w:t xml:space="preserve"> door een copywriter een artikel voorbereid dat aangeboden </w:t>
      </w:r>
      <w:r w:rsidR="00646EDF">
        <w:rPr>
          <w:szCs w:val="22"/>
        </w:rPr>
        <w:t>wordt</w:t>
      </w:r>
      <w:r w:rsidRPr="000E7D61">
        <w:rPr>
          <w:szCs w:val="22"/>
        </w:rPr>
        <w:t xml:space="preserve"> aan diverse media, zoals onder meer de ledenbladen van intermediaire organisaties. </w:t>
      </w:r>
    </w:p>
    <w:p w:rsidR="00E25A62" w:rsidRPr="000E7D61" w:rsidRDefault="00E25A62" w:rsidP="009F4F22">
      <w:pPr>
        <w:pStyle w:val="Rapport1"/>
        <w:numPr>
          <w:ilvl w:val="0"/>
          <w:numId w:val="36"/>
        </w:numPr>
        <w:spacing w:line="276" w:lineRule="auto"/>
        <w:jc w:val="both"/>
        <w:rPr>
          <w:szCs w:val="22"/>
        </w:rPr>
      </w:pPr>
      <w:r w:rsidRPr="000E7D61">
        <w:rPr>
          <w:b/>
          <w:szCs w:val="22"/>
        </w:rPr>
        <w:t>Innovatiekrant :</w:t>
      </w:r>
      <w:r w:rsidRPr="000E7D61">
        <w:rPr>
          <w:szCs w:val="22"/>
        </w:rPr>
        <w:t xml:space="preserve"> er werd in het najaar van 2012 een speciaal nummer van de IWT Innovatiekrant gewijd aan de vernieuwde bedrijfssteun. Deze w</w:t>
      </w:r>
      <w:r w:rsidR="00646EDF">
        <w:rPr>
          <w:szCs w:val="22"/>
        </w:rPr>
        <w:t>ordt</w:t>
      </w:r>
      <w:r w:rsidRPr="000E7D61">
        <w:rPr>
          <w:szCs w:val="22"/>
        </w:rPr>
        <w:t xml:space="preserve"> ele</w:t>
      </w:r>
      <w:r w:rsidR="00646EDF">
        <w:rPr>
          <w:szCs w:val="22"/>
        </w:rPr>
        <w:t>k</w:t>
      </w:r>
      <w:r w:rsidRPr="000E7D61">
        <w:rPr>
          <w:szCs w:val="22"/>
        </w:rPr>
        <w:t xml:space="preserve">tronisch en op 6000 exemplaren verspreid via de gebruikelijke kanalen. </w:t>
      </w:r>
    </w:p>
    <w:p w:rsidR="00E25A62" w:rsidRPr="000E7D61" w:rsidRDefault="00E25A62" w:rsidP="009F4F22">
      <w:pPr>
        <w:pStyle w:val="Rapport1"/>
        <w:numPr>
          <w:ilvl w:val="0"/>
          <w:numId w:val="36"/>
        </w:numPr>
        <w:spacing w:line="276" w:lineRule="auto"/>
        <w:jc w:val="both"/>
        <w:rPr>
          <w:szCs w:val="22"/>
        </w:rPr>
      </w:pPr>
      <w:r w:rsidRPr="000E7D61">
        <w:rPr>
          <w:b/>
          <w:szCs w:val="22"/>
        </w:rPr>
        <w:t xml:space="preserve">Innovatiecentra  en VIN :  </w:t>
      </w:r>
      <w:r w:rsidRPr="000E7D61">
        <w:rPr>
          <w:szCs w:val="22"/>
        </w:rPr>
        <w:t>er werden  opleidingen  voorzien voor al de adviseurs van de innovatiecentra en de VIN-adviseurs.</w:t>
      </w:r>
    </w:p>
    <w:p w:rsidR="006A535A" w:rsidRPr="000E7D61" w:rsidRDefault="00E25A62" w:rsidP="009F4F22">
      <w:pPr>
        <w:pStyle w:val="Rapport1"/>
        <w:numPr>
          <w:ilvl w:val="0"/>
          <w:numId w:val="36"/>
        </w:numPr>
        <w:spacing w:line="276" w:lineRule="auto"/>
        <w:jc w:val="both"/>
        <w:rPr>
          <w:szCs w:val="22"/>
        </w:rPr>
      </w:pPr>
      <w:proofErr w:type="spellStart"/>
      <w:r w:rsidRPr="000E7D61">
        <w:rPr>
          <w:b/>
          <w:szCs w:val="22"/>
        </w:rPr>
        <w:t>Roadshow</w:t>
      </w:r>
      <w:proofErr w:type="spellEnd"/>
      <w:r w:rsidRPr="000E7D61">
        <w:rPr>
          <w:b/>
          <w:szCs w:val="22"/>
        </w:rPr>
        <w:t xml:space="preserve"> :  </w:t>
      </w:r>
      <w:r w:rsidRPr="000E7D61">
        <w:rPr>
          <w:szCs w:val="22"/>
        </w:rPr>
        <w:t>In elke provincie vindt  ten minste één infosessie plaats over de vernieuwde IWT-bedrijfssteun. Deze infosessies worden in samenwerking met de innovatiecentra en/of met bedrijfs- en sectororganisaties voorbereid.</w:t>
      </w:r>
    </w:p>
    <w:p w:rsidR="008948D8" w:rsidRPr="000E7D61" w:rsidRDefault="008948D8" w:rsidP="009F4F22">
      <w:pPr>
        <w:pStyle w:val="StandaardSV"/>
      </w:pPr>
    </w:p>
    <w:p w:rsidR="00E25A62" w:rsidRPr="000E7D61" w:rsidRDefault="00E25A62" w:rsidP="009F4F22">
      <w:pPr>
        <w:pStyle w:val="StandaardSV"/>
        <w:ind w:firstLine="360"/>
      </w:pPr>
      <w:r w:rsidRPr="000E7D61">
        <w:rPr>
          <w:u w:val="single"/>
        </w:rPr>
        <w:t>B/ Aanpassingen van het proces</w:t>
      </w:r>
      <w:r w:rsidRPr="000E7D61">
        <w:t>:</w:t>
      </w:r>
    </w:p>
    <w:p w:rsidR="00E25A62" w:rsidRPr="000E7D61" w:rsidRDefault="00E25A62" w:rsidP="009F4F22">
      <w:pPr>
        <w:pStyle w:val="Rapport1"/>
        <w:numPr>
          <w:ilvl w:val="0"/>
          <w:numId w:val="37"/>
        </w:numPr>
        <w:spacing w:line="276" w:lineRule="auto"/>
        <w:jc w:val="both"/>
        <w:rPr>
          <w:szCs w:val="22"/>
        </w:rPr>
      </w:pPr>
      <w:r w:rsidRPr="000E7D61">
        <w:rPr>
          <w:szCs w:val="22"/>
        </w:rPr>
        <w:t>Op basis van de conclusies van een in 2012 uitgevoerde  procesanalyse van de selectieprocedure</w:t>
      </w:r>
      <w:r w:rsidR="008C4EF7" w:rsidRPr="000E7D61">
        <w:rPr>
          <w:szCs w:val="22"/>
        </w:rPr>
        <w:t xml:space="preserve"> (</w:t>
      </w:r>
      <w:proofErr w:type="spellStart"/>
      <w:r w:rsidR="008C4EF7" w:rsidRPr="000E7D61">
        <w:rPr>
          <w:szCs w:val="22"/>
        </w:rPr>
        <w:t>lean</w:t>
      </w:r>
      <w:proofErr w:type="spellEnd"/>
      <w:r w:rsidR="008C4EF7" w:rsidRPr="000E7D61">
        <w:rPr>
          <w:szCs w:val="22"/>
        </w:rPr>
        <w:t xml:space="preserve"> aanpak)</w:t>
      </w:r>
      <w:r w:rsidRPr="000E7D61">
        <w:rPr>
          <w:szCs w:val="22"/>
        </w:rPr>
        <w:t xml:space="preserve">, </w:t>
      </w:r>
      <w:r w:rsidR="008C4EF7" w:rsidRPr="000E7D61">
        <w:rPr>
          <w:szCs w:val="22"/>
        </w:rPr>
        <w:t xml:space="preserve">worden aanpassingen </w:t>
      </w:r>
      <w:r w:rsidRPr="000E7D61">
        <w:rPr>
          <w:szCs w:val="22"/>
        </w:rPr>
        <w:t>aangebracht in het selectieproces van de IWT-bedrijfssteun.</w:t>
      </w:r>
    </w:p>
    <w:p w:rsidR="00E25A62" w:rsidRPr="000E7D61" w:rsidRDefault="00E25A62" w:rsidP="009F4F22">
      <w:pPr>
        <w:pStyle w:val="Rapport1"/>
        <w:numPr>
          <w:ilvl w:val="0"/>
          <w:numId w:val="37"/>
        </w:numPr>
        <w:spacing w:line="276" w:lineRule="auto"/>
        <w:jc w:val="both"/>
        <w:rPr>
          <w:szCs w:val="22"/>
        </w:rPr>
      </w:pPr>
      <w:r w:rsidRPr="000E7D61">
        <w:rPr>
          <w:szCs w:val="22"/>
        </w:rPr>
        <w:t>Met de vernieuwde aanpak</w:t>
      </w:r>
      <w:r w:rsidR="00FA5F24">
        <w:rPr>
          <w:szCs w:val="22"/>
        </w:rPr>
        <w:t xml:space="preserve"> wordt </w:t>
      </w:r>
      <w:r w:rsidRPr="000E7D61">
        <w:rPr>
          <w:szCs w:val="22"/>
        </w:rPr>
        <w:t xml:space="preserve"> de procedure sterker gedifferentieerd tussen een meer gebalde en snellere behandeling voor de kleinere projecten (vergelijkbaar met de huidige </w:t>
      </w:r>
      <w:proofErr w:type="spellStart"/>
      <w:r w:rsidRPr="000E7D61">
        <w:rPr>
          <w:szCs w:val="22"/>
        </w:rPr>
        <w:t>kmo</w:t>
      </w:r>
      <w:proofErr w:type="spellEnd"/>
      <w:r w:rsidRPr="000E7D61">
        <w:rPr>
          <w:szCs w:val="22"/>
        </w:rPr>
        <w:t>-procedure) en een grondiger</w:t>
      </w:r>
      <w:r w:rsidR="003C7B36">
        <w:rPr>
          <w:szCs w:val="22"/>
        </w:rPr>
        <w:t>e</w:t>
      </w:r>
      <w:r w:rsidRPr="000E7D61">
        <w:rPr>
          <w:szCs w:val="22"/>
        </w:rPr>
        <w:t xml:space="preserve"> procedure voor grotere O&amp;O-projecten.  De verslaggeving </w:t>
      </w:r>
      <w:r w:rsidR="00FA5F24">
        <w:rPr>
          <w:szCs w:val="22"/>
        </w:rPr>
        <w:t xml:space="preserve">over de evaluatie van de aanvragen </w:t>
      </w:r>
      <w:r w:rsidRPr="000E7D61">
        <w:rPr>
          <w:szCs w:val="22"/>
        </w:rPr>
        <w:t>aa</w:t>
      </w:r>
      <w:r w:rsidR="003C7B36">
        <w:rPr>
          <w:szCs w:val="22"/>
        </w:rPr>
        <w:t>n</w:t>
      </w:r>
      <w:r w:rsidRPr="000E7D61">
        <w:rPr>
          <w:szCs w:val="22"/>
        </w:rPr>
        <w:t xml:space="preserve"> de raad van bestuur w</w:t>
      </w:r>
      <w:r w:rsidR="00FA5F24">
        <w:rPr>
          <w:szCs w:val="22"/>
        </w:rPr>
        <w:t>erd</w:t>
      </w:r>
      <w:r w:rsidRPr="000E7D61">
        <w:rPr>
          <w:szCs w:val="22"/>
        </w:rPr>
        <w:t xml:space="preserve"> herwerkt</w:t>
      </w:r>
      <w:r w:rsidR="00EA4797">
        <w:rPr>
          <w:szCs w:val="22"/>
        </w:rPr>
        <w:t>.</w:t>
      </w:r>
    </w:p>
    <w:p w:rsidR="00E25A62" w:rsidRPr="000E7D61" w:rsidRDefault="00E25A62" w:rsidP="009F4F22">
      <w:pPr>
        <w:pStyle w:val="Rapport1"/>
        <w:numPr>
          <w:ilvl w:val="0"/>
          <w:numId w:val="37"/>
        </w:numPr>
        <w:spacing w:line="276" w:lineRule="auto"/>
        <w:jc w:val="both"/>
        <w:rPr>
          <w:szCs w:val="22"/>
        </w:rPr>
      </w:pPr>
      <w:r w:rsidRPr="000E7D61">
        <w:rPr>
          <w:szCs w:val="22"/>
        </w:rPr>
        <w:t>Voor de opvolgingsprocedures worden geen ingrijpende veranderingen voorgesteld, tenzij verdere administratieve vereenvoudigingen en de systematisering van de resultaatmonitoring</w:t>
      </w:r>
      <w:r w:rsidR="00EA4797">
        <w:rPr>
          <w:szCs w:val="22"/>
        </w:rPr>
        <w:t>. De elektronische opvolging van de projecten wordt verder uitgewerkt.</w:t>
      </w:r>
    </w:p>
    <w:p w:rsidR="00E25A62" w:rsidRDefault="00E25A62" w:rsidP="009F4F22">
      <w:pPr>
        <w:pStyle w:val="StandaardSV"/>
      </w:pPr>
    </w:p>
    <w:p w:rsidR="00FA5F24" w:rsidRDefault="00FA5F24" w:rsidP="009F4F22">
      <w:pPr>
        <w:pStyle w:val="StandaardSV"/>
        <w:rPr>
          <w:i/>
          <w:color w:val="FF0000"/>
        </w:rPr>
      </w:pPr>
    </w:p>
    <w:p w:rsidR="00E25A62" w:rsidRPr="00FA5F24" w:rsidRDefault="00E25A62" w:rsidP="009F4F22">
      <w:pPr>
        <w:pStyle w:val="StandaardSV"/>
        <w:numPr>
          <w:ilvl w:val="0"/>
          <w:numId w:val="44"/>
        </w:numPr>
      </w:pPr>
      <w:r w:rsidRPr="00FA5F24">
        <w:t xml:space="preserve">De bijsturing van de bedrijfssteun heeft als doel de bedrijfssteun optimaal in te zetten </w:t>
      </w:r>
      <w:r w:rsidR="00FA5F24">
        <w:t>en meer impact te genereren door</w:t>
      </w:r>
      <w:r w:rsidRPr="00FA5F24">
        <w:t xml:space="preserve"> het bereik te verruimen, binnen de wijzigende economische context.  Dit gebeurt volgens drie lijnen, die ook onderling gekoppeld zijn :</w:t>
      </w:r>
    </w:p>
    <w:p w:rsidR="00E25A62" w:rsidRPr="00FA5F24" w:rsidRDefault="00E25A62" w:rsidP="009F4F22">
      <w:pPr>
        <w:pStyle w:val="StandaardSV"/>
        <w:numPr>
          <w:ilvl w:val="1"/>
          <w:numId w:val="44"/>
        </w:numPr>
      </w:pPr>
      <w:r w:rsidRPr="00FA5F24">
        <w:t>de aanpak eenvoudiger maken;</w:t>
      </w:r>
    </w:p>
    <w:p w:rsidR="00E25A62" w:rsidRPr="00FA5F24" w:rsidRDefault="00E25A62" w:rsidP="009F4F22">
      <w:pPr>
        <w:pStyle w:val="StandaardSV"/>
        <w:numPr>
          <w:ilvl w:val="1"/>
          <w:numId w:val="44"/>
        </w:numPr>
      </w:pPr>
      <w:r w:rsidRPr="00FA5F24">
        <w:t>differentiëren om beter in te spelen op de noden en verwachtingen van de bedrijven;</w:t>
      </w:r>
    </w:p>
    <w:p w:rsidR="00E25A62" w:rsidRPr="00FA5F24" w:rsidRDefault="00E25A62" w:rsidP="009F4F22">
      <w:pPr>
        <w:pStyle w:val="StandaardSV"/>
        <w:numPr>
          <w:ilvl w:val="1"/>
          <w:numId w:val="44"/>
        </w:numPr>
      </w:pPr>
      <w:r w:rsidRPr="00FA5F24">
        <w:t>zoveel mogelijk de samenwerking binnen het ecosysteem ondersteunen, tussen de bedrijven onderling en met de kennisinstellingen.</w:t>
      </w:r>
    </w:p>
    <w:p w:rsidR="00E25A62" w:rsidRPr="00FA5F24" w:rsidRDefault="00E25A62" w:rsidP="009F4F22">
      <w:pPr>
        <w:pStyle w:val="StandaardSV"/>
      </w:pPr>
    </w:p>
    <w:p w:rsidR="00E25A62" w:rsidRPr="00FA5F24" w:rsidRDefault="00E25A62" w:rsidP="009F4F22">
      <w:pPr>
        <w:pStyle w:val="StandaardSV"/>
        <w:ind w:left="708"/>
      </w:pPr>
      <w:r w:rsidRPr="00FA5F24">
        <w:t>Het beperken van drempels via vereenvoudiging is een permanente bekommernis van IWT. Bij de omzetting van de nieuwe aanpak in aangepaste pro</w:t>
      </w:r>
      <w:r w:rsidR="007A197C">
        <w:t xml:space="preserve">cessen en procedures zullen de </w:t>
      </w:r>
      <w:r w:rsidRPr="00FA5F24">
        <w:t>administratieve lasten bij de bedrijven, maar ook de interne lasten bij IWT, maximaal worden teruggedrongen.</w:t>
      </w:r>
    </w:p>
    <w:p w:rsidR="006A535A" w:rsidRDefault="006A535A" w:rsidP="009F4F22">
      <w:pPr>
        <w:pStyle w:val="StandaardSV"/>
        <w:rPr>
          <w:i/>
          <w:color w:val="FF0000"/>
        </w:rPr>
      </w:pPr>
    </w:p>
    <w:p w:rsidR="006A535A" w:rsidRDefault="006A535A" w:rsidP="009F4F22">
      <w:pPr>
        <w:pStyle w:val="StandaardSV"/>
      </w:pPr>
    </w:p>
    <w:p w:rsidR="007A197C" w:rsidRDefault="007A197C" w:rsidP="009F4F22">
      <w:pPr>
        <w:pStyle w:val="StandaardSV"/>
        <w:numPr>
          <w:ilvl w:val="0"/>
          <w:numId w:val="44"/>
        </w:numPr>
      </w:pPr>
      <w:r>
        <w:t xml:space="preserve">De belangrijkste </w:t>
      </w:r>
      <w:r w:rsidR="00EA4797">
        <w:t>prestatie-indicatoren</w:t>
      </w:r>
      <w:r>
        <w:t xml:space="preserve"> zijn het bereik, de beperking van administratieve last en het aantal samenwerkingsverbanden. </w:t>
      </w:r>
    </w:p>
    <w:p w:rsidR="008C4EF7" w:rsidRPr="007A197C" w:rsidRDefault="007A197C" w:rsidP="009F4F22">
      <w:pPr>
        <w:pStyle w:val="StandaardSV"/>
        <w:ind w:left="851" w:hanging="131"/>
      </w:pPr>
      <w:r>
        <w:t xml:space="preserve">- </w:t>
      </w:r>
      <w:r w:rsidR="008C4EF7" w:rsidRPr="007A197C">
        <w:t>ver</w:t>
      </w:r>
      <w:r w:rsidR="00C72A47">
        <w:t>hoging</w:t>
      </w:r>
      <w:r w:rsidR="008C4EF7" w:rsidRPr="007A197C">
        <w:t xml:space="preserve"> van het bereik, in het bijzonder via de sprint-projecten (in 2013 nog geen </w:t>
      </w:r>
      <w:r w:rsidR="00C72A47">
        <w:t xml:space="preserve">absolute </w:t>
      </w:r>
      <w:r w:rsidR="008C4EF7" w:rsidRPr="007A197C">
        <w:t xml:space="preserve"> doelstelling gedefinieerd, de eerste concrete reacties van de bedrijven worden afgewacht</w:t>
      </w:r>
      <w:r w:rsidR="00C72A47">
        <w:t>; het indiengedrag van bedrijven is trouwens van heel wat factoren afhankelijk</w:t>
      </w:r>
      <w:r w:rsidR="008C4EF7" w:rsidRPr="007A197C">
        <w:t>)</w:t>
      </w:r>
      <w:r w:rsidR="00C72A47">
        <w:t>;</w:t>
      </w:r>
    </w:p>
    <w:p w:rsidR="008C4EF7" w:rsidRPr="007A197C" w:rsidRDefault="008C4EF7" w:rsidP="009F4F22">
      <w:pPr>
        <w:pStyle w:val="StandaardSV"/>
        <w:ind w:left="786" w:hanging="142"/>
      </w:pPr>
      <w:r w:rsidRPr="007A197C">
        <w:t>-</w:t>
      </w:r>
      <w:r w:rsidRPr="007A197C">
        <w:tab/>
        <w:t xml:space="preserve">verdere vereenvoudiging van de aanvraagprocedures en vermindering van de administratieve last, in het bijzonder door </w:t>
      </w:r>
      <w:proofErr w:type="spellStart"/>
      <w:r w:rsidR="00C72A47">
        <w:t>bijvb</w:t>
      </w:r>
      <w:proofErr w:type="spellEnd"/>
      <w:r w:rsidR="00C72A47">
        <w:t xml:space="preserve">. </w:t>
      </w:r>
      <w:r w:rsidRPr="007A197C">
        <w:t>het nog beter structureren van de aanvraagformulieren (gemiddeld genomen wordt een verbetering van 20% nagestreefd)</w:t>
      </w:r>
      <w:r w:rsidR="00C72A47">
        <w:t xml:space="preserve">, het vereenvoudigen van modaliteiten zoals steunpercentages; verbeteren van de toelichtende documenten, het kostenmodel enz. </w:t>
      </w:r>
    </w:p>
    <w:p w:rsidR="008C4EF7" w:rsidRPr="007A197C" w:rsidRDefault="008C4EF7" w:rsidP="009F4F22">
      <w:pPr>
        <w:pStyle w:val="StandaardSV"/>
        <w:ind w:left="786" w:hanging="142"/>
      </w:pPr>
      <w:r w:rsidRPr="007A197C">
        <w:t>-</w:t>
      </w:r>
      <w:r w:rsidRPr="007A197C">
        <w:tab/>
        <w:t xml:space="preserve">samenwerking : </w:t>
      </w:r>
      <w:r w:rsidR="00C72A47">
        <w:t>het doel is om het gemiddeld aantal samenwerkingsverbanden ten minste op het huidige peil te houden; door de</w:t>
      </w:r>
      <w:r w:rsidRPr="007A197C">
        <w:t xml:space="preserve"> wijzigende Europese context kunnen wijzigingen  in de samenwerking optre</w:t>
      </w:r>
      <w:r w:rsidR="00C72A47">
        <w:t xml:space="preserve">den. </w:t>
      </w:r>
    </w:p>
    <w:p w:rsidR="008C4EF7" w:rsidRDefault="008C4EF7" w:rsidP="009F4F22">
      <w:pPr>
        <w:pStyle w:val="StandaardSV"/>
      </w:pPr>
    </w:p>
    <w:p w:rsidR="008C4EF7" w:rsidRDefault="008C4EF7" w:rsidP="009F4F22">
      <w:pPr>
        <w:pStyle w:val="StandaardSV"/>
      </w:pPr>
    </w:p>
    <w:p w:rsidR="007448B6" w:rsidRPr="000E3660" w:rsidRDefault="007448B6" w:rsidP="009F4F22">
      <w:pPr>
        <w:pStyle w:val="StandaardSV"/>
        <w:numPr>
          <w:ilvl w:val="0"/>
          <w:numId w:val="44"/>
        </w:numPr>
      </w:pPr>
      <w:r w:rsidRPr="000E3660">
        <w:t xml:space="preserve">De steun aan kleine ondernemingen via het </w:t>
      </w:r>
      <w:proofErr w:type="spellStart"/>
      <w:r w:rsidRPr="000E3660">
        <w:t>kmo</w:t>
      </w:r>
      <w:proofErr w:type="spellEnd"/>
      <w:r w:rsidRPr="000E3660">
        <w:t>-programma is reeds in 2012</w:t>
      </w:r>
      <w:r w:rsidR="003C7B36">
        <w:t xml:space="preserve"> terug</w:t>
      </w:r>
      <w:r w:rsidRPr="000E3660">
        <w:t xml:space="preserve"> gestegen tot boven het peil van 2010, na een </w:t>
      </w:r>
      <w:r w:rsidR="00EA4797">
        <w:t xml:space="preserve">eerdere </w:t>
      </w:r>
      <w:r w:rsidRPr="000E3660">
        <w:t xml:space="preserve">terugval in 2011.  Een verdere lichte groei mag in 2013 verwacht worden.  Anderzijds zal bij het aantrekken van de sprint-projecten de steun aan grote bedrijven een stuk herverdeeld worden. Tot slot kan verwacht worden dat de steun aan </w:t>
      </w:r>
      <w:proofErr w:type="spellStart"/>
      <w:r w:rsidRPr="000E3660">
        <w:t>researchintensieve</w:t>
      </w:r>
      <w:proofErr w:type="spellEnd"/>
      <w:r w:rsidRPr="000E3660">
        <w:t xml:space="preserve"> groeibedrijven (dikwijls ook </w:t>
      </w:r>
      <w:proofErr w:type="spellStart"/>
      <w:r w:rsidRPr="000E3660">
        <w:t>kmo’s</w:t>
      </w:r>
      <w:proofErr w:type="spellEnd"/>
      <w:r w:rsidRPr="000E3660">
        <w:t>) min of meer stabiel zal blijven.  Dit alles samen zou er toe</w:t>
      </w:r>
      <w:r w:rsidR="003C7B36">
        <w:t xml:space="preserve"> moeten</w:t>
      </w:r>
      <w:r w:rsidRPr="000E3660">
        <w:t xml:space="preserve"> leiden dat de steun aan </w:t>
      </w:r>
      <w:proofErr w:type="spellStart"/>
      <w:r w:rsidRPr="000E3660">
        <w:t>kmo’s</w:t>
      </w:r>
      <w:proofErr w:type="spellEnd"/>
      <w:r w:rsidRPr="000E3660">
        <w:t xml:space="preserve"> in verhouding licht toeneemt.</w:t>
      </w:r>
    </w:p>
    <w:p w:rsidR="007448B6" w:rsidRPr="000E3660" w:rsidRDefault="007448B6" w:rsidP="009F4F22">
      <w:pPr>
        <w:pStyle w:val="StandaardSV"/>
        <w:ind w:left="360"/>
      </w:pPr>
    </w:p>
    <w:p w:rsidR="007448B6" w:rsidRDefault="007448B6" w:rsidP="009F4F22">
      <w:pPr>
        <w:pStyle w:val="StandaardSV"/>
      </w:pPr>
    </w:p>
    <w:p w:rsidR="008948D8" w:rsidRPr="000E3660" w:rsidRDefault="000E3660" w:rsidP="009F4F22">
      <w:pPr>
        <w:pStyle w:val="Lijstalinea"/>
        <w:numPr>
          <w:ilvl w:val="0"/>
          <w:numId w:val="44"/>
        </w:numPr>
        <w:jc w:val="both"/>
        <w:rPr>
          <w:u w:val="single"/>
        </w:rPr>
      </w:pPr>
      <w:r w:rsidRPr="000E3660">
        <w:rPr>
          <w:sz w:val="22"/>
          <w:szCs w:val="22"/>
          <w:u w:val="single"/>
        </w:rPr>
        <w:t>Overzicht van de bijsturingen</w:t>
      </w:r>
    </w:p>
    <w:p w:rsidR="000E3660" w:rsidRDefault="000E3660" w:rsidP="009F4F22">
      <w:pPr>
        <w:pStyle w:val="StandaardSV"/>
        <w:ind w:left="360" w:firstLine="348"/>
      </w:pPr>
    </w:p>
    <w:p w:rsidR="008948D8" w:rsidRPr="000E3660" w:rsidRDefault="000E3660" w:rsidP="009F4F22">
      <w:pPr>
        <w:pStyle w:val="StandaardSV"/>
        <w:ind w:left="360" w:firstLine="348"/>
        <w:rPr>
          <w:i/>
        </w:rPr>
      </w:pPr>
      <w:r w:rsidRPr="000E3660">
        <w:rPr>
          <w:i/>
        </w:rPr>
        <w:t>de doelgroep</w:t>
      </w:r>
    </w:p>
    <w:p w:rsidR="006A535A" w:rsidRDefault="006A535A" w:rsidP="009F4F22">
      <w:pPr>
        <w:pStyle w:val="StandaardSV"/>
      </w:pPr>
    </w:p>
    <w:p w:rsidR="006A535A" w:rsidRPr="000E3660" w:rsidRDefault="006A535A" w:rsidP="009F4F22">
      <w:pPr>
        <w:pStyle w:val="StandaardSV"/>
        <w:ind w:left="644"/>
      </w:pPr>
      <w:r w:rsidRPr="000E3660">
        <w:t>De bedrijfssteun blijft een open regeling die toelaat een grote variëteit van bedrijven en projecten te steunen.  Aan dit principe wordt niet geraakt.  Toch is het nuttig om binnen deze regeling een aantal accenten te leggen voor bepaalde combinaties van bedrijf en project. Bedrijven worden daarbij niet ondergebracht in een specifiek vakje.  Het is ook niet IWT dat bepaalt waar het project van een bedrijf thuishoort, maar het bedrijf kiest zelf het kader dat best past bij het project dat het indient.</w:t>
      </w:r>
    </w:p>
    <w:p w:rsidR="006A535A" w:rsidRPr="000E3660" w:rsidRDefault="006A535A" w:rsidP="009F4F22">
      <w:pPr>
        <w:pStyle w:val="Lijstalinea"/>
        <w:spacing w:line="300" w:lineRule="exact"/>
        <w:ind w:left="928" w:right="369"/>
        <w:jc w:val="both"/>
      </w:pPr>
    </w:p>
    <w:p w:rsidR="006A535A" w:rsidRPr="000E3660" w:rsidRDefault="006A535A" w:rsidP="009F4F22">
      <w:pPr>
        <w:pStyle w:val="Lijstalinea"/>
        <w:ind w:right="369"/>
        <w:jc w:val="both"/>
      </w:pPr>
      <w:r w:rsidRPr="000E3660">
        <w:t>Bij de differentiatie wordt onderscheid gemaakt tussen :</w:t>
      </w:r>
    </w:p>
    <w:p w:rsidR="006A535A" w:rsidRPr="000E3660" w:rsidRDefault="006A535A" w:rsidP="009F4F22">
      <w:pPr>
        <w:pStyle w:val="Lijstalinea"/>
        <w:numPr>
          <w:ilvl w:val="0"/>
          <w:numId w:val="29"/>
        </w:numPr>
        <w:ind w:left="1068" w:right="369"/>
        <w:jc w:val="both"/>
      </w:pPr>
      <w:r w:rsidRPr="000E3660">
        <w:t>projectmatige O&amp;O</w:t>
      </w:r>
    </w:p>
    <w:p w:rsidR="006A535A" w:rsidRPr="000E3660" w:rsidRDefault="006A535A" w:rsidP="009F4F22">
      <w:pPr>
        <w:pStyle w:val="Lijstalinea"/>
        <w:numPr>
          <w:ilvl w:val="0"/>
          <w:numId w:val="29"/>
        </w:numPr>
        <w:ind w:left="1068" w:right="369"/>
        <w:jc w:val="both"/>
      </w:pPr>
      <w:proofErr w:type="spellStart"/>
      <w:r w:rsidRPr="000E3660">
        <w:t>kmo</w:t>
      </w:r>
      <w:proofErr w:type="spellEnd"/>
      <w:r w:rsidRPr="000E3660">
        <w:t xml:space="preserve">-programma: </w:t>
      </w:r>
      <w:proofErr w:type="spellStart"/>
      <w:r w:rsidRPr="000E3660">
        <w:t>kmo</w:t>
      </w:r>
      <w:proofErr w:type="spellEnd"/>
      <w:r w:rsidRPr="000E3660">
        <w:t xml:space="preserve">-haalbaarheidsstudies en </w:t>
      </w:r>
      <w:proofErr w:type="spellStart"/>
      <w:r w:rsidRPr="000E3660">
        <w:t>kmo</w:t>
      </w:r>
      <w:proofErr w:type="spellEnd"/>
      <w:r w:rsidRPr="000E3660">
        <w:t>-innovatieprojecten (met verkorte procedure)</w:t>
      </w:r>
    </w:p>
    <w:p w:rsidR="006A535A" w:rsidRPr="000E3660" w:rsidRDefault="006A535A" w:rsidP="009F4F22">
      <w:pPr>
        <w:pStyle w:val="Lijstalinea"/>
        <w:numPr>
          <w:ilvl w:val="0"/>
          <w:numId w:val="29"/>
        </w:numPr>
        <w:ind w:left="1068" w:right="369"/>
        <w:jc w:val="both"/>
      </w:pPr>
      <w:r w:rsidRPr="000E3660">
        <w:t xml:space="preserve">sprint-projecten voor bedrijven met innovatiepotentieel die geen </w:t>
      </w:r>
      <w:proofErr w:type="spellStart"/>
      <w:r w:rsidRPr="000E3660">
        <w:t>kmo</w:t>
      </w:r>
      <w:proofErr w:type="spellEnd"/>
      <w:r w:rsidRPr="000E3660">
        <w:t xml:space="preserve"> zijn (met verkorte procedure)</w:t>
      </w:r>
    </w:p>
    <w:p w:rsidR="006A535A" w:rsidRPr="000E3660" w:rsidRDefault="006A535A" w:rsidP="009F4F22">
      <w:pPr>
        <w:pStyle w:val="Lijstalinea"/>
        <w:numPr>
          <w:ilvl w:val="0"/>
          <w:numId w:val="29"/>
        </w:numPr>
        <w:ind w:left="1068" w:right="369"/>
        <w:jc w:val="both"/>
      </w:pPr>
      <w:r w:rsidRPr="000E3660">
        <w:t>projecten van jonge kapitaal- en O&amp;O-intensieve groeiondernemingen</w:t>
      </w:r>
    </w:p>
    <w:p w:rsidR="006A535A" w:rsidRPr="000E3660" w:rsidRDefault="006A535A" w:rsidP="009F4F22">
      <w:pPr>
        <w:pStyle w:val="Lijstalinea"/>
        <w:numPr>
          <w:ilvl w:val="0"/>
          <w:numId w:val="29"/>
        </w:numPr>
        <w:ind w:left="1068" w:right="369"/>
        <w:jc w:val="both"/>
      </w:pPr>
      <w:r w:rsidRPr="000E3660">
        <w:t>strategische projecten van internationaal opererende bedrijven met een permanent O&amp;O-centrum in Vlaanderen</w:t>
      </w:r>
    </w:p>
    <w:p w:rsidR="006A535A" w:rsidRPr="000E3660" w:rsidRDefault="006A535A" w:rsidP="009F4F22">
      <w:pPr>
        <w:pStyle w:val="Lijstalinea"/>
        <w:numPr>
          <w:ilvl w:val="0"/>
          <w:numId w:val="29"/>
        </w:numPr>
        <w:ind w:left="1068" w:right="369"/>
        <w:jc w:val="both"/>
      </w:pPr>
      <w:r w:rsidRPr="000E3660">
        <w:t>innovatiediffusie - ondersteunen van innovatievolgers en –gebruikers</w:t>
      </w:r>
    </w:p>
    <w:p w:rsidR="006A535A" w:rsidRPr="000E3660" w:rsidRDefault="006A535A" w:rsidP="009F4F22">
      <w:pPr>
        <w:pStyle w:val="StandaardSV"/>
        <w:ind w:left="644"/>
      </w:pPr>
    </w:p>
    <w:p w:rsidR="006A535A" w:rsidRPr="000E3660" w:rsidRDefault="006A535A" w:rsidP="009F4F22">
      <w:pPr>
        <w:pStyle w:val="StandaardSV"/>
        <w:ind w:left="644"/>
      </w:pPr>
    </w:p>
    <w:p w:rsidR="008948D8" w:rsidRDefault="008948D8" w:rsidP="009F4F22">
      <w:pPr>
        <w:pStyle w:val="StandaardSV"/>
        <w:ind w:left="360" w:firstLine="284"/>
      </w:pPr>
      <w:r w:rsidRPr="000E3660">
        <w:rPr>
          <w:i/>
        </w:rPr>
        <w:t>de steunpercentages</w:t>
      </w:r>
    </w:p>
    <w:p w:rsidR="006A535A" w:rsidRDefault="006A535A" w:rsidP="009F4F22">
      <w:pPr>
        <w:pStyle w:val="StandaardSV"/>
        <w:ind w:left="284"/>
        <w:rPr>
          <w:i/>
          <w:color w:val="FF0000"/>
        </w:rPr>
      </w:pPr>
    </w:p>
    <w:p w:rsidR="006A535A" w:rsidRPr="000E3660" w:rsidRDefault="006A535A" w:rsidP="009F4F22">
      <w:pPr>
        <w:pStyle w:val="StandaardSV"/>
        <w:ind w:left="644"/>
      </w:pPr>
      <w:r w:rsidRPr="000E3660">
        <w:t>Rekening houdend met de vraag naar een eenvoudig systeem dat bovendien de waardevolle projecten voldoende steun geeft, worden de maximale steunpercentages gehanteerd zoals die in het O&amp;O-besluit zijn voorzien.  D</w:t>
      </w:r>
      <w:r w:rsidR="00EA4797">
        <w:t>i</w:t>
      </w:r>
      <w:r w:rsidRPr="000E3660">
        <w:t>t betekent :</w:t>
      </w:r>
    </w:p>
    <w:p w:rsidR="006A535A" w:rsidRPr="000E3660" w:rsidRDefault="006A535A" w:rsidP="009F4F22">
      <w:pPr>
        <w:pStyle w:val="Lijstalinea"/>
        <w:numPr>
          <w:ilvl w:val="0"/>
          <w:numId w:val="30"/>
        </w:numPr>
        <w:tabs>
          <w:tab w:val="left" w:pos="10065"/>
        </w:tabs>
        <w:spacing w:line="300" w:lineRule="exact"/>
        <w:ind w:left="1648" w:right="369"/>
        <w:jc w:val="both"/>
      </w:pPr>
      <w:r w:rsidRPr="000E3660">
        <w:t>25% voor ontwikkeling en 50% voor onderzoek;</w:t>
      </w:r>
    </w:p>
    <w:p w:rsidR="006A535A" w:rsidRPr="000E3660" w:rsidRDefault="006A535A" w:rsidP="009F4F22">
      <w:pPr>
        <w:pStyle w:val="Lijstalinea"/>
        <w:numPr>
          <w:ilvl w:val="0"/>
          <w:numId w:val="30"/>
        </w:numPr>
        <w:tabs>
          <w:tab w:val="left" w:pos="10065"/>
        </w:tabs>
        <w:spacing w:line="300" w:lineRule="exact"/>
        <w:ind w:left="1648" w:right="369"/>
        <w:jc w:val="both"/>
      </w:pPr>
      <w:r w:rsidRPr="000E3660">
        <w:t>20% extra voor kleine ondernemingen en 10% extra voor middelgrote ondernemingen;</w:t>
      </w:r>
    </w:p>
    <w:p w:rsidR="006A535A" w:rsidRPr="000E3660" w:rsidRDefault="006A535A" w:rsidP="009F4F22">
      <w:pPr>
        <w:pStyle w:val="Lijstalinea"/>
        <w:numPr>
          <w:ilvl w:val="0"/>
          <w:numId w:val="30"/>
        </w:numPr>
        <w:tabs>
          <w:tab w:val="left" w:pos="10065"/>
        </w:tabs>
        <w:spacing w:line="300" w:lineRule="exact"/>
        <w:ind w:left="1648" w:right="369"/>
        <w:jc w:val="both"/>
      </w:pPr>
      <w:r w:rsidRPr="000E3660">
        <w:t xml:space="preserve">10% extra voor substantiële samenwerking tussen bedrijven (met een </w:t>
      </w:r>
      <w:proofErr w:type="spellStart"/>
      <w:r w:rsidRPr="000E3660">
        <w:t>kmo</w:t>
      </w:r>
      <w:proofErr w:type="spellEnd"/>
      <w:r w:rsidRPr="000E3660">
        <w:t xml:space="preserve"> of internationaal)</w:t>
      </w:r>
    </w:p>
    <w:p w:rsidR="006A535A" w:rsidRPr="000E3660" w:rsidRDefault="006A535A" w:rsidP="009F4F22">
      <w:pPr>
        <w:pStyle w:val="StandaardSV"/>
        <w:ind w:left="644"/>
      </w:pPr>
      <w:r w:rsidRPr="000E3660">
        <w:t xml:space="preserve">Het </w:t>
      </w:r>
      <w:r w:rsidR="00EA4797">
        <w:t xml:space="preserve">gecumuleerde </w:t>
      </w:r>
      <w:r w:rsidRPr="000E3660">
        <w:t>steunpercentage blijft echter beperkt tot max. 60%.</w:t>
      </w:r>
    </w:p>
    <w:p w:rsidR="006A535A" w:rsidRPr="000E3660" w:rsidRDefault="006A535A" w:rsidP="009F4F22">
      <w:pPr>
        <w:pStyle w:val="StandaardSV"/>
        <w:ind w:left="644"/>
      </w:pPr>
    </w:p>
    <w:p w:rsidR="006A535A" w:rsidRPr="000E3660" w:rsidRDefault="006A535A" w:rsidP="009F4F22">
      <w:pPr>
        <w:pStyle w:val="StandaardSV"/>
        <w:ind w:left="644"/>
      </w:pPr>
      <w:r w:rsidRPr="000E3660">
        <w:t xml:space="preserve">Ten opzichte van de huidige situatie betekent dit dat geen onderscheid meer zal gemaakt worden voor de projecten die gericht waren op bepaalde sectoren (lucht- en ruimtevaart of automobiel), </w:t>
      </w:r>
      <w:r w:rsidR="003C7B36">
        <w:t xml:space="preserve">voor projecten in </w:t>
      </w:r>
      <w:r w:rsidRPr="000E3660">
        <w:t>samenwerking met onderzoeksinstellingen of met</w:t>
      </w:r>
      <w:r w:rsidR="003C7B36">
        <w:t xml:space="preserve"> Duurzame Technologische Ontwikkelingen (</w:t>
      </w:r>
      <w:r w:rsidRPr="000E3660">
        <w:t>DTO</w:t>
      </w:r>
      <w:r w:rsidR="003C7B36">
        <w:t>)</w:t>
      </w:r>
      <w:r w:rsidRPr="000E3660">
        <w:t>.  Alle projecten krijgen nu he</w:t>
      </w:r>
      <w:r w:rsidR="008F00B3">
        <w:t xml:space="preserve">tzelfde, hogere steunpercentage en duurzaamheid en samenwerking worden voortaan sterker ingebouwd in de selectiecriteria.  </w:t>
      </w:r>
    </w:p>
    <w:p w:rsidR="008F00B3" w:rsidRDefault="008F00B3" w:rsidP="009F4F22">
      <w:pPr>
        <w:pStyle w:val="StandaardSV"/>
        <w:ind w:left="720"/>
      </w:pPr>
    </w:p>
    <w:p w:rsidR="008F00B3" w:rsidRDefault="008F00B3" w:rsidP="009F4F22">
      <w:pPr>
        <w:pStyle w:val="StandaardSV"/>
        <w:ind w:left="720"/>
      </w:pPr>
    </w:p>
    <w:p w:rsidR="008948D8" w:rsidRPr="008F00B3" w:rsidRDefault="008F00B3" w:rsidP="009F4F22">
      <w:pPr>
        <w:pStyle w:val="StandaardSV"/>
        <w:ind w:left="720"/>
        <w:rPr>
          <w:i/>
        </w:rPr>
      </w:pPr>
      <w:r w:rsidRPr="008F00B3">
        <w:rPr>
          <w:i/>
        </w:rPr>
        <w:t>de selectiecriteria</w:t>
      </w:r>
    </w:p>
    <w:p w:rsidR="006A535A" w:rsidRDefault="006A535A" w:rsidP="009F4F22">
      <w:pPr>
        <w:pStyle w:val="StandaardSV"/>
      </w:pPr>
    </w:p>
    <w:p w:rsidR="006A535A" w:rsidRPr="008F00B3" w:rsidRDefault="006A535A" w:rsidP="009F4F22">
      <w:pPr>
        <w:pStyle w:val="StandaardSV"/>
        <w:ind w:left="708"/>
      </w:pPr>
      <w:r w:rsidRPr="008F00B3">
        <w:t xml:space="preserve">Het selectiemechanisme is gebaseerd op een evaluatie van de kwaliteit van het project en de verwachte impact van de projectresultaten voor het bedrijf en in de ruimere context voor Vlaanderen.  De criteria worden </w:t>
      </w:r>
      <w:r w:rsidR="00EA4797" w:rsidRPr="008F00B3">
        <w:t xml:space="preserve">gedifferentieerd </w:t>
      </w:r>
      <w:r w:rsidRPr="008F00B3">
        <w:t xml:space="preserve">ingevuld in functie van de aard van het bedrijf en het project. </w:t>
      </w:r>
    </w:p>
    <w:p w:rsidR="006A535A" w:rsidRPr="008F00B3" w:rsidRDefault="006A535A" w:rsidP="009F4F22">
      <w:pPr>
        <w:pStyle w:val="StandaardSV"/>
        <w:ind w:left="708"/>
      </w:pPr>
    </w:p>
    <w:p w:rsidR="006A535A" w:rsidRPr="008F00B3" w:rsidRDefault="006A535A" w:rsidP="009F4F22">
      <w:pPr>
        <w:pStyle w:val="StandaardSV"/>
        <w:ind w:left="708"/>
      </w:pPr>
      <w:r w:rsidRPr="008F00B3">
        <w:lastRenderedPageBreak/>
        <w:t>De kwaliteit wordt beoordeeld op</w:t>
      </w:r>
      <w:r w:rsidR="003C7B36">
        <w:t xml:space="preserve"> basis van</w:t>
      </w:r>
      <w:r w:rsidRPr="008F00B3">
        <w:t xml:space="preserve"> drie criteria : de kennissprong en uitdagingen, de kwaliteit van de uitvoering en de expertise en middelen.  Als een aanvraag op één van deze </w:t>
      </w:r>
      <w:r w:rsidR="003C7B36">
        <w:t>criteria</w:t>
      </w:r>
      <w:r w:rsidRPr="008F00B3">
        <w:t xml:space="preserve"> geen goede kwaliteit haalt, komt </w:t>
      </w:r>
      <w:r w:rsidR="003C7B36">
        <w:t>ze</w:t>
      </w:r>
      <w:r w:rsidRPr="008F00B3">
        <w:t xml:space="preserve"> niet voor steun in aanmerking.</w:t>
      </w:r>
    </w:p>
    <w:p w:rsidR="006A535A" w:rsidRPr="008F00B3" w:rsidRDefault="006A535A" w:rsidP="009F4F22">
      <w:pPr>
        <w:pStyle w:val="StandaardSV"/>
        <w:ind w:left="708"/>
      </w:pPr>
    </w:p>
    <w:p w:rsidR="006A535A" w:rsidRPr="008F00B3" w:rsidRDefault="006A535A" w:rsidP="009F4F22">
      <w:pPr>
        <w:pStyle w:val="StandaardSV"/>
        <w:ind w:left="708"/>
      </w:pPr>
      <w:r w:rsidRPr="008F00B3">
        <w:t xml:space="preserve">De impact wordt bekeken vanuit het standpunt van het bedrijf en vanuit het standpunt van Vlaanderen. </w:t>
      </w:r>
    </w:p>
    <w:p w:rsidR="006A535A" w:rsidRPr="008F00B3" w:rsidRDefault="006A535A" w:rsidP="009F4F22">
      <w:pPr>
        <w:pStyle w:val="StandaardSV"/>
        <w:ind w:left="708"/>
      </w:pPr>
      <w:r w:rsidRPr="008F00B3">
        <w:t xml:space="preserve">Potentieel wil zeggen dat rekening wordt gehouden met de inherente risico’s van innovatieprojecten, inclusief het (deels) mislukken van het project. </w:t>
      </w:r>
    </w:p>
    <w:p w:rsidR="006A535A" w:rsidRPr="008F00B3" w:rsidRDefault="006A535A" w:rsidP="009F4F22">
      <w:pPr>
        <w:pStyle w:val="StandaardSV"/>
        <w:ind w:left="708"/>
      </w:pPr>
    </w:p>
    <w:p w:rsidR="006A535A" w:rsidRPr="008F00B3" w:rsidRDefault="006A535A" w:rsidP="009F4F22">
      <w:pPr>
        <w:pStyle w:val="StandaardSV"/>
        <w:ind w:left="708"/>
      </w:pPr>
      <w:r w:rsidRPr="008F00B3">
        <w:t xml:space="preserve">Vermits de aanvragen binnen één budgetenveloppe zullen beoordeeld worden, wordt voor alle aanvragen deze uniforme set van criteria gebruikt. De bedrijven en hun projecten verschillen echter sterk, zodat de beoordeling van de criteria moet worden gedifferentieerd in functie van een realistisch verwachtingspatroon. Bijvoorbeeld aan een haalbaarheidsstudie van een startende </w:t>
      </w:r>
      <w:proofErr w:type="spellStart"/>
      <w:r w:rsidRPr="008F00B3">
        <w:t>kmo</w:t>
      </w:r>
      <w:proofErr w:type="spellEnd"/>
      <w:r w:rsidRPr="008F00B3">
        <w:t xml:space="preserve"> zullen andere eisen gesteld worden dan aan een strategisch onderzoeksproject van een kennisintensief bedrijf.</w:t>
      </w:r>
    </w:p>
    <w:p w:rsidR="006A535A" w:rsidRPr="008F00B3" w:rsidRDefault="006A535A" w:rsidP="009F4F22">
      <w:pPr>
        <w:pStyle w:val="StandaardSV"/>
        <w:ind w:left="708"/>
      </w:pPr>
    </w:p>
    <w:p w:rsidR="006A535A" w:rsidRDefault="006A535A" w:rsidP="009F4F22">
      <w:pPr>
        <w:pStyle w:val="StandaardSV"/>
      </w:pPr>
    </w:p>
    <w:p w:rsidR="008948D8" w:rsidRPr="00A0017E" w:rsidRDefault="008948D8" w:rsidP="009F4F22">
      <w:pPr>
        <w:pStyle w:val="StandaardSV"/>
        <w:ind w:left="720"/>
      </w:pPr>
      <w:r w:rsidRPr="008F00B3">
        <w:rPr>
          <w:i/>
        </w:rPr>
        <w:t>de in aanmerking komende projecten</w:t>
      </w:r>
    </w:p>
    <w:p w:rsidR="006A535A" w:rsidRDefault="006A535A" w:rsidP="009F4F22">
      <w:pPr>
        <w:pStyle w:val="StandaardSV"/>
      </w:pPr>
    </w:p>
    <w:p w:rsidR="00E25A62" w:rsidRPr="006A535A" w:rsidRDefault="00E25A62" w:rsidP="009F4F22">
      <w:pPr>
        <w:pStyle w:val="StandaardSV"/>
        <w:ind w:left="708"/>
        <w:rPr>
          <w:i/>
          <w:color w:val="FF0000"/>
        </w:rPr>
      </w:pPr>
      <w:r w:rsidRPr="008F00B3">
        <w:t>De steun aan bedrijven is een permanent open regeling, waarbij projecten worden ingediend op initiatief van de bedrijven, zonder beperkingen qua onderwerp en timing.  Dit principe wordt aangehouden</w:t>
      </w:r>
      <w:r w:rsidRPr="006A535A">
        <w:rPr>
          <w:i/>
          <w:color w:val="FF0000"/>
        </w:rPr>
        <w:t>.</w:t>
      </w:r>
    </w:p>
    <w:p w:rsidR="00E25A62" w:rsidRDefault="00E25A62" w:rsidP="009F4F22">
      <w:pPr>
        <w:pStyle w:val="StandaardSV"/>
      </w:pPr>
    </w:p>
    <w:p w:rsidR="006A535A" w:rsidRDefault="006A535A" w:rsidP="009F4F22">
      <w:pPr>
        <w:pStyle w:val="StandaardSV"/>
      </w:pPr>
    </w:p>
    <w:p w:rsidR="008948D8" w:rsidRDefault="008948D8" w:rsidP="009F4F22">
      <w:pPr>
        <w:pStyle w:val="StandaardSV"/>
        <w:ind w:firstLine="708"/>
      </w:pPr>
      <w:r w:rsidRPr="000A67FE">
        <w:rPr>
          <w:i/>
        </w:rPr>
        <w:t>de administratieve modaliteiten</w:t>
      </w:r>
    </w:p>
    <w:p w:rsidR="006A535A" w:rsidRPr="006A535A" w:rsidRDefault="006A535A" w:rsidP="009F4F22">
      <w:pPr>
        <w:pStyle w:val="Lijstalinea"/>
        <w:spacing w:line="300" w:lineRule="exact"/>
        <w:ind w:left="284" w:right="369"/>
        <w:jc w:val="both"/>
        <w:rPr>
          <w:i/>
          <w:color w:val="FF0000"/>
        </w:rPr>
      </w:pPr>
    </w:p>
    <w:p w:rsidR="006A535A" w:rsidRPr="000A67FE" w:rsidRDefault="006A535A" w:rsidP="009F4F22">
      <w:pPr>
        <w:pStyle w:val="StandaardSV"/>
        <w:ind w:left="708"/>
      </w:pPr>
      <w:r w:rsidRPr="000A67FE">
        <w:t>Om de selectie te kunnen uitvoeren, is er een proces met drie essentiële kenmerken :</w:t>
      </w:r>
    </w:p>
    <w:p w:rsidR="006A535A" w:rsidRPr="000A67FE" w:rsidRDefault="006A535A" w:rsidP="009F4F22">
      <w:pPr>
        <w:pStyle w:val="StandaardSV"/>
        <w:numPr>
          <w:ilvl w:val="0"/>
          <w:numId w:val="39"/>
        </w:numPr>
        <w:ind w:left="1068"/>
      </w:pPr>
      <w:r w:rsidRPr="000A67FE">
        <w:t>de aanvrager kan overleggen met IWT-adviseurs, ook na indiening van de aanvraag;</w:t>
      </w:r>
    </w:p>
    <w:p w:rsidR="006A535A" w:rsidRPr="000A67FE" w:rsidRDefault="006A535A" w:rsidP="009F4F22">
      <w:pPr>
        <w:pStyle w:val="StandaardSV"/>
        <w:numPr>
          <w:ilvl w:val="0"/>
          <w:numId w:val="39"/>
        </w:numPr>
        <w:ind w:left="1068"/>
      </w:pPr>
      <w:r w:rsidRPr="000A67FE">
        <w:t>het IWT schakelt altijd externe deskundigen in;</w:t>
      </w:r>
    </w:p>
    <w:p w:rsidR="006A535A" w:rsidRPr="000A67FE" w:rsidRDefault="006A535A" w:rsidP="009F4F22">
      <w:pPr>
        <w:pStyle w:val="StandaardSV"/>
        <w:numPr>
          <w:ilvl w:val="0"/>
          <w:numId w:val="39"/>
        </w:numPr>
        <w:ind w:left="1068"/>
      </w:pPr>
      <w:r w:rsidRPr="000A67FE">
        <w:t>de eindverantwoordelijkheid voor de steunbeslissing ligt bij de raad van bestuur.</w:t>
      </w:r>
    </w:p>
    <w:p w:rsidR="006A535A" w:rsidRPr="000A67FE" w:rsidRDefault="006A535A" w:rsidP="009F4F22">
      <w:pPr>
        <w:pStyle w:val="Lijstalinea"/>
        <w:spacing w:line="300" w:lineRule="exact"/>
        <w:ind w:left="1134" w:right="369" w:hanging="142"/>
        <w:jc w:val="both"/>
      </w:pPr>
    </w:p>
    <w:p w:rsidR="006A535A" w:rsidRPr="000A67FE" w:rsidRDefault="006A535A" w:rsidP="009F4F22">
      <w:pPr>
        <w:pStyle w:val="StandaardSV"/>
        <w:ind w:left="708"/>
      </w:pPr>
      <w:r w:rsidRPr="000A67FE">
        <w:t>Deze aanpak wordt onverkort behouden.  De laatste twee punten zijn trouwens wettelijk verankerd.</w:t>
      </w:r>
    </w:p>
    <w:p w:rsidR="006A535A" w:rsidRPr="000A67FE" w:rsidRDefault="006A535A" w:rsidP="009F4F22">
      <w:pPr>
        <w:pStyle w:val="Lijstalinea"/>
        <w:spacing w:line="300" w:lineRule="exact"/>
        <w:ind w:left="1134" w:right="369" w:hanging="142"/>
        <w:jc w:val="both"/>
      </w:pPr>
    </w:p>
    <w:p w:rsidR="006A535A" w:rsidRPr="000A67FE" w:rsidRDefault="006A535A" w:rsidP="009F4F22">
      <w:pPr>
        <w:pStyle w:val="StandaardSV"/>
        <w:ind w:left="708"/>
      </w:pPr>
      <w:r w:rsidRPr="000A67FE">
        <w:t xml:space="preserve">Om de doorlooptijden en de administratieve last </w:t>
      </w:r>
      <w:r w:rsidR="00067D53">
        <w:t>verder te verminderen</w:t>
      </w:r>
      <w:r w:rsidRPr="000A67FE">
        <w:t>, worden vereenvoudigingen ingevoerd volgens de volgende lijnen :</w:t>
      </w:r>
    </w:p>
    <w:p w:rsidR="006A535A" w:rsidRPr="000A67FE" w:rsidRDefault="006A535A" w:rsidP="009F4F22">
      <w:pPr>
        <w:pStyle w:val="Lijstalinea"/>
        <w:numPr>
          <w:ilvl w:val="0"/>
          <w:numId w:val="32"/>
        </w:numPr>
        <w:ind w:left="1711" w:right="369" w:hanging="357"/>
        <w:jc w:val="both"/>
      </w:pPr>
      <w:r w:rsidRPr="000A67FE">
        <w:t>waar op eenduidige gronden blijkt dat de aanvraag geen kans maakt op een positieve afwikkeling, zal met een snellere verkorte procedure gewerkt worden, wel altijd met inschakeling van deskundigen;</w:t>
      </w:r>
    </w:p>
    <w:p w:rsidR="006A535A" w:rsidRPr="000A67FE" w:rsidRDefault="006A535A" w:rsidP="009F4F22">
      <w:pPr>
        <w:pStyle w:val="Lijstalinea"/>
        <w:numPr>
          <w:ilvl w:val="0"/>
          <w:numId w:val="32"/>
        </w:numPr>
        <w:ind w:left="1711" w:right="369" w:hanging="357"/>
        <w:jc w:val="both"/>
      </w:pPr>
      <w:r w:rsidRPr="000A67FE">
        <w:t xml:space="preserve">in lijn van wat nu reeds gebeurt voor de </w:t>
      </w:r>
      <w:proofErr w:type="spellStart"/>
      <w:r w:rsidRPr="000A67FE">
        <w:t>kmo</w:t>
      </w:r>
      <w:proofErr w:type="spellEnd"/>
      <w:r w:rsidRPr="000A67FE">
        <w:t>-regeling (</w:t>
      </w:r>
      <w:proofErr w:type="spellStart"/>
      <w:r w:rsidRPr="000A67FE">
        <w:t>kmo</w:t>
      </w:r>
      <w:proofErr w:type="spellEnd"/>
      <w:r w:rsidRPr="000A67FE">
        <w:t xml:space="preserve">-haalbaarheidsstudies en </w:t>
      </w:r>
      <w:proofErr w:type="spellStart"/>
      <w:r w:rsidRPr="000A67FE">
        <w:t>kmo</w:t>
      </w:r>
      <w:proofErr w:type="spellEnd"/>
      <w:r w:rsidRPr="000A67FE">
        <w:t>-innovatie</w:t>
      </w:r>
      <w:r w:rsidRPr="000A67FE">
        <w:softHyphen/>
        <w:t>projecten) worden de procedures gedifferentieerd.</w:t>
      </w:r>
    </w:p>
    <w:p w:rsidR="006A535A" w:rsidRPr="000A67FE" w:rsidRDefault="006A535A" w:rsidP="009F4F22">
      <w:pPr>
        <w:pStyle w:val="Lijstalinea"/>
        <w:spacing w:line="300" w:lineRule="exact"/>
        <w:ind w:left="992" w:right="369"/>
        <w:jc w:val="both"/>
      </w:pPr>
    </w:p>
    <w:p w:rsidR="006A535A" w:rsidRPr="006A535A" w:rsidRDefault="006A535A" w:rsidP="009F4F22">
      <w:pPr>
        <w:pStyle w:val="StandaardSV"/>
        <w:ind w:left="708"/>
        <w:rPr>
          <w:i/>
          <w:color w:val="FF0000"/>
        </w:rPr>
      </w:pPr>
      <w:r w:rsidRPr="000A67FE">
        <w:t>Dit w</w:t>
      </w:r>
      <w:r w:rsidR="000A67FE">
        <w:t>erd</w:t>
      </w:r>
      <w:r w:rsidRPr="000A67FE">
        <w:t xml:space="preserve"> meegenomen in een grondige doorlichting van de volledige procedure.  Daarbij worden aspecten behandeld zoals : welke informatie is nodig, hoe wordt die bekomen, hoe verloopt de interactie met de aanvragers en hoe verloopt de terugkoppeling</w:t>
      </w:r>
      <w:r w:rsidRPr="006A535A">
        <w:rPr>
          <w:i/>
          <w:color w:val="FF0000"/>
        </w:rPr>
        <w:t xml:space="preserve">.  </w:t>
      </w:r>
    </w:p>
    <w:p w:rsidR="007448B6" w:rsidRDefault="007448B6" w:rsidP="009F4F22">
      <w:pPr>
        <w:pStyle w:val="StandaardSV"/>
        <w:ind w:left="720"/>
      </w:pPr>
    </w:p>
    <w:p w:rsidR="007448B6" w:rsidRPr="000A67FE" w:rsidRDefault="007448B6" w:rsidP="009F4F22">
      <w:pPr>
        <w:pStyle w:val="StandaardSV"/>
        <w:ind w:left="360" w:firstLine="348"/>
      </w:pPr>
      <w:r w:rsidRPr="000A67FE">
        <w:t xml:space="preserve">Het juridisch kader </w:t>
      </w:r>
      <w:r w:rsidR="000A67FE">
        <w:t xml:space="preserve">voor de bedrijfssteun </w:t>
      </w:r>
      <w:r w:rsidRPr="000A67FE">
        <w:t>is ongewijzigd.</w:t>
      </w:r>
    </w:p>
    <w:p w:rsidR="007448B6" w:rsidRDefault="007448B6" w:rsidP="009F4F22">
      <w:pPr>
        <w:pStyle w:val="StandaardSV"/>
      </w:pPr>
    </w:p>
    <w:p w:rsidR="008948D8" w:rsidRDefault="008948D8" w:rsidP="009F4F22">
      <w:pPr>
        <w:pStyle w:val="StandaardSV"/>
      </w:pPr>
    </w:p>
    <w:p w:rsidR="008948D8" w:rsidRPr="000A67FE" w:rsidRDefault="000A67FE" w:rsidP="009F4F22">
      <w:pPr>
        <w:pStyle w:val="StandaardSV"/>
        <w:numPr>
          <w:ilvl w:val="0"/>
          <w:numId w:val="44"/>
        </w:numPr>
        <w:rPr>
          <w:u w:val="single"/>
        </w:rPr>
      </w:pPr>
      <w:r w:rsidRPr="000A67FE">
        <w:rPr>
          <w:u w:val="single"/>
        </w:rPr>
        <w:t>O</w:t>
      </w:r>
      <w:r w:rsidR="008948D8" w:rsidRPr="000A67FE">
        <w:rPr>
          <w:u w:val="single"/>
        </w:rPr>
        <w:t xml:space="preserve">verzicht  van de grootste verschilpunten tussen de voorgaande regeling en de nieuwe regeling voor de steun </w:t>
      </w:r>
      <w:r w:rsidR="00D875BF" w:rsidRPr="000A67FE">
        <w:rPr>
          <w:u w:val="single"/>
        </w:rPr>
        <w:t>in het kader</w:t>
      </w:r>
      <w:r w:rsidR="008948D8" w:rsidRPr="000A67FE">
        <w:rPr>
          <w:u w:val="single"/>
        </w:rPr>
        <w:t xml:space="preserve"> van de O&amp;O-bedrijfsprojecten </w:t>
      </w:r>
    </w:p>
    <w:p w:rsidR="00E25A62" w:rsidRDefault="00E25A62" w:rsidP="009F4F22">
      <w:pPr>
        <w:pStyle w:val="StandaardSV"/>
      </w:pPr>
    </w:p>
    <w:p w:rsidR="00E25A62" w:rsidRPr="000A67FE" w:rsidRDefault="00E25A62" w:rsidP="009F4F22">
      <w:pPr>
        <w:pStyle w:val="StandaardSV"/>
        <w:numPr>
          <w:ilvl w:val="0"/>
          <w:numId w:val="49"/>
        </w:numPr>
        <w:ind w:left="720"/>
      </w:pPr>
      <w:r w:rsidRPr="000A67FE">
        <w:lastRenderedPageBreak/>
        <w:t>Er wordt meer nadruk gelegd  op differentiatie om beter in te spelen op de noden en verwachtingen van innovatieve bedrijven in Vlaanderen. Zo werd bijvoorbeeld  met het</w:t>
      </w:r>
      <w:r w:rsidR="008D190F" w:rsidRPr="000A67FE">
        <w:t xml:space="preserve"> sprint</w:t>
      </w:r>
      <w:r w:rsidRPr="000A67FE">
        <w:t>-programma een oplossing gezocht en gevonden voor de groep van niet-</w:t>
      </w:r>
      <w:proofErr w:type="spellStart"/>
      <w:r w:rsidR="008D190F" w:rsidRPr="000A67FE">
        <w:t>kmo</w:t>
      </w:r>
      <w:proofErr w:type="spellEnd"/>
      <w:r w:rsidRPr="000A67FE">
        <w:t xml:space="preserve">-bedrijven die echter op vlak van innovatiecapaciteit wel gelijk zijn aan </w:t>
      </w:r>
      <w:proofErr w:type="spellStart"/>
      <w:r w:rsidR="008D190F" w:rsidRPr="000A67FE">
        <w:t>kmo</w:t>
      </w:r>
      <w:proofErr w:type="spellEnd"/>
      <w:r w:rsidRPr="000A67FE">
        <w:t>-bedrijven. Ook werd een nieuwe aanpak ontwikkeld voor kapitaalintensieve groeiers en bedrijven met permanente R&amp;D-centra.</w:t>
      </w:r>
    </w:p>
    <w:p w:rsidR="00E25A62" w:rsidRPr="000A67FE" w:rsidRDefault="00E25A62" w:rsidP="009F4F22">
      <w:pPr>
        <w:pStyle w:val="StandaardSV"/>
        <w:numPr>
          <w:ilvl w:val="0"/>
          <w:numId w:val="49"/>
        </w:numPr>
        <w:ind w:left="720"/>
      </w:pPr>
      <w:r w:rsidRPr="000A67FE">
        <w:t>Nieuwe steunpercentages en afschaffen verhoogde steunpercentages voor beleidsprioriteiten</w:t>
      </w:r>
      <w:r w:rsidR="0064643F">
        <w:t>.</w:t>
      </w:r>
    </w:p>
    <w:p w:rsidR="00E25A62" w:rsidRPr="000A67FE" w:rsidRDefault="00E25A62" w:rsidP="009F4F22">
      <w:pPr>
        <w:pStyle w:val="StandaardSV"/>
        <w:numPr>
          <w:ilvl w:val="0"/>
          <w:numId w:val="49"/>
        </w:numPr>
        <w:ind w:left="720"/>
      </w:pPr>
      <w:r w:rsidRPr="000A67FE">
        <w:t>Nieuwe selectiecriteria , waarbij de invulling zal gediffe</w:t>
      </w:r>
      <w:r w:rsidR="000A67FE">
        <w:t>re</w:t>
      </w:r>
      <w:r w:rsidRPr="000A67FE">
        <w:t>ntieerd worden in functie van de aard van het bedrijf en het project</w:t>
      </w:r>
      <w:r w:rsidR="0064643F">
        <w:t>.</w:t>
      </w:r>
    </w:p>
    <w:p w:rsidR="00E25A62" w:rsidRPr="000A67FE" w:rsidRDefault="00E25A62" w:rsidP="009F4F22">
      <w:pPr>
        <w:pStyle w:val="StandaardSV"/>
        <w:numPr>
          <w:ilvl w:val="0"/>
          <w:numId w:val="49"/>
        </w:numPr>
        <w:ind w:left="720"/>
      </w:pPr>
      <w:r w:rsidRPr="000A67FE">
        <w:t xml:space="preserve">Voor het bepalen van de toegevoegde waarde wordt meer expliciet rekening gehouden met de maatschappelijke meerwaarde (DO) van een project en/of samenwerking met andere actoren  binnen het ecosysteem (verankering). </w:t>
      </w:r>
    </w:p>
    <w:p w:rsidR="00E25A62" w:rsidRPr="000A67FE" w:rsidRDefault="00E25A62" w:rsidP="009F4F22">
      <w:pPr>
        <w:pStyle w:val="StandaardSV"/>
        <w:ind w:left="1428"/>
      </w:pPr>
    </w:p>
    <w:p w:rsidR="00E25A62" w:rsidRDefault="000A67FE" w:rsidP="009F4F22">
      <w:pPr>
        <w:pStyle w:val="StandaardSV"/>
        <w:numPr>
          <w:ilvl w:val="0"/>
          <w:numId w:val="44"/>
        </w:numPr>
        <w:rPr>
          <w:u w:val="single"/>
        </w:rPr>
      </w:pPr>
      <w:r w:rsidRPr="000A67FE">
        <w:rPr>
          <w:u w:val="single"/>
        </w:rPr>
        <w:t>T</w:t>
      </w:r>
      <w:r w:rsidR="008948D8" w:rsidRPr="000A67FE">
        <w:rPr>
          <w:u w:val="single"/>
        </w:rPr>
        <w:t xml:space="preserve">oelichting geven bij de rationale achter de aanpassing op deze respectieve punten </w:t>
      </w:r>
    </w:p>
    <w:p w:rsidR="00681530" w:rsidRPr="000A67FE" w:rsidRDefault="00681530" w:rsidP="009F4F22">
      <w:pPr>
        <w:pStyle w:val="StandaardSV"/>
        <w:ind w:left="720"/>
        <w:rPr>
          <w:u w:val="single"/>
        </w:rPr>
      </w:pPr>
    </w:p>
    <w:p w:rsidR="00E25A62" w:rsidRPr="000A67FE" w:rsidRDefault="00E25A62" w:rsidP="009F4F22">
      <w:pPr>
        <w:pStyle w:val="StandaardSV"/>
        <w:numPr>
          <w:ilvl w:val="0"/>
          <w:numId w:val="50"/>
        </w:numPr>
      </w:pPr>
      <w:r w:rsidRPr="000A67FE">
        <w:t>Differentiatie: beter inspelen op noden en verwachtingen van innovatieve bedrijven in Vlaanderen</w:t>
      </w:r>
      <w:r w:rsidR="0064643F">
        <w:t>.</w:t>
      </w:r>
    </w:p>
    <w:p w:rsidR="00E25A62" w:rsidRPr="000A67FE" w:rsidRDefault="00E25A62" w:rsidP="009F4F22">
      <w:pPr>
        <w:pStyle w:val="StandaardSV"/>
        <w:numPr>
          <w:ilvl w:val="0"/>
          <w:numId w:val="50"/>
        </w:numPr>
      </w:pPr>
      <w:r w:rsidRPr="000A67FE">
        <w:t>Nieuw steunpercentage: vereenvoudigen en doo</w:t>
      </w:r>
      <w:r w:rsidR="0064643F">
        <w:t>rzichtiger maken voor bedrijven.</w:t>
      </w:r>
    </w:p>
    <w:p w:rsidR="00E25A62" w:rsidRPr="000A67FE" w:rsidRDefault="00E25A62" w:rsidP="009F4F22">
      <w:pPr>
        <w:pStyle w:val="StandaardSV"/>
        <w:numPr>
          <w:ilvl w:val="0"/>
          <w:numId w:val="50"/>
        </w:numPr>
      </w:pPr>
      <w:r w:rsidRPr="000A67FE">
        <w:t xml:space="preserve">Nieuwe selectiecriteria: vereenvoudigen en de selectie meer richten op </w:t>
      </w:r>
      <w:r w:rsidR="00681530">
        <w:t>potentiële impact</w:t>
      </w:r>
      <w:r w:rsidR="0064643F">
        <w:t>.</w:t>
      </w:r>
    </w:p>
    <w:p w:rsidR="00E25A62" w:rsidRPr="000A67FE" w:rsidRDefault="00E25A62" w:rsidP="009F4F22">
      <w:pPr>
        <w:pStyle w:val="StandaardSV"/>
        <w:numPr>
          <w:ilvl w:val="0"/>
          <w:numId w:val="50"/>
        </w:numPr>
      </w:pPr>
      <w:r w:rsidRPr="000A67FE">
        <w:t>Aanpassen berekening van toegevoegde waarde: bevorderen van samenwerking en sterker</w:t>
      </w:r>
      <w:r w:rsidR="00681530">
        <w:t>e</w:t>
      </w:r>
      <w:r w:rsidRPr="000A67FE">
        <w:t xml:space="preserve"> verankering van de be</w:t>
      </w:r>
      <w:r w:rsidR="0064643F">
        <w:t>drijven en kennis in Vlaanderen.</w:t>
      </w:r>
    </w:p>
    <w:p w:rsidR="008948D8" w:rsidRPr="000A67FE" w:rsidRDefault="008948D8" w:rsidP="009F4F22">
      <w:pPr>
        <w:pStyle w:val="StandaardSV"/>
      </w:pPr>
    </w:p>
    <w:p w:rsidR="007448B6" w:rsidRPr="00681530" w:rsidRDefault="00681530" w:rsidP="009F4F22">
      <w:pPr>
        <w:pStyle w:val="StandaardSV"/>
        <w:numPr>
          <w:ilvl w:val="0"/>
          <w:numId w:val="44"/>
        </w:numPr>
        <w:rPr>
          <w:u w:val="single"/>
        </w:rPr>
      </w:pPr>
      <w:r w:rsidRPr="00681530">
        <w:rPr>
          <w:u w:val="single"/>
        </w:rPr>
        <w:t>A</w:t>
      </w:r>
      <w:r w:rsidR="008948D8" w:rsidRPr="00681530">
        <w:rPr>
          <w:u w:val="single"/>
        </w:rPr>
        <w:t xml:space="preserve">anbevelingen uit het recente Rapport </w:t>
      </w:r>
      <w:proofErr w:type="spellStart"/>
      <w:r w:rsidR="008948D8" w:rsidRPr="00681530">
        <w:rPr>
          <w:u w:val="single"/>
        </w:rPr>
        <w:t>Soete</w:t>
      </w:r>
      <w:proofErr w:type="spellEnd"/>
      <w:r w:rsidR="008948D8" w:rsidRPr="00681530">
        <w:rPr>
          <w:u w:val="single"/>
        </w:rPr>
        <w:t xml:space="preserve"> </w:t>
      </w:r>
    </w:p>
    <w:p w:rsidR="00681530" w:rsidRDefault="00681530" w:rsidP="009F4F22">
      <w:pPr>
        <w:pStyle w:val="StandaardSV"/>
        <w:ind w:left="720"/>
      </w:pPr>
    </w:p>
    <w:p w:rsidR="00681530" w:rsidRDefault="007448B6" w:rsidP="002E3B44">
      <w:pPr>
        <w:pStyle w:val="StandaardSV"/>
        <w:ind w:left="709" w:hanging="1"/>
        <w:rPr>
          <w:bCs/>
        </w:rPr>
      </w:pPr>
      <w:r w:rsidRPr="00681530">
        <w:t xml:space="preserve">De hervorming pikt in op de analyses van het rapport </w:t>
      </w:r>
      <w:proofErr w:type="spellStart"/>
      <w:r w:rsidRPr="00681530">
        <w:t>Soete</w:t>
      </w:r>
      <w:proofErr w:type="spellEnd"/>
      <w:r w:rsidRPr="00681530">
        <w:t xml:space="preserve"> 2012 m.b.t. de valorisatiecriteria, (waarbij rekening wordt gehouden met het ecosysteem en/of de bijdrage tot duurzame ontwikkeling) en de </w:t>
      </w:r>
      <w:proofErr w:type="spellStart"/>
      <w:r w:rsidRPr="00681530">
        <w:t>differentiëring</w:t>
      </w:r>
      <w:proofErr w:type="spellEnd"/>
      <w:r w:rsidRPr="00681530">
        <w:t xml:space="preserve"> van de aanpak naar verschillende bedrijfstypes.</w:t>
      </w:r>
      <w:r w:rsidR="00681530">
        <w:t xml:space="preserve"> </w:t>
      </w:r>
      <w:r w:rsidR="00681530">
        <w:rPr>
          <w:bCs/>
        </w:rPr>
        <w:t xml:space="preserve">In de inleiding van aanbevelingen 14 en 15 stelt het rapport </w:t>
      </w:r>
      <w:proofErr w:type="spellStart"/>
      <w:r w:rsidR="00681530">
        <w:rPr>
          <w:bCs/>
        </w:rPr>
        <w:t>Soete</w:t>
      </w:r>
      <w:proofErr w:type="spellEnd"/>
      <w:r w:rsidR="00681530">
        <w:rPr>
          <w:bCs/>
        </w:rPr>
        <w:t xml:space="preserve"> dat een ‘</w:t>
      </w:r>
      <w:proofErr w:type="spellStart"/>
      <w:r w:rsidR="00681530">
        <w:rPr>
          <w:bCs/>
        </w:rPr>
        <w:t>one</w:t>
      </w:r>
      <w:proofErr w:type="spellEnd"/>
      <w:r w:rsidR="00681530">
        <w:rPr>
          <w:bCs/>
        </w:rPr>
        <w:t>-</w:t>
      </w:r>
      <w:proofErr w:type="spellStart"/>
      <w:r w:rsidR="00681530">
        <w:rPr>
          <w:bCs/>
        </w:rPr>
        <w:t>size</w:t>
      </w:r>
      <w:proofErr w:type="spellEnd"/>
      <w:r w:rsidR="00681530">
        <w:rPr>
          <w:bCs/>
        </w:rPr>
        <w:t xml:space="preserve">-fits </w:t>
      </w:r>
      <w:proofErr w:type="spellStart"/>
      <w:r w:rsidR="00681530">
        <w:rPr>
          <w:bCs/>
        </w:rPr>
        <w:t>all</w:t>
      </w:r>
      <w:proofErr w:type="spellEnd"/>
      <w:r w:rsidR="00681530">
        <w:rPr>
          <w:bCs/>
        </w:rPr>
        <w:t xml:space="preserve">’ voor de bedrijven niet langer aangepast is aan de realiteit van het innovatieproces in Vlaanderen anno 2012. De </w:t>
      </w:r>
      <w:proofErr w:type="spellStart"/>
      <w:r w:rsidR="00681530">
        <w:rPr>
          <w:bCs/>
        </w:rPr>
        <w:t>expertengroep</w:t>
      </w:r>
      <w:proofErr w:type="spellEnd"/>
      <w:r w:rsidR="00681530">
        <w:rPr>
          <w:bCs/>
        </w:rPr>
        <w:t xml:space="preserve"> geeft ook aan dat voor de klassieke, niet-hoogtechnologische </w:t>
      </w:r>
      <w:proofErr w:type="spellStart"/>
      <w:r w:rsidR="00681530">
        <w:rPr>
          <w:bCs/>
        </w:rPr>
        <w:t>kmo’s</w:t>
      </w:r>
      <w:proofErr w:type="spellEnd"/>
      <w:r w:rsidR="00681530">
        <w:rPr>
          <w:bCs/>
        </w:rPr>
        <w:t xml:space="preserve"> meer sensibilisering nodig is.  Deze aanbevelingen sluiten naadloos aan bij de bijsturing van de O&amp;O-steun aan bedrijven die nu wordt voorgesteld. Als generieke steunmaatregel die open staat voor alle innovatieve bedrijven en sectoren en met een jaarlijks budget van meer dan 120 </w:t>
      </w:r>
      <w:proofErr w:type="spellStart"/>
      <w:r w:rsidR="00681530">
        <w:rPr>
          <w:bCs/>
        </w:rPr>
        <w:t>mio</w:t>
      </w:r>
      <w:proofErr w:type="spellEnd"/>
      <w:r w:rsidR="00681530">
        <w:rPr>
          <w:bCs/>
        </w:rPr>
        <w:t xml:space="preserve"> euro is de O&amp;O-bedrijfssteun bovendien het instrument bij uitstek om versnippering en fragmentatie tegen te gaan. </w:t>
      </w:r>
    </w:p>
    <w:p w:rsidR="00681530" w:rsidRDefault="00681530" w:rsidP="009F4F22">
      <w:pPr>
        <w:jc w:val="both"/>
        <w:rPr>
          <w:bCs/>
        </w:rPr>
      </w:pPr>
      <w:r>
        <w:rPr>
          <w:bCs/>
        </w:rPr>
        <w:t xml:space="preserve">   </w:t>
      </w:r>
    </w:p>
    <w:p w:rsidR="007448B6" w:rsidRPr="00681530" w:rsidRDefault="007448B6" w:rsidP="009F4F22">
      <w:pPr>
        <w:pStyle w:val="StandaardSV"/>
        <w:ind w:left="360"/>
      </w:pPr>
    </w:p>
    <w:p w:rsidR="00D875BF" w:rsidRDefault="009245D9" w:rsidP="009F4F22">
      <w:pPr>
        <w:pStyle w:val="StandaardSV"/>
        <w:numPr>
          <w:ilvl w:val="0"/>
          <w:numId w:val="44"/>
        </w:numPr>
        <w:rPr>
          <w:u w:val="single"/>
        </w:rPr>
      </w:pPr>
      <w:r w:rsidRPr="009245D9">
        <w:rPr>
          <w:u w:val="single"/>
        </w:rPr>
        <w:t>I</w:t>
      </w:r>
      <w:r w:rsidR="008948D8" w:rsidRPr="009245D9">
        <w:rPr>
          <w:u w:val="single"/>
        </w:rPr>
        <w:t xml:space="preserve">mpact op de toekenningsprocedure </w:t>
      </w:r>
    </w:p>
    <w:p w:rsidR="009245D9" w:rsidRPr="009245D9" w:rsidRDefault="009245D9" w:rsidP="009F4F22">
      <w:pPr>
        <w:pStyle w:val="StandaardSV"/>
        <w:ind w:left="720"/>
        <w:rPr>
          <w:u w:val="single"/>
        </w:rPr>
      </w:pPr>
    </w:p>
    <w:p w:rsidR="0055762A" w:rsidRPr="009245D9" w:rsidRDefault="0055762A" w:rsidP="002E3B44">
      <w:pPr>
        <w:pStyle w:val="StandaardSV"/>
        <w:ind w:left="709" w:hanging="1"/>
      </w:pPr>
      <w:r w:rsidRPr="009245D9">
        <w:t>De hoofdstappen van de procedure worden niet gewijzigd.  Wel worden de resultaten van de bovenvermelde optimalisatie-oefening voor het proces geïntroduceerd.</w:t>
      </w:r>
    </w:p>
    <w:p w:rsidR="0055762A" w:rsidRPr="009245D9" w:rsidRDefault="0055762A" w:rsidP="002E3B44">
      <w:pPr>
        <w:pStyle w:val="StandaardSV"/>
        <w:ind w:left="709" w:hanging="1"/>
      </w:pPr>
      <w:r w:rsidRPr="009245D9">
        <w:t>Verder zijn de concrete selectiecriteri</w:t>
      </w:r>
      <w:r w:rsidR="009245D9">
        <w:t xml:space="preserve">a voor de steun gehergroepeerd. </w:t>
      </w:r>
      <w:r w:rsidRPr="009245D9">
        <w:t>De kwaliteit wordt als een ja/neen criterium gehanteerd, de potentiële impact als het hoofdcriterium voor rangschikking.</w:t>
      </w:r>
    </w:p>
    <w:p w:rsidR="0055762A" w:rsidRPr="009245D9" w:rsidRDefault="0055762A" w:rsidP="002E3B44">
      <w:pPr>
        <w:pStyle w:val="StandaardSV"/>
        <w:ind w:left="709" w:hanging="1"/>
      </w:pPr>
      <w:r w:rsidRPr="009245D9">
        <w:t>Een uitzondering daarop is de procedure voor sprint-projecten, waar een mondeling college zal ingeschakeld worden en de beslissing door de raad van bestuur aan de directie is gedelegeerd.</w:t>
      </w:r>
    </w:p>
    <w:p w:rsidR="0055762A" w:rsidRPr="009245D9" w:rsidRDefault="0055762A" w:rsidP="009F4F22">
      <w:pPr>
        <w:pStyle w:val="StandaardSV"/>
        <w:ind w:left="720"/>
      </w:pPr>
    </w:p>
    <w:p w:rsidR="00D875BF" w:rsidRDefault="00D875BF" w:rsidP="009F4F22">
      <w:pPr>
        <w:pStyle w:val="Lijstalinea"/>
        <w:jc w:val="both"/>
      </w:pPr>
    </w:p>
    <w:p w:rsidR="0055762A" w:rsidRPr="009245D9" w:rsidRDefault="008D190F" w:rsidP="002E3B44">
      <w:pPr>
        <w:pStyle w:val="StandaardSV"/>
        <w:ind w:left="709" w:hanging="1"/>
      </w:pPr>
      <w:bookmarkStart w:id="0" w:name="_GoBack"/>
      <w:bookmarkEnd w:id="0"/>
      <w:r w:rsidRPr="009245D9">
        <w:t xml:space="preserve">Naast de </w:t>
      </w:r>
      <w:r w:rsidR="009245D9">
        <w:t>hierboven</w:t>
      </w:r>
      <w:r w:rsidR="0055762A" w:rsidRPr="009245D9">
        <w:t xml:space="preserve"> vermelde herschikking van de criteria </w:t>
      </w:r>
      <w:r w:rsidRPr="009245D9">
        <w:t>zal voor de berekening van de toegevoegde waarde meer expliciet rekening gehouden met de maatschappelijke meerwaarde (DO) van een project en/of samenwerking met andere actoren  binnen het ecosysteem (verankering).</w:t>
      </w:r>
    </w:p>
    <w:p w:rsidR="0055762A" w:rsidRDefault="0055762A" w:rsidP="002E3B44">
      <w:pPr>
        <w:pStyle w:val="Lijstalinea"/>
        <w:ind w:left="709" w:hanging="349"/>
        <w:jc w:val="both"/>
      </w:pPr>
    </w:p>
    <w:sectPr w:rsidR="0055762A" w:rsidSect="005E6FF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9827936"/>
    <w:multiLevelType w:val="hybridMultilevel"/>
    <w:tmpl w:val="08DC31C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9EA7D48"/>
    <w:multiLevelType w:val="hybridMultilevel"/>
    <w:tmpl w:val="583A2D06"/>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0D0413E"/>
    <w:multiLevelType w:val="hybridMultilevel"/>
    <w:tmpl w:val="7474E252"/>
    <w:lvl w:ilvl="0" w:tplc="D0FAB886">
      <w:start w:val="2"/>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F">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212563"/>
    <w:multiLevelType w:val="hybridMultilevel"/>
    <w:tmpl w:val="DFFEB5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2B9032D"/>
    <w:multiLevelType w:val="hybridMultilevel"/>
    <w:tmpl w:val="060C7BD2"/>
    <w:lvl w:ilvl="0" w:tplc="BC1AA37E">
      <w:start w:val="1"/>
      <w:numFmt w:val="lowerLetter"/>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4A53E58"/>
    <w:multiLevelType w:val="hybridMultilevel"/>
    <w:tmpl w:val="8F2AA4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6AE427B"/>
    <w:multiLevelType w:val="hybridMultilevel"/>
    <w:tmpl w:val="5CAA41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9EE64B0"/>
    <w:multiLevelType w:val="hybridMultilevel"/>
    <w:tmpl w:val="AC90A264"/>
    <w:lvl w:ilvl="0" w:tplc="39803452">
      <w:start w:val="1"/>
      <w:numFmt w:val="lowerLetter"/>
      <w:lvlText w:val="%1)"/>
      <w:lvlJc w:val="left"/>
      <w:pPr>
        <w:ind w:left="724" w:hanging="360"/>
      </w:pPr>
      <w:rPr>
        <w:rFonts w:hint="default"/>
      </w:rPr>
    </w:lvl>
    <w:lvl w:ilvl="1" w:tplc="08130019" w:tentative="1">
      <w:start w:val="1"/>
      <w:numFmt w:val="lowerLetter"/>
      <w:lvlText w:val="%2."/>
      <w:lvlJc w:val="left"/>
      <w:pPr>
        <w:ind w:left="1444" w:hanging="360"/>
      </w:pPr>
    </w:lvl>
    <w:lvl w:ilvl="2" w:tplc="0813001B" w:tentative="1">
      <w:start w:val="1"/>
      <w:numFmt w:val="lowerRoman"/>
      <w:lvlText w:val="%3."/>
      <w:lvlJc w:val="right"/>
      <w:pPr>
        <w:ind w:left="2164" w:hanging="180"/>
      </w:pPr>
    </w:lvl>
    <w:lvl w:ilvl="3" w:tplc="0813000F" w:tentative="1">
      <w:start w:val="1"/>
      <w:numFmt w:val="decimal"/>
      <w:lvlText w:val="%4."/>
      <w:lvlJc w:val="left"/>
      <w:pPr>
        <w:ind w:left="2884" w:hanging="360"/>
      </w:pPr>
    </w:lvl>
    <w:lvl w:ilvl="4" w:tplc="08130019" w:tentative="1">
      <w:start w:val="1"/>
      <w:numFmt w:val="lowerLetter"/>
      <w:lvlText w:val="%5."/>
      <w:lvlJc w:val="left"/>
      <w:pPr>
        <w:ind w:left="3604" w:hanging="360"/>
      </w:pPr>
    </w:lvl>
    <w:lvl w:ilvl="5" w:tplc="0813001B" w:tentative="1">
      <w:start w:val="1"/>
      <w:numFmt w:val="lowerRoman"/>
      <w:lvlText w:val="%6."/>
      <w:lvlJc w:val="right"/>
      <w:pPr>
        <w:ind w:left="4324" w:hanging="180"/>
      </w:pPr>
    </w:lvl>
    <w:lvl w:ilvl="6" w:tplc="0813000F" w:tentative="1">
      <w:start w:val="1"/>
      <w:numFmt w:val="decimal"/>
      <w:lvlText w:val="%7."/>
      <w:lvlJc w:val="left"/>
      <w:pPr>
        <w:ind w:left="5044" w:hanging="360"/>
      </w:pPr>
    </w:lvl>
    <w:lvl w:ilvl="7" w:tplc="08130019" w:tentative="1">
      <w:start w:val="1"/>
      <w:numFmt w:val="lowerLetter"/>
      <w:lvlText w:val="%8."/>
      <w:lvlJc w:val="left"/>
      <w:pPr>
        <w:ind w:left="5764" w:hanging="360"/>
      </w:pPr>
    </w:lvl>
    <w:lvl w:ilvl="8" w:tplc="0813001B" w:tentative="1">
      <w:start w:val="1"/>
      <w:numFmt w:val="lowerRoman"/>
      <w:lvlText w:val="%9."/>
      <w:lvlJc w:val="right"/>
      <w:pPr>
        <w:ind w:left="6484" w:hanging="180"/>
      </w:pPr>
    </w:lvl>
  </w:abstractNum>
  <w:abstractNum w:abstractNumId="14">
    <w:nsid w:val="1CE83104"/>
    <w:multiLevelType w:val="hybridMultilevel"/>
    <w:tmpl w:val="31E22E0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D352D01"/>
    <w:multiLevelType w:val="hybridMultilevel"/>
    <w:tmpl w:val="66240AC8"/>
    <w:lvl w:ilvl="0" w:tplc="EEFCE858">
      <w:start w:val="1"/>
      <w:numFmt w:val="lowerLetter"/>
      <w:lvlText w:val="%1)"/>
      <w:lvlJc w:val="left"/>
      <w:pPr>
        <w:ind w:left="360" w:hanging="360"/>
      </w:pPr>
      <w:rPr>
        <w:rFonts w:ascii="Times New Roman" w:eastAsia="Times New Roman" w:hAnsi="Times New Roman"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E6C52E6"/>
    <w:multiLevelType w:val="hybridMultilevel"/>
    <w:tmpl w:val="F3FEF68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7">
    <w:nsid w:val="1FE676C7"/>
    <w:multiLevelType w:val="hybridMultilevel"/>
    <w:tmpl w:val="AE1010DC"/>
    <w:lvl w:ilvl="0" w:tplc="955C82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218C2F5D"/>
    <w:multiLevelType w:val="hybridMultilevel"/>
    <w:tmpl w:val="6F3CB0B6"/>
    <w:lvl w:ilvl="0" w:tplc="45B242F2">
      <w:start w:val="1"/>
      <w:numFmt w:val="decimal"/>
      <w:lvlText w:val="%1."/>
      <w:lvlJc w:val="left"/>
      <w:pPr>
        <w:ind w:left="1364" w:hanging="360"/>
      </w:pPr>
      <w:rPr>
        <w:rFonts w:hint="default"/>
      </w:rPr>
    </w:lvl>
    <w:lvl w:ilvl="1" w:tplc="08130019" w:tentative="1">
      <w:start w:val="1"/>
      <w:numFmt w:val="lowerLetter"/>
      <w:lvlText w:val="%2."/>
      <w:lvlJc w:val="left"/>
      <w:pPr>
        <w:ind w:left="2084" w:hanging="360"/>
      </w:pPr>
    </w:lvl>
    <w:lvl w:ilvl="2" w:tplc="0813001B" w:tentative="1">
      <w:start w:val="1"/>
      <w:numFmt w:val="lowerRoman"/>
      <w:lvlText w:val="%3."/>
      <w:lvlJc w:val="right"/>
      <w:pPr>
        <w:ind w:left="2804" w:hanging="180"/>
      </w:pPr>
    </w:lvl>
    <w:lvl w:ilvl="3" w:tplc="0813000F" w:tentative="1">
      <w:start w:val="1"/>
      <w:numFmt w:val="decimal"/>
      <w:lvlText w:val="%4."/>
      <w:lvlJc w:val="left"/>
      <w:pPr>
        <w:ind w:left="3524" w:hanging="360"/>
      </w:pPr>
    </w:lvl>
    <w:lvl w:ilvl="4" w:tplc="08130019" w:tentative="1">
      <w:start w:val="1"/>
      <w:numFmt w:val="lowerLetter"/>
      <w:lvlText w:val="%5."/>
      <w:lvlJc w:val="left"/>
      <w:pPr>
        <w:ind w:left="4244" w:hanging="360"/>
      </w:pPr>
    </w:lvl>
    <w:lvl w:ilvl="5" w:tplc="0813001B" w:tentative="1">
      <w:start w:val="1"/>
      <w:numFmt w:val="lowerRoman"/>
      <w:lvlText w:val="%6."/>
      <w:lvlJc w:val="right"/>
      <w:pPr>
        <w:ind w:left="4964" w:hanging="180"/>
      </w:pPr>
    </w:lvl>
    <w:lvl w:ilvl="6" w:tplc="0813000F" w:tentative="1">
      <w:start w:val="1"/>
      <w:numFmt w:val="decimal"/>
      <w:lvlText w:val="%7."/>
      <w:lvlJc w:val="left"/>
      <w:pPr>
        <w:ind w:left="5684" w:hanging="360"/>
      </w:pPr>
    </w:lvl>
    <w:lvl w:ilvl="7" w:tplc="08130019" w:tentative="1">
      <w:start w:val="1"/>
      <w:numFmt w:val="lowerLetter"/>
      <w:lvlText w:val="%8."/>
      <w:lvlJc w:val="left"/>
      <w:pPr>
        <w:ind w:left="6404" w:hanging="360"/>
      </w:pPr>
    </w:lvl>
    <w:lvl w:ilvl="8" w:tplc="0813001B" w:tentative="1">
      <w:start w:val="1"/>
      <w:numFmt w:val="lowerRoman"/>
      <w:lvlText w:val="%9."/>
      <w:lvlJc w:val="right"/>
      <w:pPr>
        <w:ind w:left="7124" w:hanging="180"/>
      </w:pPr>
    </w:lvl>
  </w:abstractNum>
  <w:abstractNum w:abstractNumId="19">
    <w:nsid w:val="23257075"/>
    <w:multiLevelType w:val="hybridMultilevel"/>
    <w:tmpl w:val="31C6F4EE"/>
    <w:lvl w:ilvl="0" w:tplc="7FFC70C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296C5BB4"/>
    <w:multiLevelType w:val="hybridMultilevel"/>
    <w:tmpl w:val="B95CA73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A441C80"/>
    <w:multiLevelType w:val="hybridMultilevel"/>
    <w:tmpl w:val="E13672CA"/>
    <w:lvl w:ilvl="0" w:tplc="0FF0D87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AFE1C88"/>
    <w:multiLevelType w:val="hybridMultilevel"/>
    <w:tmpl w:val="DD5A79C4"/>
    <w:lvl w:ilvl="0" w:tplc="7FFC70CC">
      <w:numFmt w:val="bullet"/>
      <w:lvlText w:val="-"/>
      <w:lvlJc w:val="left"/>
      <w:pPr>
        <w:ind w:left="1004" w:hanging="360"/>
      </w:pPr>
      <w:rPr>
        <w:rFonts w:ascii="Times New Roman" w:eastAsia="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4">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2BCD1981"/>
    <w:multiLevelType w:val="hybridMultilevel"/>
    <w:tmpl w:val="517A31E8"/>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E5C2CBE"/>
    <w:multiLevelType w:val="hybridMultilevel"/>
    <w:tmpl w:val="3452B81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30BB242B"/>
    <w:multiLevelType w:val="hybridMultilevel"/>
    <w:tmpl w:val="621669D2"/>
    <w:lvl w:ilvl="0" w:tplc="955C82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C4025F5"/>
    <w:multiLevelType w:val="hybridMultilevel"/>
    <w:tmpl w:val="2C7CE51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01A74AC"/>
    <w:multiLevelType w:val="hybridMultilevel"/>
    <w:tmpl w:val="7924F164"/>
    <w:lvl w:ilvl="0" w:tplc="B854138E">
      <w:start w:val="1"/>
      <w:numFmt w:val="bullet"/>
      <w:lvlText w:val=""/>
      <w:lvlJc w:val="left"/>
      <w:pPr>
        <w:ind w:left="1004"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0">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3944F21"/>
    <w:multiLevelType w:val="hybridMultilevel"/>
    <w:tmpl w:val="33D0404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444F50F0"/>
    <w:multiLevelType w:val="hybridMultilevel"/>
    <w:tmpl w:val="B75CF15E"/>
    <w:lvl w:ilvl="0" w:tplc="7FFC70CC">
      <w:numFmt w:val="bullet"/>
      <w:lvlText w:val="-"/>
      <w:lvlJc w:val="left"/>
      <w:pPr>
        <w:ind w:left="720" w:hanging="360"/>
      </w:pPr>
      <w:rPr>
        <w:rFonts w:ascii="Times New Roman" w:eastAsia="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47C91FAD"/>
    <w:multiLevelType w:val="hybridMultilevel"/>
    <w:tmpl w:val="E6CE05A0"/>
    <w:lvl w:ilvl="0" w:tplc="D0FAB886">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490227E4"/>
    <w:multiLevelType w:val="hybridMultilevel"/>
    <w:tmpl w:val="B8B6A0D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50157054"/>
    <w:multiLevelType w:val="hybridMultilevel"/>
    <w:tmpl w:val="20689B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nsid w:val="5F8E2435"/>
    <w:multiLevelType w:val="hybridMultilevel"/>
    <w:tmpl w:val="6C1025F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0B30ECC"/>
    <w:multiLevelType w:val="hybridMultilevel"/>
    <w:tmpl w:val="70C0E60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64042B26"/>
    <w:multiLevelType w:val="hybridMultilevel"/>
    <w:tmpl w:val="33D0404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nsid w:val="66AF024E"/>
    <w:multiLevelType w:val="hybridMultilevel"/>
    <w:tmpl w:val="0F604930"/>
    <w:lvl w:ilvl="0" w:tplc="45B242F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nsid w:val="68F30A86"/>
    <w:multiLevelType w:val="hybridMultilevel"/>
    <w:tmpl w:val="5BFEB504"/>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4">
    <w:nsid w:val="694D0B88"/>
    <w:multiLevelType w:val="hybridMultilevel"/>
    <w:tmpl w:val="087E150C"/>
    <w:lvl w:ilvl="0" w:tplc="430EF64E">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5">
    <w:nsid w:val="700F449B"/>
    <w:multiLevelType w:val="hybridMultilevel"/>
    <w:tmpl w:val="737832B8"/>
    <w:lvl w:ilvl="0" w:tplc="45B242F2">
      <w:start w:val="1"/>
      <w:numFmt w:val="decimal"/>
      <w:lvlText w:val="%1."/>
      <w:lvlJc w:val="left"/>
      <w:pPr>
        <w:ind w:left="1364" w:hanging="360"/>
      </w:pPr>
      <w:rPr>
        <w:rFonts w:hint="default"/>
      </w:rPr>
    </w:lvl>
    <w:lvl w:ilvl="1" w:tplc="08130019" w:tentative="1">
      <w:start w:val="1"/>
      <w:numFmt w:val="lowerLetter"/>
      <w:lvlText w:val="%2."/>
      <w:lvlJc w:val="left"/>
      <w:pPr>
        <w:ind w:left="2084" w:hanging="360"/>
      </w:pPr>
    </w:lvl>
    <w:lvl w:ilvl="2" w:tplc="0813001B" w:tentative="1">
      <w:start w:val="1"/>
      <w:numFmt w:val="lowerRoman"/>
      <w:lvlText w:val="%3."/>
      <w:lvlJc w:val="right"/>
      <w:pPr>
        <w:ind w:left="2804" w:hanging="180"/>
      </w:pPr>
    </w:lvl>
    <w:lvl w:ilvl="3" w:tplc="0813000F" w:tentative="1">
      <w:start w:val="1"/>
      <w:numFmt w:val="decimal"/>
      <w:lvlText w:val="%4."/>
      <w:lvlJc w:val="left"/>
      <w:pPr>
        <w:ind w:left="3524" w:hanging="360"/>
      </w:pPr>
    </w:lvl>
    <w:lvl w:ilvl="4" w:tplc="08130019" w:tentative="1">
      <w:start w:val="1"/>
      <w:numFmt w:val="lowerLetter"/>
      <w:lvlText w:val="%5."/>
      <w:lvlJc w:val="left"/>
      <w:pPr>
        <w:ind w:left="4244" w:hanging="360"/>
      </w:pPr>
    </w:lvl>
    <w:lvl w:ilvl="5" w:tplc="0813001B" w:tentative="1">
      <w:start w:val="1"/>
      <w:numFmt w:val="lowerRoman"/>
      <w:lvlText w:val="%6."/>
      <w:lvlJc w:val="right"/>
      <w:pPr>
        <w:ind w:left="4964" w:hanging="180"/>
      </w:pPr>
    </w:lvl>
    <w:lvl w:ilvl="6" w:tplc="0813000F" w:tentative="1">
      <w:start w:val="1"/>
      <w:numFmt w:val="decimal"/>
      <w:lvlText w:val="%7."/>
      <w:lvlJc w:val="left"/>
      <w:pPr>
        <w:ind w:left="5684" w:hanging="360"/>
      </w:pPr>
    </w:lvl>
    <w:lvl w:ilvl="7" w:tplc="08130019" w:tentative="1">
      <w:start w:val="1"/>
      <w:numFmt w:val="lowerLetter"/>
      <w:lvlText w:val="%8."/>
      <w:lvlJc w:val="left"/>
      <w:pPr>
        <w:ind w:left="6404" w:hanging="360"/>
      </w:pPr>
    </w:lvl>
    <w:lvl w:ilvl="8" w:tplc="0813001B" w:tentative="1">
      <w:start w:val="1"/>
      <w:numFmt w:val="lowerRoman"/>
      <w:lvlText w:val="%9."/>
      <w:lvlJc w:val="right"/>
      <w:pPr>
        <w:ind w:left="7124" w:hanging="180"/>
      </w:pPr>
    </w:lvl>
  </w:abstractNum>
  <w:abstractNum w:abstractNumId="46">
    <w:nsid w:val="72E46743"/>
    <w:multiLevelType w:val="hybridMultilevel"/>
    <w:tmpl w:val="44701006"/>
    <w:lvl w:ilvl="0" w:tplc="08130001">
      <w:start w:val="1"/>
      <w:numFmt w:val="bullet"/>
      <w:lvlText w:val=""/>
      <w:lvlJc w:val="left"/>
      <w:pPr>
        <w:ind w:left="644" w:hanging="360"/>
      </w:pPr>
      <w:rPr>
        <w:rFonts w:ascii="Symbol" w:hAnsi="Symbol"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7">
    <w:nsid w:val="74646EC7"/>
    <w:multiLevelType w:val="hybridMultilevel"/>
    <w:tmpl w:val="228489F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8">
    <w:nsid w:val="75B86222"/>
    <w:multiLevelType w:val="hybridMultilevel"/>
    <w:tmpl w:val="BE36D5F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8"/>
  </w:num>
  <w:num w:numId="3">
    <w:abstractNumId w:val="1"/>
  </w:num>
  <w:num w:numId="4">
    <w:abstractNumId w:val="37"/>
  </w:num>
  <w:num w:numId="5">
    <w:abstractNumId w:val="30"/>
  </w:num>
  <w:num w:numId="6">
    <w:abstractNumId w:val="6"/>
  </w:num>
  <w:num w:numId="7">
    <w:abstractNumId w:val="5"/>
  </w:num>
  <w:num w:numId="8">
    <w:abstractNumId w:val="35"/>
  </w:num>
  <w:num w:numId="9">
    <w:abstractNumId w:val="20"/>
  </w:num>
  <w:num w:numId="10">
    <w:abstractNumId w:val="0"/>
  </w:num>
  <w:num w:numId="11">
    <w:abstractNumId w:val="42"/>
  </w:num>
  <w:num w:numId="12">
    <w:abstractNumId w:val="2"/>
  </w:num>
  <w:num w:numId="13">
    <w:abstractNumId w:val="24"/>
  </w:num>
  <w:num w:numId="14">
    <w:abstractNumId w:val="39"/>
  </w:num>
  <w:num w:numId="15">
    <w:abstractNumId w:val="34"/>
  </w:num>
  <w:num w:numId="16">
    <w:abstractNumId w:val="13"/>
  </w:num>
  <w:num w:numId="17">
    <w:abstractNumId w:val="41"/>
  </w:num>
  <w:num w:numId="18">
    <w:abstractNumId w:val="48"/>
  </w:num>
  <w:num w:numId="19">
    <w:abstractNumId w:val="26"/>
  </w:num>
  <w:num w:numId="20">
    <w:abstractNumId w:val="40"/>
  </w:num>
  <w:num w:numId="21">
    <w:abstractNumId w:val="28"/>
  </w:num>
  <w:num w:numId="22">
    <w:abstractNumId w:val="11"/>
  </w:num>
  <w:num w:numId="23">
    <w:abstractNumId w:val="3"/>
  </w:num>
  <w:num w:numId="24">
    <w:abstractNumId w:val="36"/>
  </w:num>
  <w:num w:numId="25">
    <w:abstractNumId w:val="31"/>
  </w:num>
  <w:num w:numId="26">
    <w:abstractNumId w:val="38"/>
  </w:num>
  <w:num w:numId="27">
    <w:abstractNumId w:val="22"/>
  </w:num>
  <w:num w:numId="28">
    <w:abstractNumId w:val="14"/>
  </w:num>
  <w:num w:numId="29">
    <w:abstractNumId w:val="46"/>
  </w:num>
  <w:num w:numId="30">
    <w:abstractNumId w:val="47"/>
  </w:num>
  <w:num w:numId="31">
    <w:abstractNumId w:val="29"/>
  </w:num>
  <w:num w:numId="32">
    <w:abstractNumId w:val="16"/>
  </w:num>
  <w:num w:numId="33">
    <w:abstractNumId w:val="17"/>
  </w:num>
  <w:num w:numId="34">
    <w:abstractNumId w:val="44"/>
  </w:num>
  <w:num w:numId="35">
    <w:abstractNumId w:val="25"/>
  </w:num>
  <w:num w:numId="36">
    <w:abstractNumId w:val="43"/>
  </w:num>
  <w:num w:numId="37">
    <w:abstractNumId w:val="4"/>
  </w:num>
  <w:num w:numId="38">
    <w:abstractNumId w:val="21"/>
  </w:num>
  <w:num w:numId="39">
    <w:abstractNumId w:val="27"/>
  </w:num>
  <w:num w:numId="40">
    <w:abstractNumId w:val="15"/>
  </w:num>
  <w:num w:numId="41">
    <w:abstractNumId w:val="10"/>
  </w:num>
  <w:num w:numId="42">
    <w:abstractNumId w:val="12"/>
  </w:num>
  <w:num w:numId="43">
    <w:abstractNumId w:val="33"/>
  </w:num>
  <w:num w:numId="44">
    <w:abstractNumId w:val="7"/>
  </w:num>
  <w:num w:numId="45">
    <w:abstractNumId w:val="18"/>
  </w:num>
  <w:num w:numId="46">
    <w:abstractNumId w:val="23"/>
  </w:num>
  <w:num w:numId="47">
    <w:abstractNumId w:val="45"/>
  </w:num>
  <w:num w:numId="48">
    <w:abstractNumId w:val="9"/>
  </w:num>
  <w:num w:numId="49">
    <w:abstractNumId w:val="1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464A2"/>
    <w:rsid w:val="00067D53"/>
    <w:rsid w:val="00070064"/>
    <w:rsid w:val="00071DA4"/>
    <w:rsid w:val="00080040"/>
    <w:rsid w:val="000A67FE"/>
    <w:rsid w:val="000E3660"/>
    <w:rsid w:val="000E724A"/>
    <w:rsid w:val="000E7D61"/>
    <w:rsid w:val="00171F2E"/>
    <w:rsid w:val="00187BFC"/>
    <w:rsid w:val="001E4BBA"/>
    <w:rsid w:val="0024016C"/>
    <w:rsid w:val="002A479D"/>
    <w:rsid w:val="002E3B44"/>
    <w:rsid w:val="002F7EC1"/>
    <w:rsid w:val="00314503"/>
    <w:rsid w:val="00343A8F"/>
    <w:rsid w:val="003C7B36"/>
    <w:rsid w:val="003D37A9"/>
    <w:rsid w:val="00413D90"/>
    <w:rsid w:val="00427E2D"/>
    <w:rsid w:val="00450B5F"/>
    <w:rsid w:val="004D7979"/>
    <w:rsid w:val="004F1C2E"/>
    <w:rsid w:val="005051B9"/>
    <w:rsid w:val="0055762A"/>
    <w:rsid w:val="005A0D53"/>
    <w:rsid w:val="005E6FF5"/>
    <w:rsid w:val="0064643F"/>
    <w:rsid w:val="00646EDF"/>
    <w:rsid w:val="00667CE6"/>
    <w:rsid w:val="00681530"/>
    <w:rsid w:val="00693743"/>
    <w:rsid w:val="006A535A"/>
    <w:rsid w:val="006D5C53"/>
    <w:rsid w:val="006F0E17"/>
    <w:rsid w:val="006F29F5"/>
    <w:rsid w:val="006F49EA"/>
    <w:rsid w:val="007448B6"/>
    <w:rsid w:val="0078435B"/>
    <w:rsid w:val="007871D2"/>
    <w:rsid w:val="007A197C"/>
    <w:rsid w:val="007A7738"/>
    <w:rsid w:val="007B2946"/>
    <w:rsid w:val="007E2BBA"/>
    <w:rsid w:val="00825C78"/>
    <w:rsid w:val="0083747B"/>
    <w:rsid w:val="00842F2E"/>
    <w:rsid w:val="00844521"/>
    <w:rsid w:val="008948D8"/>
    <w:rsid w:val="008C4EF7"/>
    <w:rsid w:val="008D190F"/>
    <w:rsid w:val="008D62CF"/>
    <w:rsid w:val="008F00B3"/>
    <w:rsid w:val="0091155D"/>
    <w:rsid w:val="009245D9"/>
    <w:rsid w:val="00941198"/>
    <w:rsid w:val="009670A1"/>
    <w:rsid w:val="009864CE"/>
    <w:rsid w:val="009A56D8"/>
    <w:rsid w:val="009C170D"/>
    <w:rsid w:val="009C4CBE"/>
    <w:rsid w:val="009F10A6"/>
    <w:rsid w:val="009F4F22"/>
    <w:rsid w:val="00A0017E"/>
    <w:rsid w:val="00A13A42"/>
    <w:rsid w:val="00A15B47"/>
    <w:rsid w:val="00AD78E8"/>
    <w:rsid w:val="00B64CEC"/>
    <w:rsid w:val="00B6547D"/>
    <w:rsid w:val="00BD07FB"/>
    <w:rsid w:val="00C72A47"/>
    <w:rsid w:val="00C75C7E"/>
    <w:rsid w:val="00CB2006"/>
    <w:rsid w:val="00CC63C8"/>
    <w:rsid w:val="00CF4E65"/>
    <w:rsid w:val="00D1070D"/>
    <w:rsid w:val="00D2657A"/>
    <w:rsid w:val="00D30E92"/>
    <w:rsid w:val="00D875BF"/>
    <w:rsid w:val="00DE741F"/>
    <w:rsid w:val="00DF6517"/>
    <w:rsid w:val="00E25A62"/>
    <w:rsid w:val="00EA4797"/>
    <w:rsid w:val="00EE5F96"/>
    <w:rsid w:val="00EF296F"/>
    <w:rsid w:val="00F52CAF"/>
    <w:rsid w:val="00FA5F24"/>
    <w:rsid w:val="00FC1093"/>
    <w:rsid w:val="00FC489F"/>
    <w:rsid w:val="00FE59A3"/>
    <w:rsid w:val="00FE6CDC"/>
    <w:rsid w:val="00FF38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6FF5"/>
    <w:rPr>
      <w:sz w:val="24"/>
      <w:lang w:val="nl-NL" w:eastAsia="nl-NL"/>
    </w:rPr>
  </w:style>
  <w:style w:type="paragraph" w:styleId="Kop1">
    <w:name w:val="heading 1"/>
    <w:basedOn w:val="Standaard"/>
    <w:next w:val="Standaard"/>
    <w:qFormat/>
    <w:rsid w:val="005E6FF5"/>
    <w:pPr>
      <w:keepNext/>
      <w:numPr>
        <w:numId w:val="2"/>
      </w:numPr>
      <w:jc w:val="both"/>
      <w:outlineLvl w:val="0"/>
    </w:pPr>
    <w:rPr>
      <w:b/>
      <w:caps/>
    </w:rPr>
  </w:style>
  <w:style w:type="paragraph" w:styleId="Kop2">
    <w:name w:val="heading 2"/>
    <w:basedOn w:val="Standaard"/>
    <w:next w:val="Standaard"/>
    <w:qFormat/>
    <w:rsid w:val="005E6FF5"/>
    <w:pPr>
      <w:keepNext/>
      <w:tabs>
        <w:tab w:val="num" w:pos="567"/>
      </w:tabs>
      <w:ind w:left="567" w:hanging="567"/>
      <w:outlineLvl w:val="1"/>
    </w:pPr>
    <w:rPr>
      <w:b/>
    </w:rPr>
  </w:style>
  <w:style w:type="paragraph" w:styleId="Kop3">
    <w:name w:val="heading 3"/>
    <w:basedOn w:val="Standaard"/>
    <w:next w:val="Standaard"/>
    <w:qFormat/>
    <w:rsid w:val="005E6FF5"/>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5E6FF5"/>
    <w:pPr>
      <w:framePr w:w="7920" w:h="1980" w:hRule="exact" w:hSpace="141" w:wrap="auto" w:hAnchor="page" w:xAlign="center" w:yAlign="bottom"/>
      <w:ind w:left="2880"/>
    </w:pPr>
  </w:style>
  <w:style w:type="paragraph" w:styleId="Afzender">
    <w:name w:val="envelope return"/>
    <w:basedOn w:val="Standaard"/>
    <w:rsid w:val="005E6FF5"/>
  </w:style>
  <w:style w:type="paragraph" w:styleId="Inhopg1">
    <w:name w:val="toc 1"/>
    <w:basedOn w:val="Standaard"/>
    <w:next w:val="Standaard"/>
    <w:autoRedefine/>
    <w:semiHidden/>
    <w:rsid w:val="005E6FF5"/>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5E6FF5"/>
    <w:pPr>
      <w:tabs>
        <w:tab w:val="right" w:leader="dot" w:pos="9741"/>
      </w:tabs>
      <w:spacing w:before="80" w:after="80"/>
      <w:ind w:left="1134" w:hanging="567"/>
    </w:pPr>
    <w:rPr>
      <w:noProof/>
    </w:rPr>
  </w:style>
  <w:style w:type="paragraph" w:styleId="Inhopg3">
    <w:name w:val="toc 3"/>
    <w:basedOn w:val="Standaard"/>
    <w:next w:val="Standaard"/>
    <w:autoRedefine/>
    <w:semiHidden/>
    <w:rsid w:val="005E6FF5"/>
    <w:pPr>
      <w:tabs>
        <w:tab w:val="right" w:leader="dot" w:pos="9741"/>
      </w:tabs>
      <w:spacing w:before="40" w:after="40"/>
      <w:ind w:left="1701" w:hanging="567"/>
    </w:pPr>
    <w:rPr>
      <w:i/>
    </w:rPr>
  </w:style>
  <w:style w:type="paragraph" w:styleId="Plattetekst2">
    <w:name w:val="Body Text 2"/>
    <w:basedOn w:val="Standaard"/>
    <w:rsid w:val="005E6FF5"/>
    <w:pPr>
      <w:jc w:val="both"/>
    </w:pPr>
    <w:rPr>
      <w:i/>
      <w:sz w:val="22"/>
    </w:rPr>
  </w:style>
  <w:style w:type="paragraph" w:styleId="Lijstalinea">
    <w:name w:val="List Paragraph"/>
    <w:basedOn w:val="Standaard"/>
    <w:uiPriority w:val="34"/>
    <w:qFormat/>
    <w:rsid w:val="0024016C"/>
    <w:pPr>
      <w:ind w:left="708"/>
    </w:pPr>
  </w:style>
  <w:style w:type="paragraph" w:customStyle="1" w:styleId="SVVlaamsParlement">
    <w:name w:val="SV Vlaams Parlement"/>
    <w:basedOn w:val="Standaard"/>
    <w:rsid w:val="005E6FF5"/>
    <w:pPr>
      <w:jc w:val="both"/>
    </w:pPr>
    <w:rPr>
      <w:b/>
      <w:smallCaps/>
      <w:sz w:val="22"/>
    </w:rPr>
  </w:style>
  <w:style w:type="paragraph" w:customStyle="1" w:styleId="SVTitel">
    <w:name w:val="SV Titel"/>
    <w:basedOn w:val="Standaard"/>
    <w:rsid w:val="005E6FF5"/>
    <w:pPr>
      <w:jc w:val="both"/>
    </w:pPr>
    <w:rPr>
      <w:i/>
      <w:sz w:val="22"/>
    </w:rPr>
  </w:style>
  <w:style w:type="paragraph" w:customStyle="1" w:styleId="StandaardSV">
    <w:name w:val="Standaard SV"/>
    <w:basedOn w:val="Standaard"/>
    <w:rsid w:val="005E6FF5"/>
    <w:pPr>
      <w:jc w:val="both"/>
    </w:pPr>
    <w:rPr>
      <w:sz w:val="22"/>
    </w:rPr>
  </w:style>
  <w:style w:type="paragraph" w:styleId="Ballontekst">
    <w:name w:val="Balloon Text"/>
    <w:basedOn w:val="Standaard"/>
    <w:link w:val="BallontekstChar"/>
    <w:rsid w:val="003D37A9"/>
    <w:rPr>
      <w:rFonts w:ascii="Tahoma" w:hAnsi="Tahoma"/>
      <w:sz w:val="16"/>
      <w:szCs w:val="16"/>
    </w:rPr>
  </w:style>
  <w:style w:type="character" w:customStyle="1" w:styleId="BallontekstChar">
    <w:name w:val="Ballontekst Char"/>
    <w:link w:val="Ballontekst"/>
    <w:rsid w:val="003D37A9"/>
    <w:rPr>
      <w:rFonts w:ascii="Tahoma" w:hAnsi="Tahoma" w:cs="Tahoma"/>
      <w:sz w:val="16"/>
      <w:szCs w:val="16"/>
      <w:lang w:val="nl-NL" w:eastAsia="nl-NL"/>
    </w:rPr>
  </w:style>
  <w:style w:type="paragraph" w:customStyle="1" w:styleId="headingc">
    <w:name w:val="heading c"/>
    <w:basedOn w:val="Standaard"/>
    <w:rsid w:val="00E25A62"/>
    <w:pPr>
      <w:keepNext/>
      <w:spacing w:before="480"/>
    </w:pPr>
    <w:rPr>
      <w:b/>
      <w:sz w:val="22"/>
      <w:lang w:eastAsia="en-US"/>
    </w:rPr>
  </w:style>
  <w:style w:type="paragraph" w:customStyle="1" w:styleId="Rapport1">
    <w:name w:val="Rapport1"/>
    <w:basedOn w:val="Standaard"/>
    <w:rsid w:val="00E25A62"/>
    <w:pPr>
      <w:spacing w:before="180"/>
      <w:ind w:left="709"/>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6FF5"/>
    <w:rPr>
      <w:sz w:val="24"/>
      <w:lang w:val="nl-NL" w:eastAsia="nl-NL"/>
    </w:rPr>
  </w:style>
  <w:style w:type="paragraph" w:styleId="Kop1">
    <w:name w:val="heading 1"/>
    <w:basedOn w:val="Standaard"/>
    <w:next w:val="Standaard"/>
    <w:qFormat/>
    <w:rsid w:val="005E6FF5"/>
    <w:pPr>
      <w:keepNext/>
      <w:numPr>
        <w:numId w:val="2"/>
      </w:numPr>
      <w:jc w:val="both"/>
      <w:outlineLvl w:val="0"/>
    </w:pPr>
    <w:rPr>
      <w:b/>
      <w:caps/>
    </w:rPr>
  </w:style>
  <w:style w:type="paragraph" w:styleId="Kop2">
    <w:name w:val="heading 2"/>
    <w:basedOn w:val="Standaard"/>
    <w:next w:val="Standaard"/>
    <w:qFormat/>
    <w:rsid w:val="005E6FF5"/>
    <w:pPr>
      <w:keepNext/>
      <w:tabs>
        <w:tab w:val="num" w:pos="567"/>
      </w:tabs>
      <w:ind w:left="567" w:hanging="567"/>
      <w:outlineLvl w:val="1"/>
    </w:pPr>
    <w:rPr>
      <w:b/>
    </w:rPr>
  </w:style>
  <w:style w:type="paragraph" w:styleId="Kop3">
    <w:name w:val="heading 3"/>
    <w:basedOn w:val="Standaard"/>
    <w:next w:val="Standaard"/>
    <w:qFormat/>
    <w:rsid w:val="005E6FF5"/>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5E6FF5"/>
    <w:pPr>
      <w:framePr w:w="7920" w:h="1980" w:hRule="exact" w:hSpace="141" w:wrap="auto" w:hAnchor="page" w:xAlign="center" w:yAlign="bottom"/>
      <w:ind w:left="2880"/>
    </w:pPr>
  </w:style>
  <w:style w:type="paragraph" w:styleId="Afzender">
    <w:name w:val="envelope return"/>
    <w:basedOn w:val="Standaard"/>
    <w:rsid w:val="005E6FF5"/>
  </w:style>
  <w:style w:type="paragraph" w:styleId="Inhopg1">
    <w:name w:val="toc 1"/>
    <w:basedOn w:val="Standaard"/>
    <w:next w:val="Standaard"/>
    <w:autoRedefine/>
    <w:semiHidden/>
    <w:rsid w:val="005E6FF5"/>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5E6FF5"/>
    <w:pPr>
      <w:tabs>
        <w:tab w:val="right" w:leader="dot" w:pos="9741"/>
      </w:tabs>
      <w:spacing w:before="80" w:after="80"/>
      <w:ind w:left="1134" w:hanging="567"/>
    </w:pPr>
    <w:rPr>
      <w:noProof/>
    </w:rPr>
  </w:style>
  <w:style w:type="paragraph" w:styleId="Inhopg3">
    <w:name w:val="toc 3"/>
    <w:basedOn w:val="Standaard"/>
    <w:next w:val="Standaard"/>
    <w:autoRedefine/>
    <w:semiHidden/>
    <w:rsid w:val="005E6FF5"/>
    <w:pPr>
      <w:tabs>
        <w:tab w:val="right" w:leader="dot" w:pos="9741"/>
      </w:tabs>
      <w:spacing w:before="40" w:after="40"/>
      <w:ind w:left="1701" w:hanging="567"/>
    </w:pPr>
    <w:rPr>
      <w:i/>
    </w:rPr>
  </w:style>
  <w:style w:type="paragraph" w:styleId="Plattetekst2">
    <w:name w:val="Body Text 2"/>
    <w:basedOn w:val="Standaard"/>
    <w:rsid w:val="005E6FF5"/>
    <w:pPr>
      <w:jc w:val="both"/>
    </w:pPr>
    <w:rPr>
      <w:i/>
      <w:sz w:val="22"/>
    </w:rPr>
  </w:style>
  <w:style w:type="paragraph" w:styleId="Lijstalinea">
    <w:name w:val="List Paragraph"/>
    <w:basedOn w:val="Standaard"/>
    <w:uiPriority w:val="34"/>
    <w:qFormat/>
    <w:rsid w:val="0024016C"/>
    <w:pPr>
      <w:ind w:left="708"/>
    </w:pPr>
  </w:style>
  <w:style w:type="paragraph" w:customStyle="1" w:styleId="SVVlaamsParlement">
    <w:name w:val="SV Vlaams Parlement"/>
    <w:basedOn w:val="Standaard"/>
    <w:rsid w:val="005E6FF5"/>
    <w:pPr>
      <w:jc w:val="both"/>
    </w:pPr>
    <w:rPr>
      <w:b/>
      <w:smallCaps/>
      <w:sz w:val="22"/>
    </w:rPr>
  </w:style>
  <w:style w:type="paragraph" w:customStyle="1" w:styleId="SVTitel">
    <w:name w:val="SV Titel"/>
    <w:basedOn w:val="Standaard"/>
    <w:rsid w:val="005E6FF5"/>
    <w:pPr>
      <w:jc w:val="both"/>
    </w:pPr>
    <w:rPr>
      <w:i/>
      <w:sz w:val="22"/>
    </w:rPr>
  </w:style>
  <w:style w:type="paragraph" w:customStyle="1" w:styleId="StandaardSV">
    <w:name w:val="Standaard SV"/>
    <w:basedOn w:val="Standaard"/>
    <w:rsid w:val="005E6FF5"/>
    <w:pPr>
      <w:jc w:val="both"/>
    </w:pPr>
    <w:rPr>
      <w:sz w:val="22"/>
    </w:rPr>
  </w:style>
  <w:style w:type="paragraph" w:styleId="Ballontekst">
    <w:name w:val="Balloon Text"/>
    <w:basedOn w:val="Standaard"/>
    <w:link w:val="BallontekstChar"/>
    <w:rsid w:val="003D37A9"/>
    <w:rPr>
      <w:rFonts w:ascii="Tahoma" w:hAnsi="Tahoma"/>
      <w:sz w:val="16"/>
      <w:szCs w:val="16"/>
    </w:rPr>
  </w:style>
  <w:style w:type="character" w:customStyle="1" w:styleId="BallontekstChar">
    <w:name w:val="Ballontekst Char"/>
    <w:link w:val="Ballontekst"/>
    <w:rsid w:val="003D37A9"/>
    <w:rPr>
      <w:rFonts w:ascii="Tahoma" w:hAnsi="Tahoma" w:cs="Tahoma"/>
      <w:sz w:val="16"/>
      <w:szCs w:val="16"/>
      <w:lang w:val="nl-NL" w:eastAsia="nl-NL"/>
    </w:rPr>
  </w:style>
  <w:style w:type="paragraph" w:customStyle="1" w:styleId="headingc">
    <w:name w:val="heading c"/>
    <w:basedOn w:val="Standaard"/>
    <w:rsid w:val="00E25A62"/>
    <w:pPr>
      <w:keepNext/>
      <w:spacing w:before="480"/>
    </w:pPr>
    <w:rPr>
      <w:b/>
      <w:sz w:val="22"/>
      <w:lang w:eastAsia="en-US"/>
    </w:rPr>
  </w:style>
  <w:style w:type="paragraph" w:customStyle="1" w:styleId="Rapport1">
    <w:name w:val="Rapport1"/>
    <w:basedOn w:val="Standaard"/>
    <w:rsid w:val="00E25A62"/>
    <w:pPr>
      <w:spacing w:before="180"/>
      <w:ind w:left="709"/>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11837</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2013-02-22T12:22:00Z</cp:lastPrinted>
  <dcterms:created xsi:type="dcterms:W3CDTF">2013-03-15T08:52:00Z</dcterms:created>
  <dcterms:modified xsi:type="dcterms:W3CDTF">2013-03-15T08:52:00Z</dcterms:modified>
</cp:coreProperties>
</file>