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CE" w:rsidRPr="00693743" w:rsidRDefault="009864CE" w:rsidP="007E2BBA">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941198" w:rsidRPr="00693743" w:rsidRDefault="009864CE" w:rsidP="007E2BBA">
      <w:pPr>
        <w:pStyle w:val="StandaardSV"/>
        <w:pBdr>
          <w:bottom w:val="single" w:sz="4" w:space="1" w:color="auto"/>
        </w:pBdr>
        <w:rPr>
          <w:smallCaps/>
          <w:szCs w:val="22"/>
          <w:lang w:val="nl-BE"/>
        </w:rPr>
      </w:pPr>
      <w:r w:rsidRPr="00693743">
        <w:rPr>
          <w:smallCaps/>
          <w:szCs w:val="22"/>
          <w:lang w:val="nl-BE"/>
        </w:rPr>
        <w:t>viceminister-president van de vlaamse regering, vlaams minister van innovatie, overheidsinvesteringen, media en armoedebestrijding</w:t>
      </w:r>
    </w:p>
    <w:p w:rsidR="009864CE" w:rsidRDefault="009864CE" w:rsidP="007E2BBA">
      <w:pPr>
        <w:pStyle w:val="StandaardSV"/>
        <w:pBdr>
          <w:bottom w:val="single" w:sz="4" w:space="1" w:color="auto"/>
        </w:pBdr>
      </w:pPr>
    </w:p>
    <w:p w:rsidR="009F10A6" w:rsidRDefault="009F10A6" w:rsidP="007E2BBA">
      <w:pPr>
        <w:jc w:val="both"/>
        <w:rPr>
          <w:sz w:val="22"/>
        </w:rPr>
      </w:pPr>
    </w:p>
    <w:p w:rsidR="00BC7AD9" w:rsidRPr="00BC7AD9" w:rsidRDefault="00BC7AD9" w:rsidP="007E2BBA">
      <w:pPr>
        <w:jc w:val="both"/>
        <w:rPr>
          <w:rFonts w:ascii="Times New Roman Vet" w:hAnsi="Times New Roman Vet"/>
          <w:b/>
          <w:smallCaps/>
          <w:sz w:val="22"/>
        </w:rPr>
      </w:pPr>
      <w:r w:rsidRPr="00BC7AD9">
        <w:rPr>
          <w:rFonts w:ascii="Times New Roman Vet" w:hAnsi="Times New Roman Vet"/>
          <w:b/>
          <w:smallCaps/>
          <w:sz w:val="22"/>
        </w:rPr>
        <w:t>a</w:t>
      </w:r>
      <w:r w:rsidR="001B746D" w:rsidRPr="00BC7AD9">
        <w:rPr>
          <w:rFonts w:ascii="Times New Roman Vet" w:hAnsi="Times New Roman Vet"/>
          <w:b/>
          <w:smallCaps/>
          <w:sz w:val="22"/>
        </w:rPr>
        <w:t xml:space="preserve">ntwoord </w:t>
      </w:r>
    </w:p>
    <w:p w:rsidR="009F10A6" w:rsidRDefault="001B746D" w:rsidP="007E2BBA">
      <w:pPr>
        <w:jc w:val="both"/>
        <w:rPr>
          <w:sz w:val="22"/>
        </w:rPr>
      </w:pPr>
      <w:r>
        <w:rPr>
          <w:sz w:val="22"/>
        </w:rPr>
        <w:t>op v</w:t>
      </w:r>
      <w:r w:rsidR="009F10A6">
        <w:rPr>
          <w:sz w:val="22"/>
        </w:rPr>
        <w:t>raag nr</w:t>
      </w:r>
      <w:r w:rsidR="007A7738">
        <w:rPr>
          <w:sz w:val="22"/>
        </w:rPr>
        <w:t xml:space="preserve">. </w:t>
      </w:r>
      <w:r w:rsidR="00AC3175">
        <w:rPr>
          <w:sz w:val="22"/>
        </w:rPr>
        <w:t>223</w:t>
      </w:r>
      <w:r w:rsidR="00BC7AD9">
        <w:rPr>
          <w:sz w:val="22"/>
        </w:rPr>
        <w:t xml:space="preserve"> </w:t>
      </w:r>
      <w:r w:rsidR="009F10A6">
        <w:rPr>
          <w:sz w:val="22"/>
        </w:rPr>
        <w:t xml:space="preserve">van </w:t>
      </w:r>
      <w:r w:rsidR="00AC3175">
        <w:rPr>
          <w:sz w:val="22"/>
        </w:rPr>
        <w:t>7 februari 2013</w:t>
      </w:r>
    </w:p>
    <w:p w:rsidR="009F10A6" w:rsidRDefault="009F10A6" w:rsidP="007E2BBA">
      <w:pPr>
        <w:pStyle w:val="StandaardSV"/>
        <w:rPr>
          <w:b/>
        </w:rPr>
      </w:pPr>
      <w:r>
        <w:t xml:space="preserve">van </w:t>
      </w:r>
      <w:r w:rsidR="00AC3175">
        <w:rPr>
          <w:b/>
          <w:smallCaps/>
        </w:rPr>
        <w:t>lode vereeck</w:t>
      </w:r>
    </w:p>
    <w:p w:rsidR="009F10A6" w:rsidRDefault="009F10A6" w:rsidP="007E2BBA">
      <w:pPr>
        <w:pBdr>
          <w:bottom w:val="single" w:sz="4" w:space="1" w:color="auto"/>
        </w:pBdr>
        <w:jc w:val="both"/>
        <w:rPr>
          <w:sz w:val="22"/>
        </w:rPr>
      </w:pPr>
    </w:p>
    <w:p w:rsidR="00EF296F" w:rsidRDefault="00EF296F" w:rsidP="007E2BBA">
      <w:pPr>
        <w:pStyle w:val="StandaardSV"/>
      </w:pPr>
    </w:p>
    <w:p w:rsidR="00AC3175" w:rsidRDefault="00AC3175" w:rsidP="00AC3175">
      <w:pPr>
        <w:pStyle w:val="StandaardSV"/>
      </w:pPr>
    </w:p>
    <w:p w:rsidR="0002190B" w:rsidRPr="00BC7AD9" w:rsidRDefault="001B746D" w:rsidP="00D50CE6">
      <w:pPr>
        <w:pStyle w:val="StandaardSV"/>
        <w:numPr>
          <w:ilvl w:val="0"/>
          <w:numId w:val="26"/>
        </w:numPr>
      </w:pPr>
      <w:r>
        <w:t xml:space="preserve">Er zijn geen </w:t>
      </w:r>
      <w:r w:rsidR="00AC3175">
        <w:t xml:space="preserve"> bedrijven bij wie </w:t>
      </w:r>
      <w:r>
        <w:t xml:space="preserve">door het ontslag van werknemers </w:t>
      </w:r>
      <w:r w:rsidR="00AC3175">
        <w:t>gronden zijn ontstaan om over te gaan tot terugvordering van toegekende steun in het kader van het kmo-programma</w:t>
      </w:r>
      <w:r>
        <w:t xml:space="preserve">. </w:t>
      </w:r>
    </w:p>
    <w:p w:rsidR="00AC3175" w:rsidRDefault="00AC3175" w:rsidP="0097145E">
      <w:pPr>
        <w:pStyle w:val="StandaardSV"/>
        <w:ind w:left="360"/>
      </w:pPr>
    </w:p>
    <w:p w:rsidR="0002190B" w:rsidRPr="00BC7AD9" w:rsidRDefault="001B746D" w:rsidP="00D50CE6">
      <w:pPr>
        <w:pStyle w:val="StandaardSV"/>
        <w:ind w:left="360"/>
      </w:pPr>
      <w:r>
        <w:t xml:space="preserve">Er werden dus ook geen </w:t>
      </w:r>
      <w:r w:rsidR="00AC3175">
        <w:t>procedures tot terugvordering van toegekende steun in het kader van het kmo-programma opgestart</w:t>
      </w:r>
      <w:r>
        <w:t xml:space="preserve">. </w:t>
      </w:r>
    </w:p>
    <w:p w:rsidR="00AC3175" w:rsidRDefault="00AC3175" w:rsidP="00D50CE6">
      <w:pPr>
        <w:pStyle w:val="StandaardSV"/>
        <w:ind w:left="12"/>
      </w:pPr>
    </w:p>
    <w:p w:rsidR="0002190B" w:rsidRPr="00BC7AD9" w:rsidRDefault="001B746D" w:rsidP="00D50CE6">
      <w:pPr>
        <w:pStyle w:val="StandaardSV"/>
        <w:ind w:left="372"/>
      </w:pPr>
      <w:r>
        <w:t>D</w:t>
      </w:r>
      <w:r w:rsidR="00AC3175">
        <w:t xml:space="preserve">it </w:t>
      </w:r>
      <w:r>
        <w:t>zal ook geen</w:t>
      </w:r>
      <w:r w:rsidR="00AC3175">
        <w:t xml:space="preserve"> aanleiding geven tot bijkomende procedures tot terugvordering van toegekende steun in het kader van het kmo-programma</w:t>
      </w:r>
      <w:r>
        <w:t>.</w:t>
      </w:r>
    </w:p>
    <w:p w:rsidR="00AC3175" w:rsidRDefault="00AC3175" w:rsidP="00D50CE6">
      <w:pPr>
        <w:pStyle w:val="StandaardSV"/>
        <w:ind w:left="12"/>
      </w:pPr>
    </w:p>
    <w:p w:rsidR="00AC3175" w:rsidRDefault="001B746D" w:rsidP="00D50CE6">
      <w:pPr>
        <w:pStyle w:val="StandaardSV"/>
        <w:ind w:left="12" w:firstLine="348"/>
      </w:pPr>
      <w:r>
        <w:t xml:space="preserve">De overige deelvragen van vraag 1 zijn niet van toepassing. </w:t>
      </w:r>
    </w:p>
    <w:p w:rsidR="00D50CE6" w:rsidRDefault="00D50CE6" w:rsidP="00D50CE6">
      <w:pPr>
        <w:pStyle w:val="StandaardSV"/>
        <w:ind w:left="360"/>
      </w:pPr>
    </w:p>
    <w:p w:rsidR="00AC3175" w:rsidRDefault="00D50CE6" w:rsidP="00D50CE6">
      <w:pPr>
        <w:pStyle w:val="StandaardSV"/>
        <w:numPr>
          <w:ilvl w:val="0"/>
          <w:numId w:val="26"/>
        </w:numPr>
      </w:pPr>
      <w:r>
        <w:t>O</w:t>
      </w:r>
      <w:r w:rsidR="00AC3175">
        <w:t xml:space="preserve">verzicht voor de periode 2008-2012 het aantal bedrijven bij </w:t>
      </w:r>
      <w:r w:rsidR="0097145E">
        <w:t>wie</w:t>
      </w:r>
      <w:r w:rsidR="00AC3175">
        <w:t xml:space="preserve"> toegekende steun </w:t>
      </w:r>
      <w:r w:rsidR="0097145E">
        <w:t>in het kader</w:t>
      </w:r>
      <w:r w:rsidR="00AC3175">
        <w:t xml:space="preserve"> van het kmo-programma geheel of gedeeltelijk diende teruggevorderd te worden of bij </w:t>
      </w:r>
      <w:r w:rsidR="0097145E">
        <w:t>wie</w:t>
      </w:r>
      <w:r w:rsidR="00E11585">
        <w:t xml:space="preserve"> er gronden (bv. niet-</w:t>
      </w:r>
      <w:r w:rsidR="00AC3175">
        <w:t xml:space="preserve">naleving van de contractuele voorwaarden) waren voor gehele of gedeeltelijke terugvordering van toegekende steun </w:t>
      </w:r>
      <w:r w:rsidR="0097145E">
        <w:t>in het kader</w:t>
      </w:r>
      <w:r w:rsidR="00AC3175">
        <w:t xml:space="preserve"> van het kmo-programma</w:t>
      </w:r>
      <w:r>
        <w:t xml:space="preserve"> :</w:t>
      </w:r>
    </w:p>
    <w:p w:rsidR="00D50CE6" w:rsidRDefault="00D50CE6" w:rsidP="00D50CE6">
      <w:pPr>
        <w:pStyle w:val="StandaardSV"/>
        <w:ind w:left="720"/>
      </w:pPr>
    </w:p>
    <w:p w:rsidR="0002190B" w:rsidRPr="00D50CE6" w:rsidRDefault="0002190B" w:rsidP="00D50CE6">
      <w:pPr>
        <w:pStyle w:val="StandaardSV"/>
        <w:ind w:left="360"/>
      </w:pPr>
      <w:r w:rsidRPr="00D50CE6">
        <w:t>Op het vlak van terugvordering kan een onderscheid gemaakt worden tussen 3 categorieën:</w:t>
      </w:r>
    </w:p>
    <w:p w:rsidR="0002190B" w:rsidRPr="00D50CE6" w:rsidRDefault="0002190B" w:rsidP="00D50CE6">
      <w:pPr>
        <w:pStyle w:val="StandaardSV"/>
        <w:ind w:left="993"/>
      </w:pPr>
      <w:r w:rsidRPr="00D50CE6">
        <w:t>1. Terugvordering van teveel uitbetaalde voorschotten</w:t>
      </w:r>
    </w:p>
    <w:p w:rsidR="0002190B" w:rsidRPr="00D50CE6" w:rsidRDefault="0002190B" w:rsidP="00D50CE6">
      <w:pPr>
        <w:pStyle w:val="StandaardSV"/>
        <w:ind w:left="993"/>
      </w:pPr>
      <w:r w:rsidRPr="00D50CE6">
        <w:t>2. Terugvordering naar aanleiding van faillissement</w:t>
      </w:r>
    </w:p>
    <w:p w:rsidR="0002190B" w:rsidRPr="00D50CE6" w:rsidRDefault="0002190B" w:rsidP="00D50CE6">
      <w:pPr>
        <w:pStyle w:val="StandaardSV"/>
        <w:ind w:left="993"/>
      </w:pPr>
      <w:r w:rsidRPr="00D50CE6">
        <w:t>3. Terugvordering als sanctionerende maatregel (bv. wegens contractbreuk, …)</w:t>
      </w:r>
      <w:r w:rsidR="00835189">
        <w:tab/>
      </w:r>
      <w:r w:rsidRPr="00D50CE6">
        <w:br/>
      </w:r>
      <w:r w:rsidRPr="00D50CE6">
        <w:br/>
        <w:t>1. Teruggevorderde voorschotten</w:t>
      </w:r>
    </w:p>
    <w:p w:rsidR="0002190B" w:rsidRPr="00D50CE6" w:rsidRDefault="0002190B" w:rsidP="0002190B">
      <w:pPr>
        <w:pStyle w:val="StandaardSV"/>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839"/>
        <w:gridCol w:w="2941"/>
      </w:tblGrid>
      <w:tr w:rsidR="0002190B" w:rsidRPr="00D50CE6" w:rsidTr="007D2E61">
        <w:tc>
          <w:tcPr>
            <w:tcW w:w="3070" w:type="dxa"/>
          </w:tcPr>
          <w:p w:rsidR="0002190B" w:rsidRPr="00D50CE6" w:rsidRDefault="0002190B" w:rsidP="007D2E61">
            <w:pPr>
              <w:pStyle w:val="StandaardSV"/>
            </w:pPr>
          </w:p>
        </w:tc>
        <w:tc>
          <w:tcPr>
            <w:tcW w:w="3071" w:type="dxa"/>
          </w:tcPr>
          <w:p w:rsidR="0002190B" w:rsidRPr="00D50CE6" w:rsidRDefault="0002190B" w:rsidP="007D2E61">
            <w:pPr>
              <w:pStyle w:val="StandaardSV"/>
              <w:jc w:val="right"/>
            </w:pPr>
            <w:r w:rsidRPr="00D50CE6">
              <w:t>Bedrijven</w:t>
            </w:r>
          </w:p>
        </w:tc>
        <w:tc>
          <w:tcPr>
            <w:tcW w:w="3071" w:type="dxa"/>
          </w:tcPr>
          <w:p w:rsidR="0002190B" w:rsidRPr="00D50CE6" w:rsidRDefault="0002190B" w:rsidP="007D2E61">
            <w:pPr>
              <w:pStyle w:val="StandaardSV"/>
              <w:ind w:left="360"/>
              <w:jc w:val="right"/>
            </w:pPr>
            <w:r w:rsidRPr="00D50CE6">
              <w:t>Terugvordering</w:t>
            </w:r>
          </w:p>
        </w:tc>
      </w:tr>
      <w:tr w:rsidR="0002190B" w:rsidRPr="00D50CE6" w:rsidTr="007D2E61">
        <w:tc>
          <w:tcPr>
            <w:tcW w:w="3070" w:type="dxa"/>
          </w:tcPr>
          <w:p w:rsidR="0002190B" w:rsidRPr="00D50CE6" w:rsidRDefault="0002190B" w:rsidP="007D2E61">
            <w:pPr>
              <w:pStyle w:val="StandaardSV"/>
            </w:pPr>
            <w:r w:rsidRPr="00D50CE6">
              <w:t>2008</w:t>
            </w:r>
          </w:p>
        </w:tc>
        <w:tc>
          <w:tcPr>
            <w:tcW w:w="3071" w:type="dxa"/>
          </w:tcPr>
          <w:p w:rsidR="0002190B" w:rsidRPr="00D50CE6" w:rsidRDefault="0002190B" w:rsidP="007D2E61">
            <w:pPr>
              <w:pStyle w:val="StandaardSV"/>
              <w:jc w:val="right"/>
            </w:pPr>
            <w:r w:rsidRPr="00D50CE6">
              <w:t>5</w:t>
            </w:r>
          </w:p>
        </w:tc>
        <w:tc>
          <w:tcPr>
            <w:tcW w:w="3071" w:type="dxa"/>
          </w:tcPr>
          <w:p w:rsidR="0002190B" w:rsidRPr="00D50CE6" w:rsidRDefault="0002190B" w:rsidP="007D2E61">
            <w:pPr>
              <w:pStyle w:val="StandaardSV"/>
              <w:jc w:val="right"/>
            </w:pPr>
            <w:r w:rsidRPr="00D50CE6">
              <w:t>35.571</w:t>
            </w:r>
          </w:p>
        </w:tc>
      </w:tr>
      <w:tr w:rsidR="0002190B" w:rsidRPr="00D50CE6" w:rsidTr="007D2E61">
        <w:tc>
          <w:tcPr>
            <w:tcW w:w="3070" w:type="dxa"/>
          </w:tcPr>
          <w:p w:rsidR="0002190B" w:rsidRPr="00D50CE6" w:rsidRDefault="0002190B" w:rsidP="007D2E61">
            <w:pPr>
              <w:pStyle w:val="StandaardSV"/>
            </w:pPr>
            <w:r w:rsidRPr="00D50CE6">
              <w:t>2009</w:t>
            </w:r>
          </w:p>
        </w:tc>
        <w:tc>
          <w:tcPr>
            <w:tcW w:w="3071" w:type="dxa"/>
          </w:tcPr>
          <w:p w:rsidR="0002190B" w:rsidRPr="00D50CE6" w:rsidRDefault="0002190B" w:rsidP="007D2E61">
            <w:pPr>
              <w:pStyle w:val="StandaardSV"/>
              <w:jc w:val="right"/>
            </w:pPr>
            <w:r w:rsidRPr="00D50CE6">
              <w:t>3</w:t>
            </w:r>
          </w:p>
        </w:tc>
        <w:tc>
          <w:tcPr>
            <w:tcW w:w="3071" w:type="dxa"/>
          </w:tcPr>
          <w:p w:rsidR="0002190B" w:rsidRPr="00D50CE6" w:rsidRDefault="0002190B" w:rsidP="007D2E61">
            <w:pPr>
              <w:pStyle w:val="StandaardSV"/>
              <w:jc w:val="right"/>
            </w:pPr>
            <w:r w:rsidRPr="00D50CE6">
              <w:t>12.611</w:t>
            </w:r>
          </w:p>
        </w:tc>
      </w:tr>
      <w:tr w:rsidR="0002190B" w:rsidRPr="00D50CE6" w:rsidTr="007D2E61">
        <w:tc>
          <w:tcPr>
            <w:tcW w:w="3070" w:type="dxa"/>
          </w:tcPr>
          <w:p w:rsidR="0002190B" w:rsidRPr="00D50CE6" w:rsidRDefault="0002190B" w:rsidP="007D2E61">
            <w:pPr>
              <w:pStyle w:val="StandaardSV"/>
            </w:pPr>
            <w:r w:rsidRPr="00D50CE6">
              <w:t>2010</w:t>
            </w:r>
          </w:p>
        </w:tc>
        <w:tc>
          <w:tcPr>
            <w:tcW w:w="3071" w:type="dxa"/>
          </w:tcPr>
          <w:p w:rsidR="0002190B" w:rsidRPr="00D50CE6" w:rsidRDefault="0002190B" w:rsidP="007D2E61">
            <w:pPr>
              <w:pStyle w:val="StandaardSV"/>
              <w:jc w:val="right"/>
            </w:pPr>
            <w:r w:rsidRPr="00D50CE6">
              <w:t>10</w:t>
            </w:r>
          </w:p>
        </w:tc>
        <w:tc>
          <w:tcPr>
            <w:tcW w:w="3071" w:type="dxa"/>
          </w:tcPr>
          <w:p w:rsidR="0002190B" w:rsidRPr="00D50CE6" w:rsidRDefault="0002190B" w:rsidP="007D2E61">
            <w:pPr>
              <w:pStyle w:val="StandaardSV"/>
              <w:jc w:val="right"/>
            </w:pPr>
            <w:r w:rsidRPr="00D50CE6">
              <w:t>104.758</w:t>
            </w:r>
          </w:p>
        </w:tc>
      </w:tr>
      <w:tr w:rsidR="0002190B" w:rsidRPr="00D50CE6" w:rsidTr="007D2E61">
        <w:tc>
          <w:tcPr>
            <w:tcW w:w="3070" w:type="dxa"/>
          </w:tcPr>
          <w:p w:rsidR="0002190B" w:rsidRPr="00D50CE6" w:rsidRDefault="0002190B" w:rsidP="007D2E61">
            <w:pPr>
              <w:pStyle w:val="StandaardSV"/>
            </w:pPr>
            <w:r w:rsidRPr="00D50CE6">
              <w:t>2011</w:t>
            </w:r>
          </w:p>
        </w:tc>
        <w:tc>
          <w:tcPr>
            <w:tcW w:w="3071" w:type="dxa"/>
          </w:tcPr>
          <w:p w:rsidR="0002190B" w:rsidRPr="00D50CE6" w:rsidRDefault="0002190B" w:rsidP="007D2E61">
            <w:pPr>
              <w:pStyle w:val="StandaardSV"/>
              <w:jc w:val="right"/>
            </w:pPr>
            <w:r w:rsidRPr="00D50CE6">
              <w:t>12</w:t>
            </w:r>
          </w:p>
        </w:tc>
        <w:tc>
          <w:tcPr>
            <w:tcW w:w="3071" w:type="dxa"/>
          </w:tcPr>
          <w:p w:rsidR="0002190B" w:rsidRPr="00D50CE6" w:rsidRDefault="0002190B" w:rsidP="007D2E61">
            <w:pPr>
              <w:pStyle w:val="StandaardSV"/>
              <w:jc w:val="right"/>
            </w:pPr>
            <w:r w:rsidRPr="00D50CE6">
              <w:t>104.638</w:t>
            </w:r>
          </w:p>
        </w:tc>
      </w:tr>
      <w:tr w:rsidR="0002190B" w:rsidRPr="00D50CE6" w:rsidTr="007D2E61">
        <w:tc>
          <w:tcPr>
            <w:tcW w:w="3070" w:type="dxa"/>
          </w:tcPr>
          <w:p w:rsidR="0002190B" w:rsidRPr="00D50CE6" w:rsidRDefault="0002190B" w:rsidP="007D2E61">
            <w:pPr>
              <w:pStyle w:val="StandaardSV"/>
            </w:pPr>
            <w:r w:rsidRPr="00D50CE6">
              <w:t>2012</w:t>
            </w:r>
          </w:p>
        </w:tc>
        <w:tc>
          <w:tcPr>
            <w:tcW w:w="3071" w:type="dxa"/>
          </w:tcPr>
          <w:p w:rsidR="0002190B" w:rsidRPr="00D50CE6" w:rsidRDefault="00AD702D" w:rsidP="007D2E61">
            <w:pPr>
              <w:pStyle w:val="StandaardSV"/>
              <w:jc w:val="right"/>
            </w:pPr>
            <w:r w:rsidRPr="00D50CE6">
              <w:t>6</w:t>
            </w:r>
          </w:p>
        </w:tc>
        <w:tc>
          <w:tcPr>
            <w:tcW w:w="3071" w:type="dxa"/>
          </w:tcPr>
          <w:p w:rsidR="0002190B" w:rsidRPr="00D50CE6" w:rsidRDefault="00AD702D" w:rsidP="007D2E61">
            <w:pPr>
              <w:pStyle w:val="StandaardSV"/>
              <w:jc w:val="right"/>
            </w:pPr>
            <w:r w:rsidRPr="00D50CE6">
              <w:t>25.329</w:t>
            </w:r>
          </w:p>
        </w:tc>
      </w:tr>
    </w:tbl>
    <w:p w:rsidR="0002190B" w:rsidRPr="00D50CE6" w:rsidRDefault="0002190B" w:rsidP="0002190B">
      <w:pPr>
        <w:pStyle w:val="StandaardSV"/>
        <w:ind w:left="720"/>
      </w:pPr>
    </w:p>
    <w:p w:rsidR="0002190B" w:rsidRPr="00D50CE6" w:rsidRDefault="0002190B" w:rsidP="00476862">
      <w:pPr>
        <w:pStyle w:val="StandaardSV"/>
        <w:ind w:left="1276"/>
      </w:pPr>
      <w:r w:rsidRPr="00D50CE6">
        <w:t>2. Terugvordering n.a.v. faillissement</w:t>
      </w:r>
    </w:p>
    <w:p w:rsidR="00476862" w:rsidRPr="00D50CE6" w:rsidRDefault="00476862" w:rsidP="0002190B">
      <w:pPr>
        <w:pStyle w:val="StandaardSV"/>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839"/>
        <w:gridCol w:w="2941"/>
      </w:tblGrid>
      <w:tr w:rsidR="0002190B" w:rsidRPr="00D50CE6" w:rsidTr="007D2E61">
        <w:tc>
          <w:tcPr>
            <w:tcW w:w="3070" w:type="dxa"/>
          </w:tcPr>
          <w:p w:rsidR="0002190B" w:rsidRPr="00D50CE6" w:rsidRDefault="0002190B" w:rsidP="007D2E61">
            <w:pPr>
              <w:pStyle w:val="StandaardSV"/>
            </w:pPr>
          </w:p>
        </w:tc>
        <w:tc>
          <w:tcPr>
            <w:tcW w:w="3071" w:type="dxa"/>
          </w:tcPr>
          <w:p w:rsidR="0002190B" w:rsidRPr="00D50CE6" w:rsidRDefault="0002190B" w:rsidP="007D2E61">
            <w:pPr>
              <w:pStyle w:val="StandaardSV"/>
              <w:jc w:val="right"/>
            </w:pPr>
            <w:r w:rsidRPr="00D50CE6">
              <w:t>Bedrijven</w:t>
            </w:r>
          </w:p>
        </w:tc>
        <w:tc>
          <w:tcPr>
            <w:tcW w:w="3071" w:type="dxa"/>
          </w:tcPr>
          <w:p w:rsidR="0002190B" w:rsidRPr="00D50CE6" w:rsidRDefault="0002190B" w:rsidP="007D2E61">
            <w:pPr>
              <w:pStyle w:val="StandaardSV"/>
              <w:ind w:left="360"/>
              <w:jc w:val="right"/>
            </w:pPr>
            <w:r w:rsidRPr="00D50CE6">
              <w:t>Terugvordering</w:t>
            </w:r>
          </w:p>
        </w:tc>
      </w:tr>
      <w:tr w:rsidR="0002190B" w:rsidRPr="00D50CE6" w:rsidTr="007D2E61">
        <w:tc>
          <w:tcPr>
            <w:tcW w:w="3070" w:type="dxa"/>
          </w:tcPr>
          <w:p w:rsidR="0002190B" w:rsidRPr="00D50CE6" w:rsidRDefault="0002190B" w:rsidP="007D2E61">
            <w:pPr>
              <w:pStyle w:val="StandaardSV"/>
            </w:pPr>
            <w:r w:rsidRPr="00D50CE6">
              <w:t>2008</w:t>
            </w:r>
          </w:p>
        </w:tc>
        <w:tc>
          <w:tcPr>
            <w:tcW w:w="3071" w:type="dxa"/>
          </w:tcPr>
          <w:p w:rsidR="0002190B" w:rsidRPr="00D50CE6" w:rsidRDefault="0002190B" w:rsidP="007D2E61">
            <w:pPr>
              <w:pStyle w:val="StandaardSV"/>
              <w:jc w:val="right"/>
            </w:pPr>
            <w:r w:rsidRPr="00D50CE6">
              <w:t>2</w:t>
            </w:r>
          </w:p>
        </w:tc>
        <w:tc>
          <w:tcPr>
            <w:tcW w:w="3071" w:type="dxa"/>
          </w:tcPr>
          <w:p w:rsidR="0002190B" w:rsidRPr="00D50CE6" w:rsidRDefault="0002190B" w:rsidP="007D2E61">
            <w:pPr>
              <w:pStyle w:val="StandaardSV"/>
              <w:jc w:val="right"/>
            </w:pPr>
            <w:r w:rsidRPr="00D50CE6">
              <w:t>105.136</w:t>
            </w:r>
          </w:p>
        </w:tc>
      </w:tr>
      <w:tr w:rsidR="0002190B" w:rsidRPr="00D50CE6" w:rsidTr="007D2E61">
        <w:tc>
          <w:tcPr>
            <w:tcW w:w="3070" w:type="dxa"/>
          </w:tcPr>
          <w:p w:rsidR="0002190B" w:rsidRPr="00D50CE6" w:rsidRDefault="0002190B" w:rsidP="007D2E61">
            <w:pPr>
              <w:pStyle w:val="StandaardSV"/>
            </w:pPr>
            <w:r w:rsidRPr="00D50CE6">
              <w:t>2009</w:t>
            </w:r>
          </w:p>
        </w:tc>
        <w:tc>
          <w:tcPr>
            <w:tcW w:w="3071" w:type="dxa"/>
          </w:tcPr>
          <w:p w:rsidR="0002190B" w:rsidRPr="00D50CE6" w:rsidRDefault="0002190B" w:rsidP="007D2E61">
            <w:pPr>
              <w:pStyle w:val="StandaardSV"/>
              <w:jc w:val="right"/>
            </w:pPr>
            <w:r w:rsidRPr="00D50CE6">
              <w:t>4</w:t>
            </w:r>
          </w:p>
        </w:tc>
        <w:tc>
          <w:tcPr>
            <w:tcW w:w="3071" w:type="dxa"/>
          </w:tcPr>
          <w:p w:rsidR="0002190B" w:rsidRPr="00D50CE6" w:rsidRDefault="0002190B" w:rsidP="007D2E61">
            <w:pPr>
              <w:pStyle w:val="StandaardSV"/>
              <w:jc w:val="right"/>
            </w:pPr>
            <w:r w:rsidRPr="00D50CE6">
              <w:t>87.500</w:t>
            </w:r>
          </w:p>
        </w:tc>
      </w:tr>
      <w:tr w:rsidR="0002190B" w:rsidRPr="00D50CE6" w:rsidTr="007D2E61">
        <w:tc>
          <w:tcPr>
            <w:tcW w:w="3070" w:type="dxa"/>
          </w:tcPr>
          <w:p w:rsidR="0002190B" w:rsidRPr="00D50CE6" w:rsidRDefault="0002190B" w:rsidP="007D2E61">
            <w:pPr>
              <w:pStyle w:val="StandaardSV"/>
            </w:pPr>
            <w:r w:rsidRPr="00D50CE6">
              <w:t>2010</w:t>
            </w:r>
          </w:p>
        </w:tc>
        <w:tc>
          <w:tcPr>
            <w:tcW w:w="3071" w:type="dxa"/>
          </w:tcPr>
          <w:p w:rsidR="0002190B" w:rsidRPr="00D50CE6" w:rsidRDefault="0002190B" w:rsidP="007D2E61">
            <w:pPr>
              <w:pStyle w:val="StandaardSV"/>
              <w:jc w:val="right"/>
            </w:pPr>
            <w:r w:rsidRPr="00D50CE6">
              <w:t>2</w:t>
            </w:r>
          </w:p>
        </w:tc>
        <w:tc>
          <w:tcPr>
            <w:tcW w:w="3071" w:type="dxa"/>
          </w:tcPr>
          <w:p w:rsidR="0002190B" w:rsidRPr="00D50CE6" w:rsidRDefault="0002190B" w:rsidP="007D2E61">
            <w:pPr>
              <w:pStyle w:val="StandaardSV"/>
              <w:jc w:val="right"/>
            </w:pPr>
            <w:r w:rsidRPr="00D50CE6">
              <w:t>179.806</w:t>
            </w:r>
          </w:p>
        </w:tc>
      </w:tr>
      <w:tr w:rsidR="0002190B" w:rsidRPr="00D50CE6" w:rsidTr="007D2E61">
        <w:tc>
          <w:tcPr>
            <w:tcW w:w="3070" w:type="dxa"/>
          </w:tcPr>
          <w:p w:rsidR="0002190B" w:rsidRPr="00D50CE6" w:rsidRDefault="0002190B" w:rsidP="007D2E61">
            <w:pPr>
              <w:pStyle w:val="StandaardSV"/>
            </w:pPr>
            <w:r w:rsidRPr="00D50CE6">
              <w:t>2011</w:t>
            </w:r>
          </w:p>
        </w:tc>
        <w:tc>
          <w:tcPr>
            <w:tcW w:w="3071" w:type="dxa"/>
          </w:tcPr>
          <w:p w:rsidR="0002190B" w:rsidRPr="00D50CE6" w:rsidRDefault="0002190B" w:rsidP="007D2E61">
            <w:pPr>
              <w:pStyle w:val="StandaardSV"/>
              <w:jc w:val="right"/>
            </w:pPr>
            <w:r w:rsidRPr="00D50CE6">
              <w:t>3</w:t>
            </w:r>
          </w:p>
        </w:tc>
        <w:tc>
          <w:tcPr>
            <w:tcW w:w="3071" w:type="dxa"/>
          </w:tcPr>
          <w:p w:rsidR="0002190B" w:rsidRPr="00D50CE6" w:rsidRDefault="0002190B" w:rsidP="007D2E61">
            <w:pPr>
              <w:pStyle w:val="StandaardSV"/>
              <w:jc w:val="right"/>
            </w:pPr>
            <w:r w:rsidRPr="00D50CE6">
              <w:t>124.333</w:t>
            </w:r>
          </w:p>
        </w:tc>
      </w:tr>
      <w:tr w:rsidR="0002190B" w:rsidRPr="00D50CE6" w:rsidTr="007D2E61">
        <w:tc>
          <w:tcPr>
            <w:tcW w:w="3070" w:type="dxa"/>
          </w:tcPr>
          <w:p w:rsidR="0002190B" w:rsidRPr="00D50CE6" w:rsidRDefault="0002190B" w:rsidP="007D2E61">
            <w:pPr>
              <w:pStyle w:val="StandaardSV"/>
            </w:pPr>
            <w:r w:rsidRPr="00D50CE6">
              <w:t>2012</w:t>
            </w:r>
          </w:p>
        </w:tc>
        <w:tc>
          <w:tcPr>
            <w:tcW w:w="3071" w:type="dxa"/>
          </w:tcPr>
          <w:p w:rsidR="0002190B" w:rsidRPr="00D50CE6" w:rsidRDefault="001F6544" w:rsidP="007D2E61">
            <w:pPr>
              <w:pStyle w:val="StandaardSV"/>
              <w:jc w:val="right"/>
            </w:pPr>
            <w:r w:rsidRPr="00D50CE6">
              <w:t>5</w:t>
            </w:r>
          </w:p>
        </w:tc>
        <w:tc>
          <w:tcPr>
            <w:tcW w:w="3071" w:type="dxa"/>
          </w:tcPr>
          <w:p w:rsidR="0002190B" w:rsidRPr="00D50CE6" w:rsidRDefault="00476862" w:rsidP="00476862">
            <w:pPr>
              <w:pStyle w:val="StandaardSV"/>
              <w:jc w:val="right"/>
            </w:pPr>
            <w:r w:rsidRPr="00D50CE6">
              <w:t>*</w:t>
            </w:r>
            <w:r w:rsidR="001F6544" w:rsidRPr="00D50CE6">
              <w:t>524.397</w:t>
            </w:r>
          </w:p>
        </w:tc>
      </w:tr>
    </w:tbl>
    <w:p w:rsidR="00AD702D" w:rsidRPr="00D50CE6" w:rsidRDefault="001F6544" w:rsidP="00476862">
      <w:pPr>
        <w:pStyle w:val="StandaardSV"/>
        <w:ind w:left="709"/>
        <w:jc w:val="left"/>
      </w:pPr>
      <w:r w:rsidRPr="00D50CE6">
        <w:t>*</w:t>
      </w:r>
      <w:r w:rsidR="00476862" w:rsidRPr="00D50CE6">
        <w:t xml:space="preserve"> w</w:t>
      </w:r>
      <w:r w:rsidRPr="00D50CE6">
        <w:t>aarvan 102.000 in 2013</w:t>
      </w:r>
    </w:p>
    <w:p w:rsidR="00BC7AD9" w:rsidRDefault="0002190B" w:rsidP="001F6544">
      <w:pPr>
        <w:pStyle w:val="StandaardSV"/>
        <w:ind w:left="1080"/>
        <w:jc w:val="left"/>
      </w:pPr>
      <w:r w:rsidRPr="00D50CE6">
        <w:br/>
      </w:r>
    </w:p>
    <w:p w:rsidR="00BC7AD9" w:rsidRDefault="00BC7AD9">
      <w:pPr>
        <w:rPr>
          <w:sz w:val="22"/>
        </w:rPr>
      </w:pPr>
      <w:r>
        <w:br w:type="page"/>
      </w:r>
    </w:p>
    <w:p w:rsidR="0002190B" w:rsidRPr="00D50CE6" w:rsidRDefault="0002190B" w:rsidP="001F6544">
      <w:pPr>
        <w:pStyle w:val="StandaardSV"/>
        <w:ind w:left="1080"/>
        <w:jc w:val="left"/>
      </w:pPr>
      <w:r w:rsidRPr="00D50CE6">
        <w:lastRenderedPageBreak/>
        <w:t>3. Terugvordering als sanctie</w:t>
      </w:r>
    </w:p>
    <w:p w:rsidR="0002190B" w:rsidRPr="00D50CE6" w:rsidRDefault="0002190B" w:rsidP="0002190B">
      <w:pPr>
        <w:pStyle w:val="StandaardSV"/>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839"/>
        <w:gridCol w:w="2941"/>
      </w:tblGrid>
      <w:tr w:rsidR="0002190B" w:rsidRPr="00D50CE6" w:rsidTr="007D2E61">
        <w:tc>
          <w:tcPr>
            <w:tcW w:w="3070" w:type="dxa"/>
          </w:tcPr>
          <w:p w:rsidR="0002190B" w:rsidRPr="00D50CE6" w:rsidRDefault="0002190B" w:rsidP="007D2E61">
            <w:pPr>
              <w:pStyle w:val="StandaardSV"/>
            </w:pPr>
          </w:p>
        </w:tc>
        <w:tc>
          <w:tcPr>
            <w:tcW w:w="3071" w:type="dxa"/>
          </w:tcPr>
          <w:p w:rsidR="0002190B" w:rsidRPr="00D50CE6" w:rsidRDefault="0002190B" w:rsidP="007D2E61">
            <w:pPr>
              <w:pStyle w:val="StandaardSV"/>
              <w:jc w:val="right"/>
            </w:pPr>
            <w:r w:rsidRPr="00D50CE6">
              <w:t>Bedrijven</w:t>
            </w:r>
          </w:p>
        </w:tc>
        <w:tc>
          <w:tcPr>
            <w:tcW w:w="3071" w:type="dxa"/>
          </w:tcPr>
          <w:p w:rsidR="0002190B" w:rsidRPr="00D50CE6" w:rsidRDefault="0002190B" w:rsidP="007D2E61">
            <w:pPr>
              <w:pStyle w:val="StandaardSV"/>
              <w:ind w:left="360"/>
              <w:jc w:val="right"/>
            </w:pPr>
            <w:r w:rsidRPr="00D50CE6">
              <w:t>Terugvordering</w:t>
            </w:r>
          </w:p>
        </w:tc>
      </w:tr>
      <w:tr w:rsidR="0002190B" w:rsidRPr="00D50CE6" w:rsidTr="007D2E61">
        <w:tc>
          <w:tcPr>
            <w:tcW w:w="3070" w:type="dxa"/>
          </w:tcPr>
          <w:p w:rsidR="0002190B" w:rsidRPr="00D50CE6" w:rsidRDefault="0002190B" w:rsidP="007D2E61">
            <w:pPr>
              <w:pStyle w:val="StandaardSV"/>
            </w:pPr>
            <w:r w:rsidRPr="00D50CE6">
              <w:t>2008</w:t>
            </w:r>
          </w:p>
        </w:tc>
        <w:tc>
          <w:tcPr>
            <w:tcW w:w="3071" w:type="dxa"/>
          </w:tcPr>
          <w:p w:rsidR="0002190B" w:rsidRPr="00D50CE6" w:rsidRDefault="0002190B" w:rsidP="007D2E61">
            <w:pPr>
              <w:pStyle w:val="StandaardSV"/>
              <w:jc w:val="right"/>
            </w:pPr>
            <w:r w:rsidRPr="00D50CE6">
              <w:t>1</w:t>
            </w:r>
          </w:p>
        </w:tc>
        <w:tc>
          <w:tcPr>
            <w:tcW w:w="3071" w:type="dxa"/>
          </w:tcPr>
          <w:p w:rsidR="0002190B" w:rsidRPr="00D50CE6" w:rsidRDefault="0002190B" w:rsidP="007D2E61">
            <w:pPr>
              <w:pStyle w:val="StandaardSV"/>
              <w:jc w:val="right"/>
            </w:pPr>
            <w:r w:rsidRPr="00D50CE6">
              <w:t>18.734</w:t>
            </w:r>
          </w:p>
        </w:tc>
      </w:tr>
      <w:tr w:rsidR="0002190B" w:rsidRPr="00D50CE6" w:rsidTr="007D2E61">
        <w:tc>
          <w:tcPr>
            <w:tcW w:w="3070" w:type="dxa"/>
          </w:tcPr>
          <w:p w:rsidR="0002190B" w:rsidRPr="00D50CE6" w:rsidRDefault="0002190B" w:rsidP="007D2E61">
            <w:pPr>
              <w:pStyle w:val="StandaardSV"/>
            </w:pPr>
            <w:r w:rsidRPr="00D50CE6">
              <w:t>2009</w:t>
            </w:r>
          </w:p>
        </w:tc>
        <w:tc>
          <w:tcPr>
            <w:tcW w:w="3071" w:type="dxa"/>
          </w:tcPr>
          <w:p w:rsidR="0002190B" w:rsidRPr="00D50CE6" w:rsidRDefault="0002190B" w:rsidP="007D2E61">
            <w:pPr>
              <w:pStyle w:val="StandaardSV"/>
              <w:jc w:val="right"/>
            </w:pPr>
            <w:r w:rsidRPr="00D50CE6">
              <w:t>2</w:t>
            </w:r>
          </w:p>
        </w:tc>
        <w:tc>
          <w:tcPr>
            <w:tcW w:w="3071" w:type="dxa"/>
          </w:tcPr>
          <w:p w:rsidR="0002190B" w:rsidRPr="00D50CE6" w:rsidRDefault="0002190B" w:rsidP="007D2E61">
            <w:pPr>
              <w:pStyle w:val="StandaardSV"/>
              <w:jc w:val="right"/>
            </w:pPr>
            <w:r w:rsidRPr="00D50CE6">
              <w:t>230.304</w:t>
            </w:r>
          </w:p>
        </w:tc>
      </w:tr>
      <w:tr w:rsidR="0002190B" w:rsidRPr="00D50CE6" w:rsidTr="007D2E61">
        <w:tc>
          <w:tcPr>
            <w:tcW w:w="3070" w:type="dxa"/>
          </w:tcPr>
          <w:p w:rsidR="0002190B" w:rsidRPr="00D50CE6" w:rsidRDefault="0002190B" w:rsidP="007D2E61">
            <w:pPr>
              <w:pStyle w:val="StandaardSV"/>
            </w:pPr>
            <w:r w:rsidRPr="00D50CE6">
              <w:t>2010</w:t>
            </w:r>
          </w:p>
        </w:tc>
        <w:tc>
          <w:tcPr>
            <w:tcW w:w="3071" w:type="dxa"/>
          </w:tcPr>
          <w:p w:rsidR="0002190B" w:rsidRPr="00D50CE6" w:rsidRDefault="0002190B" w:rsidP="007D2E61">
            <w:pPr>
              <w:pStyle w:val="StandaardSV"/>
              <w:jc w:val="right"/>
            </w:pPr>
            <w:r w:rsidRPr="00D50CE6">
              <w:t>2</w:t>
            </w:r>
          </w:p>
        </w:tc>
        <w:tc>
          <w:tcPr>
            <w:tcW w:w="3071" w:type="dxa"/>
          </w:tcPr>
          <w:p w:rsidR="0002190B" w:rsidRPr="00D50CE6" w:rsidRDefault="0002190B" w:rsidP="007D2E61">
            <w:pPr>
              <w:pStyle w:val="StandaardSV"/>
              <w:jc w:val="right"/>
            </w:pPr>
            <w:r w:rsidRPr="00D50CE6">
              <w:t>98.833</w:t>
            </w:r>
          </w:p>
        </w:tc>
      </w:tr>
      <w:tr w:rsidR="0002190B" w:rsidRPr="00D50CE6" w:rsidTr="007D2E61">
        <w:tc>
          <w:tcPr>
            <w:tcW w:w="3070" w:type="dxa"/>
          </w:tcPr>
          <w:p w:rsidR="0002190B" w:rsidRPr="00D50CE6" w:rsidRDefault="0002190B" w:rsidP="007D2E61">
            <w:pPr>
              <w:pStyle w:val="StandaardSV"/>
            </w:pPr>
            <w:r w:rsidRPr="00D50CE6">
              <w:t>2011</w:t>
            </w:r>
          </w:p>
        </w:tc>
        <w:tc>
          <w:tcPr>
            <w:tcW w:w="3071" w:type="dxa"/>
          </w:tcPr>
          <w:p w:rsidR="0002190B" w:rsidRPr="00D50CE6" w:rsidRDefault="0002190B" w:rsidP="007D2E61">
            <w:pPr>
              <w:pStyle w:val="StandaardSV"/>
              <w:jc w:val="right"/>
            </w:pPr>
            <w:r w:rsidRPr="00D50CE6">
              <w:t>3</w:t>
            </w:r>
          </w:p>
        </w:tc>
        <w:tc>
          <w:tcPr>
            <w:tcW w:w="3071" w:type="dxa"/>
          </w:tcPr>
          <w:p w:rsidR="0002190B" w:rsidRPr="00D50CE6" w:rsidRDefault="0002190B" w:rsidP="007D2E61">
            <w:pPr>
              <w:pStyle w:val="StandaardSV"/>
              <w:jc w:val="right"/>
            </w:pPr>
            <w:r w:rsidRPr="00D50CE6">
              <w:t>19.530</w:t>
            </w:r>
          </w:p>
        </w:tc>
      </w:tr>
      <w:tr w:rsidR="0002190B" w:rsidRPr="00D50CE6" w:rsidTr="007D2E61">
        <w:tc>
          <w:tcPr>
            <w:tcW w:w="3070" w:type="dxa"/>
          </w:tcPr>
          <w:p w:rsidR="0002190B" w:rsidRPr="00D50CE6" w:rsidRDefault="0002190B" w:rsidP="007D2E61">
            <w:pPr>
              <w:pStyle w:val="StandaardSV"/>
            </w:pPr>
            <w:r w:rsidRPr="00D50CE6">
              <w:t>2012</w:t>
            </w:r>
          </w:p>
        </w:tc>
        <w:tc>
          <w:tcPr>
            <w:tcW w:w="3071" w:type="dxa"/>
          </w:tcPr>
          <w:p w:rsidR="0002190B" w:rsidRPr="00D50CE6" w:rsidRDefault="00AD702D" w:rsidP="007D2E61">
            <w:pPr>
              <w:pStyle w:val="StandaardSV"/>
              <w:jc w:val="right"/>
            </w:pPr>
            <w:r w:rsidRPr="00D50CE6">
              <w:t>3</w:t>
            </w:r>
          </w:p>
        </w:tc>
        <w:tc>
          <w:tcPr>
            <w:tcW w:w="3071" w:type="dxa"/>
          </w:tcPr>
          <w:p w:rsidR="0002190B" w:rsidRPr="00D50CE6" w:rsidRDefault="00AD702D" w:rsidP="00AD702D">
            <w:pPr>
              <w:pStyle w:val="StandaardSV"/>
              <w:jc w:val="right"/>
            </w:pPr>
            <w:r w:rsidRPr="00D50CE6">
              <w:t>82</w:t>
            </w:r>
            <w:r w:rsidR="001F6544" w:rsidRPr="00D50CE6">
              <w:t>.</w:t>
            </w:r>
            <w:r w:rsidRPr="00D50CE6">
              <w:t>6</w:t>
            </w:r>
            <w:r w:rsidR="001F6544" w:rsidRPr="00D50CE6">
              <w:t>33</w:t>
            </w:r>
          </w:p>
        </w:tc>
      </w:tr>
    </w:tbl>
    <w:p w:rsidR="00AC3175" w:rsidRPr="00D50CE6" w:rsidRDefault="00AC3175" w:rsidP="0097145E">
      <w:pPr>
        <w:pStyle w:val="StandaardSV"/>
      </w:pPr>
    </w:p>
    <w:p w:rsidR="001F6544" w:rsidRPr="00D50CE6" w:rsidRDefault="001F6544" w:rsidP="00BC7AD9">
      <w:pPr>
        <w:pStyle w:val="StandaardSV"/>
        <w:ind w:left="426"/>
      </w:pPr>
      <w:r w:rsidRPr="00D50CE6">
        <w:t>De terugvordering in de eerste categorie wordt vastgesteld in het kader van de eindverificatie van het project op basis van de financiële verslaggeving. Indien daaruit blijkt dat het uiteindelijke subsidiebedrag kleiner is dan de al uitbetaalde voorschotten, wordt het verschil teruggevorderd. De betrokken bedrijven worden daartoe aangeschreven met het verzoek tot terugbetaling over te gaan.</w:t>
      </w:r>
    </w:p>
    <w:p w:rsidR="00D50CE6" w:rsidRDefault="001F6544" w:rsidP="00BC7AD9">
      <w:pPr>
        <w:pStyle w:val="StandaardSV"/>
        <w:ind w:left="426"/>
      </w:pPr>
      <w:r w:rsidRPr="00D50CE6">
        <w:br/>
        <w:t>Zodra een onderneming die IWT-subsidies ontvangt failliet verklaard wordt, worden de projecten geïdentificeerd waarin het betrokken bedrijf begunstigde is. Gaat het om projecten in valorisatie (waarvan de eindverificatie gebeurd is en de subsidie volledig is uitbetaald), dan wordt de curator aangeschreven en gewezen op eventuele openstaande valorisatieverplichtingen. IWT beschikt over weinig rechtsmiddelen om de opvolging hiervan af te dwingen.</w:t>
      </w:r>
    </w:p>
    <w:p w:rsidR="001F6544" w:rsidRPr="00D50CE6" w:rsidRDefault="001F6544" w:rsidP="00BC7AD9">
      <w:pPr>
        <w:pStyle w:val="StandaardSV"/>
        <w:ind w:left="426"/>
      </w:pPr>
      <w:r w:rsidRPr="00D50CE6">
        <w:br/>
        <w:t>In geval van faling van ondernemingen met projecten in uitvoering of waarvan de financiële eindverslaggeving nog niet werd geverifieerd, zal formeel een vordering in het faillissement worden ingediend volgens de procedures vastgelegd in de faillissementswetgeving. De vordering betreft dan de al uitbetaalde voorschotten (waarvoor nog geen kosten ter verantwoording werden bewezen).</w:t>
      </w:r>
    </w:p>
    <w:p w:rsidR="001F6544" w:rsidRPr="00D50CE6" w:rsidRDefault="001F6544" w:rsidP="00BC7AD9">
      <w:pPr>
        <w:pStyle w:val="StandaardSV"/>
        <w:ind w:left="426"/>
      </w:pPr>
      <w:r w:rsidRPr="00D50CE6">
        <w:br/>
        <w:t>Bij andere incidenten die aanleiding geven tot een bijzondere opvolging en eventueel terugvordering, wordt een procedure gevolgd, zoals omschreven in het antwoord op</w:t>
      </w:r>
      <w:r w:rsidR="00803825">
        <w:t xml:space="preserve"> uw</w:t>
      </w:r>
      <w:r w:rsidRPr="00D50CE6">
        <w:t xml:space="preserve"> vraag nr. 97 van 30 november 2012.</w:t>
      </w:r>
    </w:p>
    <w:p w:rsidR="00AC3175" w:rsidRPr="00D50CE6" w:rsidRDefault="00AC3175" w:rsidP="0097145E">
      <w:pPr>
        <w:pStyle w:val="StandaardSV"/>
      </w:pPr>
    </w:p>
    <w:p w:rsidR="001F6544" w:rsidRPr="00D50CE6" w:rsidRDefault="00673333" w:rsidP="00BC7AD9">
      <w:pPr>
        <w:pStyle w:val="StandaardSV"/>
        <w:ind w:left="426"/>
      </w:pPr>
      <w:r>
        <w:t>H</w:t>
      </w:r>
      <w:r w:rsidR="00AC3175" w:rsidRPr="00D50CE6">
        <w:t xml:space="preserve">et jaarlijks totaalbedrag aan effectief terugbetaalde steun </w:t>
      </w:r>
      <w:r w:rsidR="0097145E" w:rsidRPr="00D50CE6">
        <w:t>in het kader</w:t>
      </w:r>
      <w:r w:rsidR="00AC3175" w:rsidRPr="00D50CE6">
        <w:t xml:space="preserve"> van het kmo-programma;</w:t>
      </w:r>
      <w:r w:rsidR="001F6544" w:rsidRPr="00D50CE6">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236"/>
        <w:gridCol w:w="1957"/>
        <w:gridCol w:w="2513"/>
      </w:tblGrid>
      <w:tr w:rsidR="001F6544" w:rsidRPr="00D50CE6" w:rsidTr="007D2E61">
        <w:tc>
          <w:tcPr>
            <w:tcW w:w="1862" w:type="dxa"/>
          </w:tcPr>
          <w:p w:rsidR="001F6544" w:rsidRPr="00D50CE6" w:rsidRDefault="001F6544" w:rsidP="007D2E61">
            <w:pPr>
              <w:pStyle w:val="StandaardSV"/>
            </w:pPr>
          </w:p>
        </w:tc>
        <w:tc>
          <w:tcPr>
            <w:tcW w:w="2236" w:type="dxa"/>
          </w:tcPr>
          <w:p w:rsidR="001F6544" w:rsidRPr="00D50CE6" w:rsidRDefault="001F6544" w:rsidP="007D2E61">
            <w:pPr>
              <w:pStyle w:val="StandaardSV"/>
              <w:jc w:val="right"/>
            </w:pPr>
            <w:r w:rsidRPr="00D50CE6">
              <w:t>Voorschotten</w:t>
            </w:r>
          </w:p>
        </w:tc>
        <w:tc>
          <w:tcPr>
            <w:tcW w:w="1957" w:type="dxa"/>
          </w:tcPr>
          <w:p w:rsidR="001F6544" w:rsidRPr="00D50CE6" w:rsidRDefault="001F6544" w:rsidP="007D2E61">
            <w:pPr>
              <w:pStyle w:val="StandaardSV"/>
              <w:ind w:left="360"/>
              <w:jc w:val="right"/>
            </w:pPr>
            <w:r w:rsidRPr="00D50CE6">
              <w:t>Faillissementen</w:t>
            </w:r>
          </w:p>
        </w:tc>
        <w:tc>
          <w:tcPr>
            <w:tcW w:w="2513" w:type="dxa"/>
          </w:tcPr>
          <w:p w:rsidR="001F6544" w:rsidRPr="00D50CE6" w:rsidRDefault="001F6544" w:rsidP="007D2E61">
            <w:pPr>
              <w:pStyle w:val="StandaardSV"/>
              <w:ind w:left="360"/>
              <w:jc w:val="right"/>
            </w:pPr>
            <w:r w:rsidRPr="00D50CE6">
              <w:t>Terugvordering</w:t>
            </w:r>
          </w:p>
        </w:tc>
      </w:tr>
      <w:tr w:rsidR="001F6544" w:rsidRPr="00D50CE6" w:rsidTr="007D2E61">
        <w:tc>
          <w:tcPr>
            <w:tcW w:w="1862" w:type="dxa"/>
          </w:tcPr>
          <w:p w:rsidR="001F6544" w:rsidRPr="00D50CE6" w:rsidRDefault="001F6544" w:rsidP="007D2E61">
            <w:pPr>
              <w:pStyle w:val="StandaardSV"/>
            </w:pPr>
            <w:r w:rsidRPr="00D50CE6">
              <w:t>2008</w:t>
            </w:r>
          </w:p>
        </w:tc>
        <w:tc>
          <w:tcPr>
            <w:tcW w:w="2236" w:type="dxa"/>
          </w:tcPr>
          <w:p w:rsidR="001F6544" w:rsidRPr="00D50CE6" w:rsidRDefault="001F6544" w:rsidP="007D2E61">
            <w:pPr>
              <w:pStyle w:val="StandaardSV"/>
              <w:jc w:val="right"/>
            </w:pPr>
            <w:r w:rsidRPr="00D50CE6">
              <w:t>35.571</w:t>
            </w:r>
          </w:p>
        </w:tc>
        <w:tc>
          <w:tcPr>
            <w:tcW w:w="1957" w:type="dxa"/>
          </w:tcPr>
          <w:p w:rsidR="001F6544" w:rsidRPr="00D50CE6" w:rsidRDefault="001F6544" w:rsidP="007D2E61">
            <w:pPr>
              <w:pStyle w:val="StandaardSV"/>
              <w:jc w:val="right"/>
            </w:pPr>
            <w:r w:rsidRPr="00D50CE6">
              <w:t>0,00</w:t>
            </w:r>
          </w:p>
        </w:tc>
        <w:tc>
          <w:tcPr>
            <w:tcW w:w="2513" w:type="dxa"/>
          </w:tcPr>
          <w:p w:rsidR="001F6544" w:rsidRPr="00D50CE6" w:rsidRDefault="001F6544" w:rsidP="007D2E61">
            <w:pPr>
              <w:pStyle w:val="StandaardSV"/>
              <w:jc w:val="right"/>
            </w:pPr>
            <w:r w:rsidRPr="00D50CE6">
              <w:t>18.734</w:t>
            </w:r>
          </w:p>
        </w:tc>
      </w:tr>
      <w:tr w:rsidR="001F6544" w:rsidRPr="00D50CE6" w:rsidTr="007D2E61">
        <w:tc>
          <w:tcPr>
            <w:tcW w:w="1862" w:type="dxa"/>
          </w:tcPr>
          <w:p w:rsidR="001F6544" w:rsidRPr="00D50CE6" w:rsidRDefault="001F6544" w:rsidP="007D2E61">
            <w:pPr>
              <w:pStyle w:val="StandaardSV"/>
            </w:pPr>
            <w:r w:rsidRPr="00D50CE6">
              <w:t>2009</w:t>
            </w:r>
          </w:p>
        </w:tc>
        <w:tc>
          <w:tcPr>
            <w:tcW w:w="2236" w:type="dxa"/>
          </w:tcPr>
          <w:p w:rsidR="001F6544" w:rsidRPr="00D50CE6" w:rsidRDefault="001F6544" w:rsidP="007D2E61">
            <w:pPr>
              <w:pStyle w:val="StandaardSV"/>
              <w:jc w:val="right"/>
            </w:pPr>
            <w:r w:rsidRPr="00D50CE6">
              <w:t>12.611</w:t>
            </w:r>
          </w:p>
        </w:tc>
        <w:tc>
          <w:tcPr>
            <w:tcW w:w="1957" w:type="dxa"/>
          </w:tcPr>
          <w:p w:rsidR="001F6544" w:rsidRPr="00D50CE6" w:rsidRDefault="001F6544" w:rsidP="007D2E61">
            <w:pPr>
              <w:pStyle w:val="StandaardSV"/>
              <w:jc w:val="right"/>
            </w:pPr>
            <w:r w:rsidRPr="00D50CE6">
              <w:t>0,00</w:t>
            </w:r>
          </w:p>
        </w:tc>
        <w:tc>
          <w:tcPr>
            <w:tcW w:w="2513" w:type="dxa"/>
          </w:tcPr>
          <w:p w:rsidR="001F6544" w:rsidRPr="00D50CE6" w:rsidRDefault="001F6544" w:rsidP="007D2E61">
            <w:pPr>
              <w:pStyle w:val="StandaardSV"/>
              <w:jc w:val="right"/>
            </w:pPr>
            <w:r w:rsidRPr="00D50CE6">
              <w:t>230.304</w:t>
            </w:r>
          </w:p>
        </w:tc>
      </w:tr>
      <w:tr w:rsidR="001F6544" w:rsidRPr="00D50CE6" w:rsidTr="007D2E61">
        <w:tc>
          <w:tcPr>
            <w:tcW w:w="1862" w:type="dxa"/>
          </w:tcPr>
          <w:p w:rsidR="001F6544" w:rsidRPr="00D50CE6" w:rsidRDefault="001F6544" w:rsidP="007D2E61">
            <w:pPr>
              <w:pStyle w:val="StandaardSV"/>
            </w:pPr>
            <w:r w:rsidRPr="00D50CE6">
              <w:t>2010</w:t>
            </w:r>
          </w:p>
        </w:tc>
        <w:tc>
          <w:tcPr>
            <w:tcW w:w="2236" w:type="dxa"/>
          </w:tcPr>
          <w:p w:rsidR="001F6544" w:rsidRPr="00D50CE6" w:rsidRDefault="001F6544" w:rsidP="007D2E61">
            <w:pPr>
              <w:pStyle w:val="StandaardSV"/>
              <w:jc w:val="right"/>
            </w:pPr>
            <w:r w:rsidRPr="00D50CE6">
              <w:t>104.758</w:t>
            </w:r>
          </w:p>
        </w:tc>
        <w:tc>
          <w:tcPr>
            <w:tcW w:w="1957" w:type="dxa"/>
          </w:tcPr>
          <w:p w:rsidR="001F6544" w:rsidRPr="00D50CE6" w:rsidRDefault="001F6544" w:rsidP="007D2E61">
            <w:pPr>
              <w:pStyle w:val="StandaardSV"/>
              <w:jc w:val="right"/>
            </w:pPr>
            <w:r w:rsidRPr="00D50CE6">
              <w:t>0,00</w:t>
            </w:r>
          </w:p>
        </w:tc>
        <w:tc>
          <w:tcPr>
            <w:tcW w:w="2513" w:type="dxa"/>
          </w:tcPr>
          <w:p w:rsidR="001F6544" w:rsidRPr="00D50CE6" w:rsidRDefault="001F6544" w:rsidP="007D2E61">
            <w:pPr>
              <w:pStyle w:val="StandaardSV"/>
              <w:jc w:val="right"/>
            </w:pPr>
            <w:r w:rsidRPr="00D50CE6">
              <w:t>98.833</w:t>
            </w:r>
          </w:p>
        </w:tc>
      </w:tr>
      <w:tr w:rsidR="001F6544" w:rsidRPr="00D50CE6" w:rsidTr="007D2E61">
        <w:tc>
          <w:tcPr>
            <w:tcW w:w="1862" w:type="dxa"/>
          </w:tcPr>
          <w:p w:rsidR="001F6544" w:rsidRPr="00D50CE6" w:rsidRDefault="001F6544" w:rsidP="007D2E61">
            <w:pPr>
              <w:pStyle w:val="StandaardSV"/>
            </w:pPr>
            <w:r w:rsidRPr="00D50CE6">
              <w:t>2011</w:t>
            </w:r>
          </w:p>
        </w:tc>
        <w:tc>
          <w:tcPr>
            <w:tcW w:w="2236" w:type="dxa"/>
          </w:tcPr>
          <w:p w:rsidR="001F6544" w:rsidRPr="00D50CE6" w:rsidRDefault="001F6544" w:rsidP="007D2E61">
            <w:pPr>
              <w:pStyle w:val="StandaardSV"/>
              <w:jc w:val="right"/>
            </w:pPr>
            <w:r w:rsidRPr="00D50CE6">
              <w:t>104.638</w:t>
            </w:r>
          </w:p>
        </w:tc>
        <w:tc>
          <w:tcPr>
            <w:tcW w:w="1957" w:type="dxa"/>
          </w:tcPr>
          <w:p w:rsidR="001F6544" w:rsidRPr="00D50CE6" w:rsidRDefault="001F6544" w:rsidP="007D2E61">
            <w:pPr>
              <w:pStyle w:val="StandaardSV"/>
              <w:jc w:val="right"/>
            </w:pPr>
            <w:r w:rsidRPr="00D50CE6">
              <w:t>0,00</w:t>
            </w:r>
          </w:p>
        </w:tc>
        <w:tc>
          <w:tcPr>
            <w:tcW w:w="2513" w:type="dxa"/>
          </w:tcPr>
          <w:p w:rsidR="001F6544" w:rsidRPr="00D50CE6" w:rsidRDefault="001F6544" w:rsidP="007D2E61">
            <w:pPr>
              <w:pStyle w:val="StandaardSV"/>
              <w:jc w:val="right"/>
            </w:pPr>
            <w:r w:rsidRPr="00D50CE6">
              <w:t>19.530</w:t>
            </w:r>
          </w:p>
        </w:tc>
      </w:tr>
      <w:tr w:rsidR="001F6544" w:rsidRPr="00D50CE6" w:rsidTr="007D2E61">
        <w:tc>
          <w:tcPr>
            <w:tcW w:w="1862" w:type="dxa"/>
          </w:tcPr>
          <w:p w:rsidR="001F6544" w:rsidRPr="00D50CE6" w:rsidRDefault="001F6544" w:rsidP="007D2E61">
            <w:pPr>
              <w:pStyle w:val="StandaardSV"/>
            </w:pPr>
            <w:r w:rsidRPr="00D50CE6">
              <w:t>2012</w:t>
            </w:r>
          </w:p>
        </w:tc>
        <w:tc>
          <w:tcPr>
            <w:tcW w:w="2236" w:type="dxa"/>
          </w:tcPr>
          <w:p w:rsidR="001F6544" w:rsidRPr="00D50CE6" w:rsidRDefault="00AD702D" w:rsidP="007D2E61">
            <w:pPr>
              <w:pStyle w:val="StandaardSV"/>
              <w:jc w:val="right"/>
            </w:pPr>
            <w:r w:rsidRPr="00D50CE6">
              <w:t>25.329</w:t>
            </w:r>
          </w:p>
        </w:tc>
        <w:tc>
          <w:tcPr>
            <w:tcW w:w="1957" w:type="dxa"/>
          </w:tcPr>
          <w:p w:rsidR="001F6544" w:rsidRPr="00D50CE6" w:rsidRDefault="001F6544" w:rsidP="007D2E61">
            <w:pPr>
              <w:pStyle w:val="StandaardSV"/>
              <w:jc w:val="right"/>
            </w:pPr>
            <w:r w:rsidRPr="00D50CE6">
              <w:t>0,00</w:t>
            </w:r>
          </w:p>
        </w:tc>
        <w:tc>
          <w:tcPr>
            <w:tcW w:w="2513" w:type="dxa"/>
          </w:tcPr>
          <w:p w:rsidR="001F6544" w:rsidRPr="00D50CE6" w:rsidRDefault="00AD702D" w:rsidP="007D2E61">
            <w:pPr>
              <w:pStyle w:val="StandaardSV"/>
              <w:jc w:val="right"/>
            </w:pPr>
            <w:r w:rsidRPr="00D50CE6">
              <w:t>42</w:t>
            </w:r>
            <w:r w:rsidR="001F6544" w:rsidRPr="00D50CE6">
              <w:t>.633</w:t>
            </w:r>
          </w:p>
        </w:tc>
      </w:tr>
    </w:tbl>
    <w:p w:rsidR="00AC3175" w:rsidRPr="00D50CE6" w:rsidRDefault="00AC3175" w:rsidP="001F6544">
      <w:pPr>
        <w:pStyle w:val="StandaardSV"/>
        <w:ind w:left="720"/>
      </w:pPr>
    </w:p>
    <w:p w:rsidR="0097145E" w:rsidRPr="00D50CE6" w:rsidRDefault="0097145E" w:rsidP="0097145E">
      <w:pPr>
        <w:pStyle w:val="StandaardSV"/>
      </w:pPr>
    </w:p>
    <w:p w:rsidR="00AD702D" w:rsidRPr="00D50CE6" w:rsidRDefault="00AD702D" w:rsidP="00BC7AD9">
      <w:pPr>
        <w:pStyle w:val="StandaardSV"/>
        <w:ind w:left="426"/>
      </w:pPr>
      <w:r w:rsidRPr="00D50CE6">
        <w:t>In de eerste categorie gaat het telkens om teveel uitbetaalde voorschotten. In de tweede categorie betreft het meestal niet verantwoorde kosten; een enkele keer gaat het (ook) om niet-betaling van onderzoekspartners.</w:t>
      </w:r>
    </w:p>
    <w:p w:rsidR="00AD702D" w:rsidRPr="00D50CE6" w:rsidRDefault="00AD702D" w:rsidP="00BC7AD9">
      <w:pPr>
        <w:pStyle w:val="StandaardSV"/>
        <w:ind w:left="426"/>
      </w:pPr>
      <w:r w:rsidRPr="00D50CE6">
        <w:t>In de derde categorie betreft het diverse gronden, o.m. ontbrekende of onvolledige verslaggeving, ontbinding of overdracht onderneming zonder overdracht van valorisatieverplichtingen, niet-uitvoering of stopzetting van het project, niet opstarten van het project, …</w:t>
      </w:r>
    </w:p>
    <w:p w:rsidR="00AC3175" w:rsidRPr="00D50CE6" w:rsidRDefault="00AC3175" w:rsidP="00AC3175">
      <w:pPr>
        <w:pStyle w:val="StandaardSV"/>
      </w:pPr>
      <w:bookmarkStart w:id="0" w:name="_GoBack"/>
      <w:bookmarkEnd w:id="0"/>
    </w:p>
    <w:p w:rsidR="00AD702D" w:rsidRPr="00D50CE6" w:rsidRDefault="00AD702D" w:rsidP="00673333">
      <w:pPr>
        <w:pStyle w:val="StandaardSV"/>
        <w:numPr>
          <w:ilvl w:val="0"/>
          <w:numId w:val="26"/>
        </w:numPr>
      </w:pPr>
      <w:r w:rsidRPr="00D50CE6">
        <w:t>Doorgaans wordt van de vorderingen in faillissement zeer weinig gerecupereerd. Over de gehele periode werd in deze categorie geen enkel dividend uit een faling ontvangen. Het nog niet gerecupereerde bedrag (2012) betreft nog niet afgesloten dossiers van bijzondere opvolging.</w:t>
      </w:r>
    </w:p>
    <w:p w:rsidR="0097145E" w:rsidRPr="00D50CE6" w:rsidRDefault="0097145E" w:rsidP="00673333">
      <w:pPr>
        <w:pStyle w:val="StandaardSV"/>
      </w:pPr>
    </w:p>
    <w:p w:rsidR="00AD702D" w:rsidRPr="00D50CE6" w:rsidRDefault="00AD702D" w:rsidP="00673333">
      <w:pPr>
        <w:pStyle w:val="StandaardSV"/>
        <w:ind w:left="360"/>
      </w:pPr>
      <w:r w:rsidRPr="00D50CE6">
        <w:t xml:space="preserve">De bewuste vorderingen in de faillissementen zijn niet bevoorrecht t.o.v. andere schuldeisers. Het dividend dat aan de gewone schuldeisers kan worden uitbetaald, voor zover zij al in aanmerking </w:t>
      </w:r>
      <w:r w:rsidRPr="00D50CE6">
        <w:lastRenderedPageBreak/>
        <w:t xml:space="preserve">komen voor terugbetaling, is meestal uiterst beperkt. Met betrekking tot de nog niet gerecupereerde bedragen van 2012 uit de derde categorie loopt de procedure nog, zoals beschreven in het antwoord op </w:t>
      </w:r>
      <w:r w:rsidR="00803825">
        <w:t>uw</w:t>
      </w:r>
      <w:r w:rsidR="00803825" w:rsidRPr="00D50CE6">
        <w:t xml:space="preserve"> vraag nr. 97 van 30 november 2012</w:t>
      </w:r>
      <w:r w:rsidRPr="00D50CE6">
        <w:t>.</w:t>
      </w:r>
    </w:p>
    <w:p w:rsidR="0097145E" w:rsidRPr="00D50CE6" w:rsidRDefault="0097145E" w:rsidP="00673333">
      <w:pPr>
        <w:pStyle w:val="StandaardSV"/>
      </w:pPr>
    </w:p>
    <w:p w:rsidR="006F29F5" w:rsidRPr="00D50CE6" w:rsidRDefault="00AD702D" w:rsidP="00673333">
      <w:pPr>
        <w:pStyle w:val="StandaardSV"/>
        <w:ind w:left="360"/>
      </w:pPr>
      <w:r w:rsidRPr="00D50CE6">
        <w:t xml:space="preserve">In bedoelde faillissementsprocedures worden geen verdere stappen ondernomen. Met betrekking tot de nog niet gerecupereerde bedragen van 2012 uit de derde categorie loopt de procedure nog, zoals beschreven in het antwoord </w:t>
      </w:r>
      <w:r w:rsidR="00803825">
        <w:t>op hoogvermelde schriftelijke vraag</w:t>
      </w:r>
      <w:r w:rsidRPr="00D50CE6">
        <w:t>.</w:t>
      </w:r>
    </w:p>
    <w:sectPr w:rsidR="006F29F5" w:rsidRPr="00D50CE6" w:rsidSect="00F9423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0595E7A"/>
    <w:multiLevelType w:val="hybridMultilevel"/>
    <w:tmpl w:val="823EEBD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E91B1D"/>
    <w:multiLevelType w:val="hybridMultilevel"/>
    <w:tmpl w:val="B1BAA6A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E5D0113"/>
    <w:multiLevelType w:val="hybridMultilevel"/>
    <w:tmpl w:val="CCE26E3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B190EA3"/>
    <w:multiLevelType w:val="hybridMultilevel"/>
    <w:tmpl w:val="7CA8AD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3B457A5F"/>
    <w:multiLevelType w:val="hybridMultilevel"/>
    <w:tmpl w:val="F6DC21D0"/>
    <w:lvl w:ilvl="0" w:tplc="F62CB07C">
      <w:start w:val="524"/>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104755A"/>
    <w:multiLevelType w:val="hybridMultilevel"/>
    <w:tmpl w:val="12DA912A"/>
    <w:lvl w:ilvl="0" w:tplc="B9BE3CBA">
      <w:start w:val="524"/>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4A112E53"/>
    <w:multiLevelType w:val="hybridMultilevel"/>
    <w:tmpl w:val="F72051F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E4F63A8"/>
    <w:multiLevelType w:val="hybridMultilevel"/>
    <w:tmpl w:val="E2F8EDFC"/>
    <w:lvl w:ilvl="0" w:tplc="E40062C0">
      <w:numFmt w:val="bullet"/>
      <w:lvlText w:val="-"/>
      <w:lvlJc w:val="left"/>
      <w:pPr>
        <w:ind w:left="1353" w:hanging="360"/>
      </w:pPr>
      <w:rPr>
        <w:rFonts w:ascii="Times New Roman" w:eastAsia="Times New Roman" w:hAnsi="Times New Roman" w:cs="Times New Roman" w:hint="default"/>
        <w:color w:val="FF0000"/>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8">
    <w:nsid w:val="4F024F14"/>
    <w:multiLevelType w:val="hybridMultilevel"/>
    <w:tmpl w:val="03F8821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D56077C"/>
    <w:multiLevelType w:val="hybridMultilevel"/>
    <w:tmpl w:val="6EE023FC"/>
    <w:lvl w:ilvl="0" w:tplc="0813000F">
      <w:start w:val="1"/>
      <w:numFmt w:val="decimal"/>
      <w:lvlText w:val="%1."/>
      <w:lvlJc w:val="left"/>
      <w:pPr>
        <w:ind w:left="372" w:hanging="360"/>
      </w:p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20">
    <w:nsid w:val="5E85567A"/>
    <w:multiLevelType w:val="hybridMultilevel"/>
    <w:tmpl w:val="49E094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72CD7785"/>
    <w:multiLevelType w:val="hybridMultilevel"/>
    <w:tmpl w:val="BFC465D2"/>
    <w:lvl w:ilvl="0" w:tplc="9BAEE558">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7EFB3DE8"/>
    <w:multiLevelType w:val="hybridMultilevel"/>
    <w:tmpl w:val="5DEE01E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21"/>
  </w:num>
  <w:num w:numId="5">
    <w:abstractNumId w:val="13"/>
  </w:num>
  <w:num w:numId="6">
    <w:abstractNumId w:val="4"/>
  </w:num>
  <w:num w:numId="7">
    <w:abstractNumId w:val="3"/>
  </w:num>
  <w:num w:numId="8">
    <w:abstractNumId w:val="16"/>
  </w:num>
  <w:num w:numId="9">
    <w:abstractNumId w:val="9"/>
  </w:num>
  <w:num w:numId="10">
    <w:abstractNumId w:val="0"/>
  </w:num>
  <w:num w:numId="11">
    <w:abstractNumId w:val="22"/>
  </w:num>
  <w:num w:numId="12">
    <w:abstractNumId w:val="2"/>
  </w:num>
  <w:num w:numId="13">
    <w:abstractNumId w:val="11"/>
  </w:num>
  <w:num w:numId="14">
    <w:abstractNumId w:val="15"/>
  </w:num>
  <w:num w:numId="15">
    <w:abstractNumId w:val="24"/>
  </w:num>
  <w:num w:numId="16">
    <w:abstractNumId w:val="18"/>
  </w:num>
  <w:num w:numId="17">
    <w:abstractNumId w:val="5"/>
  </w:num>
  <w:num w:numId="18">
    <w:abstractNumId w:val="20"/>
  </w:num>
  <w:num w:numId="19">
    <w:abstractNumId w:val="10"/>
  </w:num>
  <w:num w:numId="20">
    <w:abstractNumId w:val="8"/>
  </w:num>
  <w:num w:numId="21">
    <w:abstractNumId w:val="7"/>
  </w:num>
  <w:num w:numId="22">
    <w:abstractNumId w:val="17"/>
  </w:num>
  <w:num w:numId="23">
    <w:abstractNumId w:val="12"/>
  </w:num>
  <w:num w:numId="24">
    <w:abstractNumId w:val="14"/>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41198"/>
    <w:rsid w:val="0002190B"/>
    <w:rsid w:val="000464A2"/>
    <w:rsid w:val="00070064"/>
    <w:rsid w:val="00071DA4"/>
    <w:rsid w:val="00074920"/>
    <w:rsid w:val="00080040"/>
    <w:rsid w:val="001505A2"/>
    <w:rsid w:val="00171F2E"/>
    <w:rsid w:val="00187BFC"/>
    <w:rsid w:val="001B746D"/>
    <w:rsid w:val="001E4BBA"/>
    <w:rsid w:val="001F6544"/>
    <w:rsid w:val="00230E3C"/>
    <w:rsid w:val="00343A8F"/>
    <w:rsid w:val="00353B57"/>
    <w:rsid w:val="00380535"/>
    <w:rsid w:val="00427E2D"/>
    <w:rsid w:val="00476862"/>
    <w:rsid w:val="004D7979"/>
    <w:rsid w:val="005051B9"/>
    <w:rsid w:val="005A0D53"/>
    <w:rsid w:val="00667CE6"/>
    <w:rsid w:val="00673333"/>
    <w:rsid w:val="00693743"/>
    <w:rsid w:val="006F29F5"/>
    <w:rsid w:val="006F49EA"/>
    <w:rsid w:val="0078435B"/>
    <w:rsid w:val="007A7738"/>
    <w:rsid w:val="007B6D42"/>
    <w:rsid w:val="007E2BBA"/>
    <w:rsid w:val="00803825"/>
    <w:rsid w:val="008174D8"/>
    <w:rsid w:val="00835189"/>
    <w:rsid w:val="0083747B"/>
    <w:rsid w:val="00842F2E"/>
    <w:rsid w:val="00844521"/>
    <w:rsid w:val="00941198"/>
    <w:rsid w:val="0097145E"/>
    <w:rsid w:val="009864CE"/>
    <w:rsid w:val="009C170D"/>
    <w:rsid w:val="009F10A6"/>
    <w:rsid w:val="00AC3175"/>
    <w:rsid w:val="00AC6D8A"/>
    <w:rsid w:val="00AD702D"/>
    <w:rsid w:val="00AD78E8"/>
    <w:rsid w:val="00B34A50"/>
    <w:rsid w:val="00B6547D"/>
    <w:rsid w:val="00BA42C7"/>
    <w:rsid w:val="00BC7AD9"/>
    <w:rsid w:val="00BD07FB"/>
    <w:rsid w:val="00C75C7E"/>
    <w:rsid w:val="00C76482"/>
    <w:rsid w:val="00CB2006"/>
    <w:rsid w:val="00CC63C8"/>
    <w:rsid w:val="00CF4E65"/>
    <w:rsid w:val="00D50CE6"/>
    <w:rsid w:val="00D76A4D"/>
    <w:rsid w:val="00DF5E1A"/>
    <w:rsid w:val="00DF6517"/>
    <w:rsid w:val="00E11585"/>
    <w:rsid w:val="00E55686"/>
    <w:rsid w:val="00EF296F"/>
    <w:rsid w:val="00F52CAF"/>
    <w:rsid w:val="00F9423A"/>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423A"/>
    <w:rPr>
      <w:sz w:val="24"/>
      <w:lang w:val="nl-NL" w:eastAsia="nl-NL"/>
    </w:rPr>
  </w:style>
  <w:style w:type="paragraph" w:styleId="Kop1">
    <w:name w:val="heading 1"/>
    <w:basedOn w:val="Standaard"/>
    <w:next w:val="Standaard"/>
    <w:qFormat/>
    <w:rsid w:val="00F9423A"/>
    <w:pPr>
      <w:keepNext/>
      <w:numPr>
        <w:numId w:val="2"/>
      </w:numPr>
      <w:jc w:val="both"/>
      <w:outlineLvl w:val="0"/>
    </w:pPr>
    <w:rPr>
      <w:b/>
      <w:caps/>
    </w:rPr>
  </w:style>
  <w:style w:type="paragraph" w:styleId="Kop2">
    <w:name w:val="heading 2"/>
    <w:basedOn w:val="Standaard"/>
    <w:next w:val="Standaard"/>
    <w:qFormat/>
    <w:rsid w:val="00F9423A"/>
    <w:pPr>
      <w:keepNext/>
      <w:tabs>
        <w:tab w:val="num" w:pos="567"/>
      </w:tabs>
      <w:ind w:left="567" w:hanging="567"/>
      <w:outlineLvl w:val="1"/>
    </w:pPr>
    <w:rPr>
      <w:b/>
    </w:rPr>
  </w:style>
  <w:style w:type="paragraph" w:styleId="Kop3">
    <w:name w:val="heading 3"/>
    <w:basedOn w:val="Standaard"/>
    <w:next w:val="Standaard"/>
    <w:qFormat/>
    <w:rsid w:val="00F9423A"/>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F9423A"/>
    <w:pPr>
      <w:framePr w:w="7920" w:h="1980" w:hRule="exact" w:hSpace="141" w:wrap="auto" w:hAnchor="page" w:xAlign="center" w:yAlign="bottom"/>
      <w:ind w:left="2880"/>
    </w:pPr>
  </w:style>
  <w:style w:type="paragraph" w:styleId="Afzender">
    <w:name w:val="envelope return"/>
    <w:basedOn w:val="Standaard"/>
    <w:rsid w:val="00F9423A"/>
  </w:style>
  <w:style w:type="paragraph" w:styleId="Inhopg1">
    <w:name w:val="toc 1"/>
    <w:basedOn w:val="Standaard"/>
    <w:next w:val="Standaard"/>
    <w:autoRedefine/>
    <w:semiHidden/>
    <w:rsid w:val="00F9423A"/>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F9423A"/>
    <w:pPr>
      <w:tabs>
        <w:tab w:val="right" w:leader="dot" w:pos="9741"/>
      </w:tabs>
      <w:spacing w:before="80" w:after="80"/>
      <w:ind w:left="1134" w:hanging="567"/>
    </w:pPr>
    <w:rPr>
      <w:noProof/>
    </w:rPr>
  </w:style>
  <w:style w:type="paragraph" w:styleId="Inhopg3">
    <w:name w:val="toc 3"/>
    <w:basedOn w:val="Standaard"/>
    <w:next w:val="Standaard"/>
    <w:autoRedefine/>
    <w:semiHidden/>
    <w:rsid w:val="00F9423A"/>
    <w:pPr>
      <w:tabs>
        <w:tab w:val="right" w:leader="dot" w:pos="9741"/>
      </w:tabs>
      <w:spacing w:before="40" w:after="40"/>
      <w:ind w:left="1701" w:hanging="567"/>
    </w:pPr>
    <w:rPr>
      <w:i/>
    </w:rPr>
  </w:style>
  <w:style w:type="paragraph" w:styleId="Plattetekst2">
    <w:name w:val="Body Text 2"/>
    <w:basedOn w:val="Standaard"/>
    <w:rsid w:val="00F9423A"/>
    <w:pPr>
      <w:jc w:val="both"/>
    </w:pPr>
    <w:rPr>
      <w:i/>
      <w:sz w:val="22"/>
    </w:rPr>
  </w:style>
  <w:style w:type="paragraph" w:styleId="Ballontekst">
    <w:name w:val="Balloon Text"/>
    <w:basedOn w:val="Standaard"/>
    <w:link w:val="BallontekstChar"/>
    <w:rsid w:val="00E11585"/>
    <w:rPr>
      <w:rFonts w:ascii="Tahoma" w:hAnsi="Tahoma"/>
      <w:sz w:val="16"/>
      <w:szCs w:val="16"/>
    </w:rPr>
  </w:style>
  <w:style w:type="paragraph" w:customStyle="1" w:styleId="SVVlaamsParlement">
    <w:name w:val="SV Vlaams Parlement"/>
    <w:basedOn w:val="Standaard"/>
    <w:rsid w:val="00F9423A"/>
    <w:pPr>
      <w:jc w:val="both"/>
    </w:pPr>
    <w:rPr>
      <w:b/>
      <w:smallCaps/>
      <w:sz w:val="22"/>
    </w:rPr>
  </w:style>
  <w:style w:type="paragraph" w:customStyle="1" w:styleId="SVTitel">
    <w:name w:val="SV Titel"/>
    <w:basedOn w:val="Standaard"/>
    <w:rsid w:val="00F9423A"/>
    <w:pPr>
      <w:jc w:val="both"/>
    </w:pPr>
    <w:rPr>
      <w:i/>
      <w:sz w:val="22"/>
    </w:rPr>
  </w:style>
  <w:style w:type="paragraph" w:customStyle="1" w:styleId="StandaardSV">
    <w:name w:val="Standaard SV"/>
    <w:basedOn w:val="Standaard"/>
    <w:rsid w:val="00F9423A"/>
    <w:pPr>
      <w:jc w:val="both"/>
    </w:pPr>
    <w:rPr>
      <w:sz w:val="22"/>
    </w:rPr>
  </w:style>
  <w:style w:type="character" w:customStyle="1" w:styleId="BallontekstChar">
    <w:name w:val="Ballontekst Char"/>
    <w:link w:val="Ballontekst"/>
    <w:rsid w:val="00E11585"/>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06743">
      <w:bodyDiv w:val="1"/>
      <w:marLeft w:val="0"/>
      <w:marRight w:val="0"/>
      <w:marTop w:val="0"/>
      <w:marBottom w:val="0"/>
      <w:divBdr>
        <w:top w:val="none" w:sz="0" w:space="0" w:color="auto"/>
        <w:left w:val="none" w:sz="0" w:space="0" w:color="auto"/>
        <w:bottom w:val="none" w:sz="0" w:space="0" w:color="auto"/>
        <w:right w:val="none" w:sz="0" w:space="0" w:color="auto"/>
      </w:divBdr>
    </w:div>
    <w:div w:id="15879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6</cp:revision>
  <cp:lastPrinted>2013-02-07T12:47:00Z</cp:lastPrinted>
  <dcterms:created xsi:type="dcterms:W3CDTF">2013-03-01T13:32:00Z</dcterms:created>
  <dcterms:modified xsi:type="dcterms:W3CDTF">2013-03-08T14:02:00Z</dcterms:modified>
</cp:coreProperties>
</file>