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695E76">
        <w:rPr>
          <w:szCs w:val="22"/>
        </w:rPr>
        <w:t>jo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2873D3"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FC6CB6">
        <w:rPr>
          <w:b w:val="0"/>
        </w:rPr>
        <w:t>249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FC6CB6">
        <w:rPr>
          <w:b w:val="0"/>
        </w:rPr>
        <w:t>6</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FC6CB6">
        <w:rPr>
          <w:rStyle w:val="AntwoordNaamMinisterChar"/>
        </w:rPr>
        <w:t>marius meremans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C6CB6" w:rsidRPr="000E0A2C" w:rsidRDefault="00FC6CB6" w:rsidP="00C24967">
      <w:pPr>
        <w:numPr>
          <w:ilvl w:val="0"/>
          <w:numId w:val="18"/>
        </w:numPr>
        <w:tabs>
          <w:tab w:val="center" w:pos="426"/>
        </w:tabs>
        <w:ind w:left="426" w:hanging="426"/>
        <w:jc w:val="both"/>
        <w:rPr>
          <w:szCs w:val="22"/>
        </w:rPr>
      </w:pPr>
      <w:r w:rsidRPr="000E0A2C">
        <w:rPr>
          <w:szCs w:val="22"/>
        </w:rPr>
        <w:lastRenderedPageBreak/>
        <w:t>Het woonzorgdecreet van 13 maart 2009 trad, samen met haar uitvoeringsbesluiten, in werking op 1 januari 2010. Voor woonzorgcentra, centra voor kortverblijf, dagverzorgingscentra</w:t>
      </w:r>
      <w:r>
        <w:rPr>
          <w:szCs w:val="22"/>
        </w:rPr>
        <w:t xml:space="preserve"> en centra voor herstelverblijf</w:t>
      </w:r>
      <w:r w:rsidRPr="000E0A2C">
        <w:rPr>
          <w:szCs w:val="22"/>
        </w:rPr>
        <w:t xml:space="preserve"> werd een uniforme erkenningsprocedure uitgewerkt. Deze procedure zit vervat in he</w:t>
      </w:r>
      <w:r w:rsidR="00961C6E">
        <w:rPr>
          <w:szCs w:val="22"/>
        </w:rPr>
        <w:t>t</w:t>
      </w:r>
      <w:r w:rsidRPr="000E0A2C">
        <w:rPr>
          <w:szCs w:val="22"/>
        </w:rPr>
        <w:t xml:space="preserve"> Besluit van de Vlaamse Regering van 5 juni 2009 betreffende de procedures voor woonzorgvoorzieningen en verenigingen van gebruikers en mantelzorgers en het Besluit van de Vlaamse regering van 24 juli 2009 betreffende de programmatie, erkenningsvoorwaarden en subsidieregeling voor woonzorgvoorzieningen en verengingen van gebruikers en mantelzorgers.</w:t>
      </w:r>
    </w:p>
    <w:p w:rsidR="00FC6CB6" w:rsidRPr="000E0A2C" w:rsidRDefault="00FC6CB6" w:rsidP="00FC6CB6">
      <w:pPr>
        <w:tabs>
          <w:tab w:val="center" w:pos="426"/>
        </w:tabs>
        <w:jc w:val="both"/>
        <w:rPr>
          <w:szCs w:val="22"/>
        </w:rPr>
      </w:pPr>
    </w:p>
    <w:p w:rsidR="00FC6CB6" w:rsidRPr="000E0A2C" w:rsidRDefault="00FC6CB6" w:rsidP="00FC6CB6">
      <w:pPr>
        <w:tabs>
          <w:tab w:val="center" w:pos="426"/>
        </w:tabs>
        <w:ind w:left="426"/>
        <w:jc w:val="both"/>
        <w:rPr>
          <w:szCs w:val="22"/>
        </w:rPr>
      </w:pPr>
      <w:r w:rsidRPr="000E0A2C">
        <w:rPr>
          <w:szCs w:val="22"/>
        </w:rPr>
        <w:t xml:space="preserve">Een van de belangrijkste wijzigingen die de uitvoering van dit decreet met zich meebracht, was de erkenning voor onbepaalde duur voor o.a. de woonzorgcentra. </w:t>
      </w:r>
    </w:p>
    <w:p w:rsidR="00FC6CB6" w:rsidRPr="000E0A2C" w:rsidRDefault="00FC6CB6" w:rsidP="00FC6CB6">
      <w:pPr>
        <w:tabs>
          <w:tab w:val="center" w:pos="426"/>
        </w:tabs>
        <w:ind w:left="426"/>
        <w:jc w:val="both"/>
        <w:rPr>
          <w:szCs w:val="22"/>
        </w:rPr>
      </w:pPr>
    </w:p>
    <w:p w:rsidR="00FC6CB6" w:rsidRPr="000E0A2C" w:rsidRDefault="00FC6CB6" w:rsidP="00FC6CB6">
      <w:pPr>
        <w:tabs>
          <w:tab w:val="center" w:pos="426"/>
        </w:tabs>
        <w:ind w:left="426"/>
        <w:jc w:val="both"/>
        <w:rPr>
          <w:color w:val="000000"/>
          <w:szCs w:val="22"/>
          <w:lang w:eastAsia="nl-BE"/>
        </w:rPr>
      </w:pPr>
      <w:r w:rsidRPr="000E0A2C">
        <w:rPr>
          <w:color w:val="000000"/>
          <w:szCs w:val="22"/>
          <w:lang w:eastAsia="nl-BE"/>
        </w:rPr>
        <w:t xml:space="preserve">Om de </w:t>
      </w:r>
      <w:r w:rsidRPr="000E0A2C">
        <w:rPr>
          <w:szCs w:val="22"/>
          <w:lang w:eastAsia="nl-BE"/>
        </w:rPr>
        <w:t>overgang van een erkenning van bepaalde duur als rusthuis naar een erkenning van onbepaalde duur als woonzorgcentrum vlot te laten verlopen, zijn er in</w:t>
      </w:r>
      <w:r w:rsidR="007236DB">
        <w:rPr>
          <w:szCs w:val="22"/>
          <w:lang w:eastAsia="nl-BE"/>
        </w:rPr>
        <w:t xml:space="preserve"> </w:t>
      </w:r>
      <w:r w:rsidRPr="000E0A2C">
        <w:rPr>
          <w:szCs w:val="22"/>
          <w:lang w:eastAsia="nl-BE"/>
        </w:rPr>
        <w:t>artikel 88 van het woonzorgdecreet</w:t>
      </w:r>
      <w:r w:rsidRPr="000E0A2C">
        <w:rPr>
          <w:color w:val="000000"/>
          <w:szCs w:val="22"/>
          <w:lang w:eastAsia="nl-BE"/>
        </w:rPr>
        <w:t xml:space="preserve"> een aantal overgangsbepalingen ingeschreven voor de toen erkende voorzieningen:</w:t>
      </w:r>
    </w:p>
    <w:p w:rsidR="00FC6CB6" w:rsidRPr="000E0A2C" w:rsidRDefault="00FC6CB6" w:rsidP="00FC6CB6">
      <w:pPr>
        <w:tabs>
          <w:tab w:val="center" w:pos="426"/>
        </w:tabs>
        <w:ind w:left="426"/>
        <w:jc w:val="both"/>
        <w:rPr>
          <w:szCs w:val="22"/>
        </w:rPr>
      </w:pPr>
    </w:p>
    <w:p w:rsidR="007236DB" w:rsidRPr="007236DB" w:rsidRDefault="00FC6CB6" w:rsidP="00FC6CB6">
      <w:pPr>
        <w:numPr>
          <w:ilvl w:val="0"/>
          <w:numId w:val="17"/>
        </w:numPr>
        <w:tabs>
          <w:tab w:val="right" w:pos="851"/>
        </w:tabs>
        <w:ind w:left="851"/>
        <w:jc w:val="both"/>
        <w:rPr>
          <w:szCs w:val="22"/>
        </w:rPr>
      </w:pPr>
      <w:r w:rsidRPr="000E0A2C">
        <w:rPr>
          <w:color w:val="000000"/>
          <w:szCs w:val="22"/>
          <w:lang w:eastAsia="nl-BE"/>
        </w:rPr>
        <w:t>Als</w:t>
      </w:r>
      <w:r>
        <w:rPr>
          <w:color w:val="000000"/>
          <w:szCs w:val="22"/>
          <w:lang w:eastAsia="nl-BE"/>
        </w:rPr>
        <w:t xml:space="preserve"> </w:t>
      </w:r>
      <w:r w:rsidRPr="000E0A2C">
        <w:rPr>
          <w:color w:val="000000"/>
          <w:szCs w:val="22"/>
          <w:lang w:eastAsia="nl-BE"/>
        </w:rPr>
        <w:t xml:space="preserve">een rusthuis </w:t>
      </w:r>
      <w:r w:rsidRPr="000E0A2C">
        <w:rPr>
          <w:b/>
          <w:bCs/>
          <w:color w:val="000000"/>
          <w:szCs w:val="22"/>
          <w:lang w:eastAsia="nl-BE"/>
        </w:rPr>
        <w:t>op 1 januari 2010 erkend was</w:t>
      </w:r>
      <w:r w:rsidRPr="000E0A2C">
        <w:rPr>
          <w:color w:val="000000"/>
          <w:szCs w:val="22"/>
          <w:lang w:eastAsia="nl-BE"/>
        </w:rPr>
        <w:t xml:space="preserve">, </w:t>
      </w:r>
      <w:r>
        <w:rPr>
          <w:color w:val="000000"/>
          <w:szCs w:val="22"/>
          <w:lang w:eastAsia="nl-BE"/>
        </w:rPr>
        <w:t>bleef</w:t>
      </w:r>
      <w:r w:rsidRPr="000E0A2C">
        <w:rPr>
          <w:color w:val="000000"/>
          <w:szCs w:val="22"/>
          <w:lang w:eastAsia="nl-BE"/>
        </w:rPr>
        <w:t xml:space="preserve"> het als rusthuis verder erkend tot aan het einde van zijn lopende erkenningstermijn. Indien deze termijn echter verder loopt dan 1 januari 2015 wordt deze termijn beperkt tot en met 31 december 2014. </w:t>
      </w:r>
    </w:p>
    <w:p w:rsidR="00FC6CB6" w:rsidRPr="000E0A2C" w:rsidRDefault="00FC6CB6" w:rsidP="007236DB">
      <w:pPr>
        <w:tabs>
          <w:tab w:val="right" w:pos="851"/>
        </w:tabs>
        <w:ind w:left="851"/>
        <w:jc w:val="both"/>
        <w:rPr>
          <w:szCs w:val="22"/>
        </w:rPr>
      </w:pPr>
      <w:r w:rsidRPr="000E0A2C">
        <w:rPr>
          <w:color w:val="000000"/>
          <w:szCs w:val="22"/>
          <w:lang w:eastAsia="nl-BE"/>
        </w:rPr>
        <w:t>De voorziening moet blijven beantwoorden aan de regels die vóór 1 januari 2010 van toepassing waren.</w:t>
      </w:r>
    </w:p>
    <w:p w:rsidR="007236DB" w:rsidRDefault="00FC6CB6" w:rsidP="007236DB">
      <w:pPr>
        <w:numPr>
          <w:ilvl w:val="0"/>
          <w:numId w:val="17"/>
        </w:numPr>
        <w:shd w:val="clear" w:color="auto" w:fill="FFFFFF"/>
        <w:tabs>
          <w:tab w:val="right" w:pos="851"/>
        </w:tabs>
        <w:ind w:left="851"/>
        <w:jc w:val="both"/>
        <w:rPr>
          <w:color w:val="000000"/>
          <w:szCs w:val="22"/>
          <w:lang w:eastAsia="nl-BE"/>
        </w:rPr>
      </w:pPr>
      <w:r w:rsidRPr="000E0A2C">
        <w:rPr>
          <w:color w:val="000000"/>
          <w:szCs w:val="22"/>
          <w:lang w:eastAsia="nl-BE"/>
        </w:rPr>
        <w:t>Als</w:t>
      </w:r>
      <w:r>
        <w:rPr>
          <w:color w:val="000000"/>
          <w:szCs w:val="22"/>
          <w:lang w:eastAsia="nl-BE"/>
        </w:rPr>
        <w:t xml:space="preserve"> </w:t>
      </w:r>
      <w:r w:rsidRPr="000E0A2C">
        <w:rPr>
          <w:color w:val="000000"/>
          <w:szCs w:val="22"/>
          <w:lang w:eastAsia="nl-BE"/>
        </w:rPr>
        <w:t xml:space="preserve">de erkenning van een rusthuis afliep </w:t>
      </w:r>
      <w:r w:rsidRPr="000E0A2C">
        <w:rPr>
          <w:b/>
          <w:bCs/>
          <w:color w:val="000000"/>
          <w:szCs w:val="22"/>
          <w:lang w:eastAsia="nl-BE"/>
        </w:rPr>
        <w:t xml:space="preserve">vóór 1 januari 2010 </w:t>
      </w:r>
      <w:r w:rsidRPr="000E0A2C">
        <w:rPr>
          <w:color w:val="000000"/>
          <w:szCs w:val="22"/>
          <w:lang w:eastAsia="nl-BE"/>
        </w:rPr>
        <w:t xml:space="preserve">en er vóór die datum een aanvraag tot verlenging van deze erkenning werd ingestuurd, werd de voorziening nog verder als rusthuis erkend voor ten hoogste vijf jaar. </w:t>
      </w:r>
    </w:p>
    <w:p w:rsidR="00FC6CB6" w:rsidRPr="000E0A2C" w:rsidRDefault="00FC6CB6" w:rsidP="007236DB">
      <w:pPr>
        <w:shd w:val="clear" w:color="auto" w:fill="FFFFFF"/>
        <w:tabs>
          <w:tab w:val="right" w:pos="851"/>
        </w:tabs>
        <w:ind w:left="851"/>
        <w:jc w:val="both"/>
        <w:rPr>
          <w:color w:val="000000"/>
          <w:szCs w:val="22"/>
          <w:lang w:eastAsia="nl-BE"/>
        </w:rPr>
      </w:pPr>
      <w:r w:rsidRPr="000E0A2C">
        <w:rPr>
          <w:color w:val="000000"/>
          <w:szCs w:val="22"/>
          <w:lang w:eastAsia="nl-BE"/>
        </w:rPr>
        <w:t xml:space="preserve">De voorziening moet blijven beantwoorden aan de regels die vóór 1 januari 2010 van toepassing waren. </w:t>
      </w:r>
    </w:p>
    <w:p w:rsidR="007236DB" w:rsidRDefault="00FC6CB6" w:rsidP="007236DB">
      <w:pPr>
        <w:numPr>
          <w:ilvl w:val="0"/>
          <w:numId w:val="17"/>
        </w:numPr>
        <w:shd w:val="clear" w:color="auto" w:fill="FFFFFF"/>
        <w:tabs>
          <w:tab w:val="right" w:pos="851"/>
        </w:tabs>
        <w:ind w:left="851"/>
        <w:jc w:val="both"/>
        <w:rPr>
          <w:color w:val="000000"/>
          <w:szCs w:val="22"/>
          <w:lang w:eastAsia="nl-BE"/>
        </w:rPr>
      </w:pPr>
      <w:r w:rsidRPr="000E0A2C">
        <w:rPr>
          <w:color w:val="000000"/>
          <w:szCs w:val="22"/>
          <w:lang w:eastAsia="nl-BE"/>
        </w:rPr>
        <w:t xml:space="preserve">Als een aanvraag tot erkenning als rusthuis (nieuwe voorziening of capaciteitsuitbreiding van een bestaande voorziening) werd ingediend </w:t>
      </w:r>
      <w:r w:rsidRPr="000E0A2C">
        <w:rPr>
          <w:b/>
          <w:bCs/>
          <w:color w:val="000000"/>
          <w:szCs w:val="22"/>
          <w:lang w:eastAsia="nl-BE"/>
        </w:rPr>
        <w:t>vóór 1 januari 2010</w:t>
      </w:r>
      <w:r w:rsidRPr="000E0A2C">
        <w:rPr>
          <w:color w:val="000000"/>
          <w:szCs w:val="22"/>
          <w:lang w:eastAsia="nl-BE"/>
        </w:rPr>
        <w:t xml:space="preserve">, werd een erkenning als rusthuis(uitbreiding) verleend voor ten hoogste vijf jaar. </w:t>
      </w:r>
    </w:p>
    <w:p w:rsidR="00FC6CB6" w:rsidRPr="000E0A2C" w:rsidRDefault="00FC6CB6" w:rsidP="007236DB">
      <w:pPr>
        <w:shd w:val="clear" w:color="auto" w:fill="FFFFFF"/>
        <w:tabs>
          <w:tab w:val="right" w:pos="851"/>
        </w:tabs>
        <w:ind w:left="851"/>
        <w:jc w:val="both"/>
        <w:rPr>
          <w:color w:val="000000"/>
          <w:szCs w:val="22"/>
          <w:lang w:eastAsia="nl-BE"/>
        </w:rPr>
      </w:pPr>
      <w:r w:rsidRPr="000E0A2C">
        <w:rPr>
          <w:color w:val="000000"/>
          <w:szCs w:val="22"/>
          <w:lang w:eastAsia="nl-BE"/>
        </w:rPr>
        <w:t xml:space="preserve">De voorziening moet blijven beantwoorden aan de regels die vóór 1 januari 2010 van toepassing waren. </w:t>
      </w:r>
    </w:p>
    <w:p w:rsidR="00FC6CB6" w:rsidRPr="000E0A2C" w:rsidRDefault="00FC6CB6" w:rsidP="00C24967">
      <w:pPr>
        <w:numPr>
          <w:ilvl w:val="0"/>
          <w:numId w:val="17"/>
        </w:numPr>
        <w:shd w:val="clear" w:color="auto" w:fill="FFFFFF"/>
        <w:tabs>
          <w:tab w:val="right" w:pos="851"/>
        </w:tabs>
        <w:ind w:left="851"/>
        <w:jc w:val="both"/>
        <w:rPr>
          <w:color w:val="000000"/>
          <w:szCs w:val="22"/>
          <w:lang w:eastAsia="nl-BE"/>
        </w:rPr>
      </w:pPr>
      <w:r w:rsidRPr="000E0A2C">
        <w:rPr>
          <w:color w:val="000000"/>
          <w:szCs w:val="22"/>
          <w:lang w:eastAsia="nl-BE"/>
        </w:rPr>
        <w:t xml:space="preserve">Wanneer </w:t>
      </w:r>
      <w:r w:rsidRPr="000E0A2C">
        <w:rPr>
          <w:b/>
          <w:bCs/>
          <w:color w:val="000000"/>
          <w:szCs w:val="22"/>
          <w:lang w:eastAsia="nl-BE"/>
        </w:rPr>
        <w:t xml:space="preserve">na 1 januari 2010 </w:t>
      </w:r>
      <w:r w:rsidRPr="000E0A2C">
        <w:rPr>
          <w:color w:val="000000"/>
          <w:szCs w:val="22"/>
          <w:lang w:eastAsia="nl-BE"/>
        </w:rPr>
        <w:t>een aanvraag tot erkenning van een capaciteitsuitbreiding van een bestaande voorziening wordt ingediend, wordt dat beschouwd als een aanvraag tot wijziging van de lopende erkenning, hetzij van bepaalde duur als rusthuis hetzij van onbepaalde duur als woonzorgcentrum.</w:t>
      </w:r>
    </w:p>
    <w:p w:rsidR="00FC6CB6" w:rsidRPr="000E0A2C" w:rsidRDefault="00FC6CB6" w:rsidP="00C24967">
      <w:pPr>
        <w:jc w:val="both"/>
        <w:rPr>
          <w:szCs w:val="22"/>
        </w:rPr>
      </w:pPr>
    </w:p>
    <w:p w:rsidR="00FC6CB6" w:rsidRPr="000E0A2C" w:rsidRDefault="00FC6CB6" w:rsidP="00C24967">
      <w:pPr>
        <w:numPr>
          <w:ilvl w:val="0"/>
          <w:numId w:val="18"/>
        </w:numPr>
        <w:ind w:left="426" w:hanging="426"/>
        <w:jc w:val="both"/>
        <w:rPr>
          <w:szCs w:val="22"/>
        </w:rPr>
      </w:pPr>
      <w:r w:rsidRPr="000E0A2C">
        <w:rPr>
          <w:color w:val="000000"/>
          <w:szCs w:val="22"/>
          <w:lang w:eastAsia="nl-BE"/>
        </w:rPr>
        <w:t xml:space="preserve">Voor het aflopen van de erkenningstermijn als rusthuis (bepaalde duur), moet de voorziening tijdig een aanvraag insturen voor een erkenning van onbepaalde duur als woonzorgcentrum. Het Agentschap Zorginspectie toetst de dagelijkse werking en infrastructuur van een voorziening dan aan de nieuwe erkenningsvoorwaarden waaraan het woonzorgcentrum moet voldoen. </w:t>
      </w:r>
    </w:p>
    <w:p w:rsidR="00FC6CB6" w:rsidRPr="000E0A2C" w:rsidRDefault="00FC6CB6" w:rsidP="007236DB">
      <w:pPr>
        <w:ind w:left="426"/>
        <w:jc w:val="both"/>
        <w:rPr>
          <w:szCs w:val="22"/>
        </w:rPr>
      </w:pPr>
    </w:p>
    <w:p w:rsidR="00FC6CB6" w:rsidRPr="000E0A2C" w:rsidRDefault="00FC6CB6" w:rsidP="007236DB">
      <w:pPr>
        <w:ind w:left="426"/>
        <w:jc w:val="both"/>
        <w:rPr>
          <w:color w:val="000000"/>
          <w:szCs w:val="22"/>
          <w:lang w:eastAsia="nl-BE"/>
        </w:rPr>
      </w:pPr>
      <w:r w:rsidRPr="000E0A2C">
        <w:rPr>
          <w:szCs w:val="22"/>
          <w:lang w:eastAsia="nl-BE"/>
        </w:rPr>
        <w:t xml:space="preserve">Alle voorzieningen die erkend waren op 1 januari 2009 of waarvoor voor die datum een aanvraag tot erkenning werd ingediend, alsook alle te bouwen voorzieningen waarvoor voor 1 januari 2009 een stedenbouwkundige vergunning voor de geplande bouwwerkzaamheden afgeleverd werd, </w:t>
      </w:r>
      <w:r w:rsidRPr="000E0A2C">
        <w:rPr>
          <w:szCs w:val="22"/>
          <w:lang w:eastAsia="nl-BE"/>
        </w:rPr>
        <w:lastRenderedPageBreak/>
        <w:t>genieten van een overgangsregeling om aan de nieuwe erkenningsvoorwaarden te voldoen. Deze overgangsbepalingen zijn opgenomen in bijlage XII van het woonzorgdecreet.</w:t>
      </w:r>
    </w:p>
    <w:p w:rsidR="00FC6CB6" w:rsidRPr="000E0A2C" w:rsidRDefault="00FC6CB6" w:rsidP="007236DB">
      <w:pPr>
        <w:ind w:left="426"/>
        <w:jc w:val="both"/>
        <w:rPr>
          <w:color w:val="000000"/>
          <w:szCs w:val="22"/>
          <w:lang w:eastAsia="nl-BE"/>
        </w:rPr>
      </w:pPr>
    </w:p>
    <w:p w:rsidR="00FC6CB6" w:rsidRPr="000E0A2C" w:rsidRDefault="00FC6CB6" w:rsidP="00C24967">
      <w:pPr>
        <w:numPr>
          <w:ilvl w:val="0"/>
          <w:numId w:val="18"/>
        </w:numPr>
        <w:tabs>
          <w:tab w:val="left" w:pos="426"/>
          <w:tab w:val="center" w:pos="4253"/>
          <w:tab w:val="right" w:pos="8278"/>
        </w:tabs>
        <w:ind w:left="426" w:hanging="426"/>
        <w:jc w:val="both"/>
        <w:rPr>
          <w:szCs w:val="22"/>
        </w:rPr>
      </w:pPr>
      <w:r w:rsidRPr="000E0A2C">
        <w:rPr>
          <w:szCs w:val="22"/>
        </w:rPr>
        <w:t xml:space="preserve">De erkenningsprocedure staat uitgeschreven in het Besluit van de Vlaamse Regering van 5 juni 2009 betreffende de procedures voor woonzorgvoorzieningen en verenigingen van gebruikers en mantelzorgers. Dit besluit stipuleert in Hoofdstuk III de procedure voor een voorlopige erkenning. Indien een voorziening voorlopig erkend wil worden, moet ze de verbintenis aangaan dat ze binnen het jaar aan de vigerende erkenningsvoorwaarden zal voldoen. Deze termijn kan eenmaal met een jaar verlengd worden. </w:t>
      </w:r>
    </w:p>
    <w:p w:rsidR="00C24967" w:rsidRDefault="00C24967" w:rsidP="00C24967">
      <w:pPr>
        <w:tabs>
          <w:tab w:val="left" w:pos="426"/>
        </w:tabs>
        <w:ind w:left="426"/>
        <w:jc w:val="both"/>
        <w:rPr>
          <w:szCs w:val="22"/>
        </w:rPr>
      </w:pPr>
    </w:p>
    <w:p w:rsidR="00FC6CB6" w:rsidRPr="000E0A2C" w:rsidRDefault="00FC6CB6" w:rsidP="00C24967">
      <w:pPr>
        <w:tabs>
          <w:tab w:val="left" w:pos="426"/>
        </w:tabs>
        <w:ind w:left="426"/>
        <w:jc w:val="both"/>
        <w:rPr>
          <w:szCs w:val="22"/>
        </w:rPr>
      </w:pPr>
      <w:r w:rsidRPr="000E0A2C">
        <w:rPr>
          <w:szCs w:val="22"/>
        </w:rPr>
        <w:t>Een voorlopige erkenning wordt meestal aan nieuwe initiatieven toegekend om hen de tijd te geven om aan deze voorwaarden te kunnen voldoen. Indien na deze termijn de voorziening aan de erkenningsvoorwaarden voldoet, wordt ze erkend voor onbepaalde duur.</w:t>
      </w:r>
    </w:p>
    <w:p w:rsidR="00C24967" w:rsidRDefault="00C24967" w:rsidP="00C24967">
      <w:pPr>
        <w:tabs>
          <w:tab w:val="left" w:pos="426"/>
        </w:tabs>
        <w:ind w:left="426"/>
        <w:jc w:val="both"/>
        <w:rPr>
          <w:szCs w:val="22"/>
        </w:rPr>
      </w:pPr>
    </w:p>
    <w:p w:rsidR="00FC6CB6" w:rsidRPr="000E0A2C" w:rsidRDefault="00FC6CB6" w:rsidP="00C24967">
      <w:pPr>
        <w:tabs>
          <w:tab w:val="left" w:pos="426"/>
        </w:tabs>
        <w:ind w:left="426"/>
        <w:jc w:val="both"/>
        <w:rPr>
          <w:szCs w:val="22"/>
        </w:rPr>
      </w:pPr>
      <w:bookmarkStart w:id="6" w:name="_GoBack"/>
      <w:bookmarkEnd w:id="6"/>
      <w:r>
        <w:rPr>
          <w:szCs w:val="22"/>
        </w:rPr>
        <w:t xml:space="preserve">Indien een initiatiefnemer een woonzorgcentrum heeft gerealiseerd in het kader van een </w:t>
      </w:r>
      <w:proofErr w:type="spellStart"/>
      <w:r>
        <w:rPr>
          <w:szCs w:val="22"/>
        </w:rPr>
        <w:t>zorgstrategisch</w:t>
      </w:r>
      <w:proofErr w:type="spellEnd"/>
      <w:r>
        <w:rPr>
          <w:szCs w:val="22"/>
        </w:rPr>
        <w:t xml:space="preserve"> plan, werd deze visie in de nieuwbouw vertaald. Het is hoogst onwaarschijnlijk dat een initiatiefnemer reeds in de fase van een voorlopige erkenning een nieuwe zorgvisie ontwikkeld.</w:t>
      </w:r>
    </w:p>
    <w:sectPr w:rsidR="00FC6CB6" w:rsidRPr="000E0A2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2C" w:rsidRDefault="00ED002C">
      <w:r>
        <w:separator/>
      </w:r>
    </w:p>
  </w:endnote>
  <w:endnote w:type="continuationSeparator" w:id="0">
    <w:p w:rsidR="00ED002C" w:rsidRDefault="00ED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2C" w:rsidRDefault="00ED002C">
      <w:r>
        <w:separator/>
      </w:r>
    </w:p>
  </w:footnote>
  <w:footnote w:type="continuationSeparator" w:id="0">
    <w:p w:rsidR="00ED002C" w:rsidRDefault="00ED0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9AC4A96"/>
    <w:multiLevelType w:val="hybridMultilevel"/>
    <w:tmpl w:val="4C62A9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9B75AE0"/>
    <w:multiLevelType w:val="hybridMultilevel"/>
    <w:tmpl w:val="42089F88"/>
    <w:lvl w:ilvl="0" w:tplc="EEC4626C">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59B1D96"/>
    <w:multiLevelType w:val="hybridMultilevel"/>
    <w:tmpl w:val="B9E2A406"/>
    <w:lvl w:ilvl="0" w:tplc="2B12BF9C">
      <w:start w:val="1"/>
      <w:numFmt w:val="decimal"/>
      <w:pStyle w:val="Punctuee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10"/>
  </w:num>
  <w:num w:numId="4">
    <w:abstractNumId w:val="2"/>
  </w:num>
  <w:num w:numId="5">
    <w:abstractNumId w:val="16"/>
  </w:num>
  <w:num w:numId="6">
    <w:abstractNumId w:val="14"/>
  </w:num>
  <w:num w:numId="7">
    <w:abstractNumId w:val="0"/>
  </w:num>
  <w:num w:numId="8">
    <w:abstractNumId w:val="1"/>
  </w:num>
  <w:num w:numId="9">
    <w:abstractNumId w:val="13"/>
  </w:num>
  <w:num w:numId="10">
    <w:abstractNumId w:val="8"/>
  </w:num>
  <w:num w:numId="11">
    <w:abstractNumId w:val="11"/>
  </w:num>
  <w:num w:numId="12">
    <w:abstractNumId w:val="7"/>
  </w:num>
  <w:num w:numId="13">
    <w:abstractNumId w:val="5"/>
  </w:num>
  <w:num w:numId="14">
    <w:abstractNumId w:val="9"/>
  </w:num>
  <w:num w:numId="15">
    <w:abstractNumId w:val="6"/>
  </w:num>
  <w:num w:numId="16">
    <w:abstractNumId w:val="15"/>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7A38"/>
    <w:rsid w:val="0002649B"/>
    <w:rsid w:val="000402DE"/>
    <w:rsid w:val="0009102B"/>
    <w:rsid w:val="000976E9"/>
    <w:rsid w:val="000B43B3"/>
    <w:rsid w:val="000B6649"/>
    <w:rsid w:val="000C4E8C"/>
    <w:rsid w:val="000C7C6C"/>
    <w:rsid w:val="000D45C1"/>
    <w:rsid w:val="000F3532"/>
    <w:rsid w:val="000F5552"/>
    <w:rsid w:val="00126CC3"/>
    <w:rsid w:val="0013792D"/>
    <w:rsid w:val="001503AF"/>
    <w:rsid w:val="0015699E"/>
    <w:rsid w:val="00163472"/>
    <w:rsid w:val="00174411"/>
    <w:rsid w:val="001A654E"/>
    <w:rsid w:val="001B06DF"/>
    <w:rsid w:val="001C211C"/>
    <w:rsid w:val="001D345D"/>
    <w:rsid w:val="00202D3B"/>
    <w:rsid w:val="00210C07"/>
    <w:rsid w:val="00250C88"/>
    <w:rsid w:val="0025145A"/>
    <w:rsid w:val="00263A8F"/>
    <w:rsid w:val="0027303B"/>
    <w:rsid w:val="002812CD"/>
    <w:rsid w:val="002873D3"/>
    <w:rsid w:val="00291F05"/>
    <w:rsid w:val="002958C6"/>
    <w:rsid w:val="002A27A5"/>
    <w:rsid w:val="002A2B30"/>
    <w:rsid w:val="002B3C95"/>
    <w:rsid w:val="002C58D8"/>
    <w:rsid w:val="002F1C74"/>
    <w:rsid w:val="002F38C9"/>
    <w:rsid w:val="00316596"/>
    <w:rsid w:val="00326A58"/>
    <w:rsid w:val="00340BDC"/>
    <w:rsid w:val="00355B81"/>
    <w:rsid w:val="003B45FE"/>
    <w:rsid w:val="003D7955"/>
    <w:rsid w:val="003D7B9E"/>
    <w:rsid w:val="003F5ED2"/>
    <w:rsid w:val="004037CA"/>
    <w:rsid w:val="00421318"/>
    <w:rsid w:val="00422BB7"/>
    <w:rsid w:val="004337D3"/>
    <w:rsid w:val="00451B61"/>
    <w:rsid w:val="004545D6"/>
    <w:rsid w:val="004A04AE"/>
    <w:rsid w:val="004A472B"/>
    <w:rsid w:val="004C554A"/>
    <w:rsid w:val="004D00C7"/>
    <w:rsid w:val="004E57FB"/>
    <w:rsid w:val="004E6F83"/>
    <w:rsid w:val="0050103D"/>
    <w:rsid w:val="00526536"/>
    <w:rsid w:val="005412AC"/>
    <w:rsid w:val="00562B26"/>
    <w:rsid w:val="00572762"/>
    <w:rsid w:val="005A5E23"/>
    <w:rsid w:val="005C3D68"/>
    <w:rsid w:val="005C4E46"/>
    <w:rsid w:val="005E38CA"/>
    <w:rsid w:val="005F09EF"/>
    <w:rsid w:val="005F6C02"/>
    <w:rsid w:val="00635B40"/>
    <w:rsid w:val="006454B2"/>
    <w:rsid w:val="006563FB"/>
    <w:rsid w:val="006640D2"/>
    <w:rsid w:val="00666387"/>
    <w:rsid w:val="0067306B"/>
    <w:rsid w:val="00695E76"/>
    <w:rsid w:val="006B3EE5"/>
    <w:rsid w:val="006B7A39"/>
    <w:rsid w:val="00703E55"/>
    <w:rsid w:val="0071248C"/>
    <w:rsid w:val="00715E0D"/>
    <w:rsid w:val="007236DB"/>
    <w:rsid w:val="007252C7"/>
    <w:rsid w:val="00734A4C"/>
    <w:rsid w:val="00766407"/>
    <w:rsid w:val="00783AFE"/>
    <w:rsid w:val="007902C7"/>
    <w:rsid w:val="00796356"/>
    <w:rsid w:val="007A07CF"/>
    <w:rsid w:val="007C007C"/>
    <w:rsid w:val="007D7AC5"/>
    <w:rsid w:val="007F0C63"/>
    <w:rsid w:val="007F6352"/>
    <w:rsid w:val="00800EE1"/>
    <w:rsid w:val="00822F1B"/>
    <w:rsid w:val="008356C7"/>
    <w:rsid w:val="00837915"/>
    <w:rsid w:val="00864305"/>
    <w:rsid w:val="00884FA1"/>
    <w:rsid w:val="00886073"/>
    <w:rsid w:val="008860F8"/>
    <w:rsid w:val="00887F9E"/>
    <w:rsid w:val="008C2F0C"/>
    <w:rsid w:val="008D5DB4"/>
    <w:rsid w:val="0090167F"/>
    <w:rsid w:val="0090401E"/>
    <w:rsid w:val="00905982"/>
    <w:rsid w:val="00921BFC"/>
    <w:rsid w:val="009347E0"/>
    <w:rsid w:val="009455AD"/>
    <w:rsid w:val="00952C2D"/>
    <w:rsid w:val="00961C6E"/>
    <w:rsid w:val="00970734"/>
    <w:rsid w:val="00987BBD"/>
    <w:rsid w:val="009D7043"/>
    <w:rsid w:val="009F0511"/>
    <w:rsid w:val="00A04E1C"/>
    <w:rsid w:val="00A176DD"/>
    <w:rsid w:val="00A22807"/>
    <w:rsid w:val="00A2736D"/>
    <w:rsid w:val="00A64695"/>
    <w:rsid w:val="00A86C48"/>
    <w:rsid w:val="00AC19C1"/>
    <w:rsid w:val="00AC4E76"/>
    <w:rsid w:val="00AE721D"/>
    <w:rsid w:val="00AF6BEF"/>
    <w:rsid w:val="00B14702"/>
    <w:rsid w:val="00B246FE"/>
    <w:rsid w:val="00B4156E"/>
    <w:rsid w:val="00B45EB2"/>
    <w:rsid w:val="00B5296E"/>
    <w:rsid w:val="00B55E0E"/>
    <w:rsid w:val="00B86480"/>
    <w:rsid w:val="00B915D2"/>
    <w:rsid w:val="00BD3BBF"/>
    <w:rsid w:val="00BE425A"/>
    <w:rsid w:val="00BF330F"/>
    <w:rsid w:val="00C00755"/>
    <w:rsid w:val="00C15444"/>
    <w:rsid w:val="00C17BAF"/>
    <w:rsid w:val="00C24429"/>
    <w:rsid w:val="00C24967"/>
    <w:rsid w:val="00C26239"/>
    <w:rsid w:val="00C57362"/>
    <w:rsid w:val="00C6692E"/>
    <w:rsid w:val="00C70531"/>
    <w:rsid w:val="00C7570D"/>
    <w:rsid w:val="00C77630"/>
    <w:rsid w:val="00C86786"/>
    <w:rsid w:val="00C91441"/>
    <w:rsid w:val="00C92969"/>
    <w:rsid w:val="00C95EE0"/>
    <w:rsid w:val="00CA4677"/>
    <w:rsid w:val="00CA50F3"/>
    <w:rsid w:val="00CA6539"/>
    <w:rsid w:val="00CC532C"/>
    <w:rsid w:val="00CE4D99"/>
    <w:rsid w:val="00D04FBF"/>
    <w:rsid w:val="00D10499"/>
    <w:rsid w:val="00D10572"/>
    <w:rsid w:val="00D549F3"/>
    <w:rsid w:val="00D65CEC"/>
    <w:rsid w:val="00D71D99"/>
    <w:rsid w:val="00D754F2"/>
    <w:rsid w:val="00D86F22"/>
    <w:rsid w:val="00DA0CE6"/>
    <w:rsid w:val="00DB24B0"/>
    <w:rsid w:val="00DB41C0"/>
    <w:rsid w:val="00DC2940"/>
    <w:rsid w:val="00DC4DB6"/>
    <w:rsid w:val="00DC6A4B"/>
    <w:rsid w:val="00DD0684"/>
    <w:rsid w:val="00DE68BB"/>
    <w:rsid w:val="00DF23EB"/>
    <w:rsid w:val="00E26FA5"/>
    <w:rsid w:val="00E55200"/>
    <w:rsid w:val="00E57059"/>
    <w:rsid w:val="00E61ABE"/>
    <w:rsid w:val="00E806B0"/>
    <w:rsid w:val="00E80CC0"/>
    <w:rsid w:val="00E85C8D"/>
    <w:rsid w:val="00EA32C7"/>
    <w:rsid w:val="00EA633B"/>
    <w:rsid w:val="00EB4635"/>
    <w:rsid w:val="00EC59DD"/>
    <w:rsid w:val="00ED002C"/>
    <w:rsid w:val="00ED4D74"/>
    <w:rsid w:val="00F164CE"/>
    <w:rsid w:val="00F262A3"/>
    <w:rsid w:val="00F55D5E"/>
    <w:rsid w:val="00F608EE"/>
    <w:rsid w:val="00F61D83"/>
    <w:rsid w:val="00F826BA"/>
    <w:rsid w:val="00F85CC6"/>
    <w:rsid w:val="00FA29D6"/>
    <w:rsid w:val="00FC6CB6"/>
    <w:rsid w:val="00FD5BF4"/>
    <w:rsid w:val="00FE5406"/>
    <w:rsid w:val="00FF11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Punctueel">
    <w:name w:val="Punctueel"/>
    <w:basedOn w:val="Koptekst"/>
    <w:rsid w:val="002873D3"/>
    <w:pPr>
      <w:numPr>
        <w:numId w:val="16"/>
      </w:numPr>
      <w:tabs>
        <w:tab w:val="clear" w:pos="4536"/>
        <w:tab w:val="clear" w:pos="9072"/>
      </w:tabs>
      <w:spacing w:after="240"/>
      <w:jc w:val="both"/>
    </w:pPr>
    <w:rPr>
      <w:szCs w:val="20"/>
      <w:lang w:val="nl-BE"/>
    </w:rPr>
  </w:style>
  <w:style w:type="paragraph" w:styleId="Koptekst">
    <w:name w:val="header"/>
    <w:basedOn w:val="Standaard"/>
    <w:rsid w:val="002873D3"/>
    <w:pPr>
      <w:tabs>
        <w:tab w:val="center" w:pos="4536"/>
        <w:tab w:val="right" w:pos="9072"/>
      </w:tabs>
    </w:pPr>
  </w:style>
  <w:style w:type="character" w:customStyle="1" w:styleId="current">
    <w:name w:val="current"/>
    <w:basedOn w:val="Standaardalinea-lettertype"/>
    <w:rsid w:val="00F16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Punctueel">
    <w:name w:val="Punctueel"/>
    <w:basedOn w:val="Koptekst"/>
    <w:rsid w:val="002873D3"/>
    <w:pPr>
      <w:numPr>
        <w:numId w:val="16"/>
      </w:numPr>
      <w:tabs>
        <w:tab w:val="clear" w:pos="4536"/>
        <w:tab w:val="clear" w:pos="9072"/>
      </w:tabs>
      <w:spacing w:after="240"/>
      <w:jc w:val="both"/>
    </w:pPr>
    <w:rPr>
      <w:szCs w:val="20"/>
      <w:lang w:val="nl-BE"/>
    </w:rPr>
  </w:style>
  <w:style w:type="paragraph" w:styleId="Koptekst">
    <w:name w:val="header"/>
    <w:basedOn w:val="Standaard"/>
    <w:rsid w:val="002873D3"/>
    <w:pPr>
      <w:tabs>
        <w:tab w:val="center" w:pos="4536"/>
        <w:tab w:val="right" w:pos="9072"/>
      </w:tabs>
    </w:pPr>
  </w:style>
  <w:style w:type="character" w:customStyle="1" w:styleId="current">
    <w:name w:val="current"/>
    <w:basedOn w:val="Standaardalinea-lettertype"/>
    <w:rsid w:val="00F1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5</TotalTime>
  <Pages>2</Pages>
  <Words>633</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2013-03-06T07:53:00Z</cp:lastPrinted>
  <dcterms:created xsi:type="dcterms:W3CDTF">2013-03-01T12:57:00Z</dcterms:created>
  <dcterms:modified xsi:type="dcterms:W3CDTF">2013-03-06T12:58:00Z</dcterms:modified>
</cp:coreProperties>
</file>