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03" w:rsidRPr="005628FF" w:rsidRDefault="004C3803" w:rsidP="008A4856">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4C3803" w:rsidRPr="004C29BE" w:rsidRDefault="004C3803" w:rsidP="008A4856">
      <w:pPr>
        <w:pBdr>
          <w:bottom w:val="single" w:sz="4" w:space="1" w:color="auto"/>
        </w:pBdr>
        <w:jc w:val="both"/>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8A4856">
      <w:pPr>
        <w:pBdr>
          <w:bottom w:val="single" w:sz="4" w:space="1" w:color="auto"/>
        </w:pBdr>
        <w:rPr>
          <w:sz w:val="22"/>
          <w:szCs w:val="22"/>
          <w:lang w:val="nl-BE"/>
        </w:rPr>
      </w:pPr>
    </w:p>
    <w:p w:rsidR="0068216A" w:rsidRPr="005628FF" w:rsidRDefault="0068216A" w:rsidP="008A4856">
      <w:pPr>
        <w:rPr>
          <w:sz w:val="22"/>
          <w:szCs w:val="22"/>
        </w:rPr>
      </w:pPr>
    </w:p>
    <w:p w:rsidR="00482870" w:rsidRDefault="00482870" w:rsidP="008A4856">
      <w:pPr>
        <w:rPr>
          <w:sz w:val="22"/>
          <w:szCs w:val="22"/>
        </w:rPr>
      </w:pPr>
      <w:r w:rsidRPr="005C4A96">
        <w:rPr>
          <w:b/>
          <w:smallCaps/>
          <w:sz w:val="22"/>
          <w:szCs w:val="22"/>
        </w:rPr>
        <w:t>antwoord</w:t>
      </w:r>
      <w:r w:rsidRPr="005628FF">
        <w:rPr>
          <w:sz w:val="22"/>
          <w:szCs w:val="22"/>
        </w:rPr>
        <w:t xml:space="preserve"> </w:t>
      </w:r>
    </w:p>
    <w:p w:rsidR="0068216A" w:rsidRPr="004C3803" w:rsidRDefault="0068216A" w:rsidP="008A4856">
      <w:pPr>
        <w:rPr>
          <w:sz w:val="22"/>
          <w:szCs w:val="22"/>
        </w:rPr>
      </w:pPr>
      <w:r w:rsidRPr="004C3803">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51018" w:rsidRPr="004C3803">
            <w:rPr>
              <w:sz w:val="22"/>
              <w:szCs w:val="22"/>
              <w:lang w:val="nl-BE"/>
            </w:rPr>
            <w:t>329</w:t>
          </w:r>
        </w:sdtContent>
      </w:sdt>
      <w:r w:rsidRPr="004C3803">
        <w:rPr>
          <w:sz w:val="22"/>
          <w:szCs w:val="22"/>
        </w:rPr>
        <w:t xml:space="preserve"> </w:t>
      </w:r>
      <w:r w:rsidR="004C3803">
        <w:rPr>
          <w:sz w:val="22"/>
          <w:szCs w:val="22"/>
        </w:rPr>
        <w:t>van 30 januari 2013</w:t>
      </w:r>
    </w:p>
    <w:p w:rsidR="0068216A" w:rsidRPr="005628FF" w:rsidRDefault="00482870" w:rsidP="008A4856">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C3803">
            <w:rPr>
              <w:rFonts w:ascii="Times New Roman Vet" w:hAnsi="Times New Roman Vet"/>
              <w:b/>
              <w:smallCaps/>
              <w:sz w:val="22"/>
              <w:szCs w:val="22"/>
            </w:rPr>
            <w:t>l</w:t>
          </w:r>
          <w:r w:rsidR="004C3803">
            <w:rPr>
              <w:rFonts w:ascii="Times New Roman Vet" w:hAnsi="Times New Roman Vet"/>
              <w:b/>
              <w:smallCaps/>
              <w:sz w:val="22"/>
              <w:szCs w:val="22"/>
              <w:lang w:val="nl-BE"/>
            </w:rPr>
            <w:t xml:space="preserve">ode </w:t>
          </w:r>
          <w:proofErr w:type="spellStart"/>
          <w:r w:rsidR="004C3803">
            <w:rPr>
              <w:rFonts w:ascii="Times New Roman Vet" w:hAnsi="Times New Roman Vet"/>
              <w:b/>
              <w:smallCaps/>
              <w:sz w:val="22"/>
              <w:szCs w:val="22"/>
              <w:lang w:val="nl-BE"/>
            </w:rPr>
            <w:t>v</w:t>
          </w:r>
          <w:r w:rsidR="00C51018" w:rsidRPr="004C3803">
            <w:rPr>
              <w:rFonts w:ascii="Times New Roman Vet" w:hAnsi="Times New Roman Vet"/>
              <w:b/>
              <w:smallCaps/>
              <w:sz w:val="22"/>
              <w:szCs w:val="22"/>
              <w:lang w:val="nl-BE"/>
            </w:rPr>
            <w:t>ereeck</w:t>
          </w:r>
          <w:proofErr w:type="spellEnd"/>
        </w:sdtContent>
      </w:sdt>
    </w:p>
    <w:p w:rsidR="0068216A" w:rsidRPr="005628FF" w:rsidRDefault="0068216A" w:rsidP="008A4856">
      <w:pPr>
        <w:pBdr>
          <w:bottom w:val="single" w:sz="4" w:space="1" w:color="auto"/>
        </w:pBdr>
        <w:rPr>
          <w:sz w:val="22"/>
          <w:szCs w:val="22"/>
        </w:rPr>
      </w:pPr>
    </w:p>
    <w:p w:rsidR="0068216A" w:rsidRPr="005628FF" w:rsidRDefault="0068216A" w:rsidP="008A4856">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8A4856">
      <w:pPr>
        <w:jc w:val="both"/>
        <w:rPr>
          <w:sz w:val="22"/>
          <w:szCs w:val="22"/>
        </w:rPr>
      </w:pPr>
    </w:p>
    <w:p w:rsidR="0068216A" w:rsidRPr="005628FF" w:rsidRDefault="0068216A" w:rsidP="008A4856">
      <w:pPr>
        <w:jc w:val="both"/>
        <w:rPr>
          <w:i/>
          <w:sz w:val="22"/>
          <w:szCs w:val="22"/>
        </w:rPr>
      </w:pPr>
    </w:p>
    <w:p w:rsidR="00C51018" w:rsidRDefault="00C51018" w:rsidP="008A4856">
      <w:pPr>
        <w:pStyle w:val="Lijstalinea"/>
        <w:numPr>
          <w:ilvl w:val="0"/>
          <w:numId w:val="9"/>
        </w:numPr>
        <w:tabs>
          <w:tab w:val="num" w:pos="397"/>
        </w:tabs>
        <w:ind w:left="397" w:hanging="397"/>
        <w:jc w:val="both"/>
        <w:rPr>
          <w:sz w:val="22"/>
          <w:szCs w:val="22"/>
        </w:rPr>
      </w:pPr>
      <w:r>
        <w:rPr>
          <w:sz w:val="22"/>
          <w:szCs w:val="22"/>
        </w:rPr>
        <w:t xml:space="preserve">Overzicht van aantal </w:t>
      </w:r>
      <w:proofErr w:type="spellStart"/>
      <w:r>
        <w:rPr>
          <w:sz w:val="22"/>
          <w:szCs w:val="22"/>
        </w:rPr>
        <w:t>werkinlevingstrajecten</w:t>
      </w:r>
      <w:proofErr w:type="spellEnd"/>
    </w:p>
    <w:p w:rsidR="004C3803" w:rsidRDefault="004C3803" w:rsidP="008A4856">
      <w:pPr>
        <w:pStyle w:val="Lijstalinea"/>
        <w:ind w:left="397"/>
        <w:jc w:val="both"/>
        <w:rPr>
          <w:sz w:val="22"/>
          <w:szCs w:val="22"/>
        </w:rPr>
      </w:pPr>
    </w:p>
    <w:tbl>
      <w:tblPr>
        <w:tblStyle w:val="Tabelraster"/>
        <w:tblW w:w="7277" w:type="dxa"/>
        <w:tblInd w:w="108" w:type="dxa"/>
        <w:tblLayout w:type="fixed"/>
        <w:tblLook w:val="04A0" w:firstRow="1" w:lastRow="0" w:firstColumn="1" w:lastColumn="0" w:noHBand="0" w:noVBand="1"/>
      </w:tblPr>
      <w:tblGrid>
        <w:gridCol w:w="2425"/>
        <w:gridCol w:w="2426"/>
        <w:gridCol w:w="2426"/>
      </w:tblGrid>
      <w:tr w:rsidR="00C51018" w:rsidTr="00C51018">
        <w:tc>
          <w:tcPr>
            <w:tcW w:w="2425" w:type="dxa"/>
          </w:tcPr>
          <w:p w:rsidR="00C51018" w:rsidRDefault="00C51018" w:rsidP="008A4856">
            <w:pPr>
              <w:pStyle w:val="Lijstalinea"/>
              <w:ind w:left="0"/>
              <w:jc w:val="both"/>
              <w:rPr>
                <w:sz w:val="22"/>
                <w:szCs w:val="22"/>
              </w:rPr>
            </w:pPr>
          </w:p>
        </w:tc>
        <w:tc>
          <w:tcPr>
            <w:tcW w:w="2426" w:type="dxa"/>
          </w:tcPr>
          <w:p w:rsidR="00C51018" w:rsidRDefault="00C51018" w:rsidP="008A4856">
            <w:pPr>
              <w:pStyle w:val="Lijstalinea"/>
              <w:ind w:left="0"/>
              <w:jc w:val="both"/>
              <w:rPr>
                <w:sz w:val="22"/>
                <w:szCs w:val="22"/>
              </w:rPr>
            </w:pPr>
            <w:r>
              <w:rPr>
                <w:sz w:val="22"/>
                <w:szCs w:val="22"/>
              </w:rPr>
              <w:t>Jaarlijks aantal jongeren</w:t>
            </w:r>
          </w:p>
        </w:tc>
        <w:tc>
          <w:tcPr>
            <w:tcW w:w="2426" w:type="dxa"/>
          </w:tcPr>
          <w:p w:rsidR="00C51018" w:rsidRDefault="00C51018" w:rsidP="008A4856">
            <w:pPr>
              <w:pStyle w:val="Lijstalinea"/>
              <w:ind w:left="0"/>
              <w:jc w:val="both"/>
              <w:rPr>
                <w:sz w:val="22"/>
                <w:szCs w:val="22"/>
              </w:rPr>
            </w:pPr>
            <w:r>
              <w:rPr>
                <w:sz w:val="22"/>
                <w:szCs w:val="22"/>
              </w:rPr>
              <w:t>Totaal aantal jongeren</w:t>
            </w:r>
          </w:p>
        </w:tc>
      </w:tr>
      <w:tr w:rsidR="00C51018" w:rsidTr="00C51018">
        <w:tc>
          <w:tcPr>
            <w:tcW w:w="2425" w:type="dxa"/>
          </w:tcPr>
          <w:p w:rsidR="00C51018" w:rsidRDefault="00C51018" w:rsidP="008A4856">
            <w:pPr>
              <w:pStyle w:val="Lijstalinea"/>
              <w:ind w:left="0"/>
              <w:jc w:val="both"/>
              <w:rPr>
                <w:sz w:val="22"/>
                <w:szCs w:val="22"/>
              </w:rPr>
            </w:pPr>
            <w:r>
              <w:rPr>
                <w:sz w:val="22"/>
                <w:szCs w:val="22"/>
              </w:rPr>
              <w:t>Roeselare</w:t>
            </w:r>
          </w:p>
        </w:tc>
        <w:tc>
          <w:tcPr>
            <w:tcW w:w="2426" w:type="dxa"/>
          </w:tcPr>
          <w:p w:rsidR="00C51018" w:rsidRDefault="00C51018" w:rsidP="008A4856">
            <w:pPr>
              <w:pStyle w:val="Lijstalinea"/>
              <w:ind w:left="0"/>
              <w:jc w:val="both"/>
              <w:rPr>
                <w:sz w:val="22"/>
                <w:szCs w:val="22"/>
              </w:rPr>
            </w:pPr>
            <w:r>
              <w:rPr>
                <w:sz w:val="22"/>
                <w:szCs w:val="22"/>
              </w:rPr>
              <w:t>30</w:t>
            </w:r>
          </w:p>
        </w:tc>
        <w:tc>
          <w:tcPr>
            <w:tcW w:w="2426" w:type="dxa"/>
          </w:tcPr>
          <w:p w:rsidR="00C51018" w:rsidRDefault="00C51018" w:rsidP="008A4856">
            <w:pPr>
              <w:pStyle w:val="Lijstalinea"/>
              <w:ind w:left="0"/>
              <w:jc w:val="both"/>
              <w:rPr>
                <w:sz w:val="22"/>
                <w:szCs w:val="22"/>
              </w:rPr>
            </w:pPr>
            <w:r>
              <w:rPr>
                <w:sz w:val="22"/>
                <w:szCs w:val="22"/>
              </w:rPr>
              <w:t>60</w:t>
            </w:r>
          </w:p>
        </w:tc>
      </w:tr>
      <w:tr w:rsidR="00C51018" w:rsidTr="00C51018">
        <w:tc>
          <w:tcPr>
            <w:tcW w:w="2425" w:type="dxa"/>
          </w:tcPr>
          <w:p w:rsidR="00C51018" w:rsidRDefault="00C51018" w:rsidP="008A4856">
            <w:pPr>
              <w:pStyle w:val="Lijstalinea"/>
              <w:ind w:left="0"/>
              <w:jc w:val="both"/>
              <w:rPr>
                <w:sz w:val="22"/>
                <w:szCs w:val="22"/>
              </w:rPr>
            </w:pPr>
            <w:r>
              <w:rPr>
                <w:sz w:val="22"/>
                <w:szCs w:val="22"/>
              </w:rPr>
              <w:t>Turnhout</w:t>
            </w:r>
          </w:p>
        </w:tc>
        <w:tc>
          <w:tcPr>
            <w:tcW w:w="2426" w:type="dxa"/>
          </w:tcPr>
          <w:p w:rsidR="00C51018" w:rsidRDefault="00C51018" w:rsidP="008A4856">
            <w:pPr>
              <w:pStyle w:val="Lijstalinea"/>
              <w:ind w:left="0"/>
              <w:jc w:val="both"/>
              <w:rPr>
                <w:sz w:val="22"/>
                <w:szCs w:val="22"/>
              </w:rPr>
            </w:pPr>
            <w:r>
              <w:rPr>
                <w:sz w:val="22"/>
                <w:szCs w:val="22"/>
              </w:rPr>
              <w:t>30</w:t>
            </w:r>
          </w:p>
        </w:tc>
        <w:tc>
          <w:tcPr>
            <w:tcW w:w="2426" w:type="dxa"/>
          </w:tcPr>
          <w:p w:rsidR="00C51018" w:rsidRDefault="00C51018" w:rsidP="008A4856">
            <w:pPr>
              <w:pStyle w:val="Lijstalinea"/>
              <w:ind w:left="0"/>
              <w:jc w:val="both"/>
              <w:rPr>
                <w:sz w:val="22"/>
                <w:szCs w:val="22"/>
              </w:rPr>
            </w:pPr>
            <w:r>
              <w:rPr>
                <w:sz w:val="22"/>
                <w:szCs w:val="22"/>
              </w:rPr>
              <w:t>60</w:t>
            </w:r>
          </w:p>
        </w:tc>
      </w:tr>
      <w:tr w:rsidR="00C51018" w:rsidTr="00C51018">
        <w:tc>
          <w:tcPr>
            <w:tcW w:w="2425" w:type="dxa"/>
          </w:tcPr>
          <w:p w:rsidR="00C51018" w:rsidRDefault="00C51018" w:rsidP="008A4856">
            <w:pPr>
              <w:pStyle w:val="Lijstalinea"/>
              <w:ind w:left="0"/>
              <w:jc w:val="both"/>
              <w:rPr>
                <w:sz w:val="22"/>
                <w:szCs w:val="22"/>
              </w:rPr>
            </w:pPr>
            <w:r>
              <w:rPr>
                <w:sz w:val="22"/>
                <w:szCs w:val="22"/>
              </w:rPr>
              <w:t>Limburg West (Hasselt)</w:t>
            </w:r>
          </w:p>
        </w:tc>
        <w:tc>
          <w:tcPr>
            <w:tcW w:w="2426" w:type="dxa"/>
          </w:tcPr>
          <w:p w:rsidR="00C51018" w:rsidRDefault="00C51018" w:rsidP="008A4856">
            <w:pPr>
              <w:pStyle w:val="Lijstalinea"/>
              <w:ind w:left="0"/>
              <w:jc w:val="both"/>
              <w:rPr>
                <w:sz w:val="22"/>
                <w:szCs w:val="22"/>
              </w:rPr>
            </w:pPr>
            <w:r>
              <w:rPr>
                <w:sz w:val="22"/>
                <w:szCs w:val="22"/>
              </w:rPr>
              <w:t>30</w:t>
            </w:r>
          </w:p>
        </w:tc>
        <w:tc>
          <w:tcPr>
            <w:tcW w:w="2426" w:type="dxa"/>
          </w:tcPr>
          <w:p w:rsidR="00C51018" w:rsidRDefault="00C51018" w:rsidP="008A4856">
            <w:pPr>
              <w:pStyle w:val="Lijstalinea"/>
              <w:ind w:left="0"/>
              <w:jc w:val="both"/>
              <w:rPr>
                <w:sz w:val="22"/>
                <w:szCs w:val="22"/>
              </w:rPr>
            </w:pPr>
            <w:r>
              <w:rPr>
                <w:sz w:val="22"/>
                <w:szCs w:val="22"/>
              </w:rPr>
              <w:t>60</w:t>
            </w:r>
          </w:p>
        </w:tc>
      </w:tr>
      <w:tr w:rsidR="00C51018" w:rsidTr="00C51018">
        <w:tc>
          <w:tcPr>
            <w:tcW w:w="2425" w:type="dxa"/>
          </w:tcPr>
          <w:p w:rsidR="00C51018" w:rsidRDefault="00C51018" w:rsidP="008A4856">
            <w:pPr>
              <w:pStyle w:val="Lijstalinea"/>
              <w:ind w:left="0"/>
              <w:jc w:val="both"/>
              <w:rPr>
                <w:sz w:val="22"/>
                <w:szCs w:val="22"/>
              </w:rPr>
            </w:pPr>
            <w:r>
              <w:rPr>
                <w:sz w:val="22"/>
                <w:szCs w:val="22"/>
              </w:rPr>
              <w:t>Kortrijk</w:t>
            </w:r>
          </w:p>
        </w:tc>
        <w:tc>
          <w:tcPr>
            <w:tcW w:w="2426" w:type="dxa"/>
          </w:tcPr>
          <w:p w:rsidR="00C51018" w:rsidRDefault="00C51018" w:rsidP="008A4856">
            <w:pPr>
              <w:pStyle w:val="Lijstalinea"/>
              <w:ind w:left="0"/>
              <w:jc w:val="both"/>
              <w:rPr>
                <w:sz w:val="22"/>
                <w:szCs w:val="22"/>
              </w:rPr>
            </w:pPr>
            <w:r>
              <w:rPr>
                <w:sz w:val="22"/>
                <w:szCs w:val="22"/>
              </w:rPr>
              <w:t>30</w:t>
            </w:r>
          </w:p>
        </w:tc>
        <w:tc>
          <w:tcPr>
            <w:tcW w:w="2426" w:type="dxa"/>
          </w:tcPr>
          <w:p w:rsidR="00C51018" w:rsidRDefault="00C51018" w:rsidP="008A4856">
            <w:pPr>
              <w:pStyle w:val="Lijstalinea"/>
              <w:ind w:left="0"/>
              <w:jc w:val="both"/>
              <w:rPr>
                <w:sz w:val="22"/>
                <w:szCs w:val="22"/>
              </w:rPr>
            </w:pPr>
            <w:r>
              <w:rPr>
                <w:sz w:val="22"/>
                <w:szCs w:val="22"/>
              </w:rPr>
              <w:t>60</w:t>
            </w:r>
          </w:p>
        </w:tc>
      </w:tr>
      <w:tr w:rsidR="00C51018" w:rsidTr="00C51018">
        <w:tc>
          <w:tcPr>
            <w:tcW w:w="2425" w:type="dxa"/>
          </w:tcPr>
          <w:p w:rsidR="00C51018" w:rsidRDefault="00C51018" w:rsidP="008A4856">
            <w:pPr>
              <w:pStyle w:val="Lijstalinea"/>
              <w:ind w:left="0"/>
              <w:jc w:val="both"/>
              <w:rPr>
                <w:sz w:val="22"/>
                <w:szCs w:val="22"/>
              </w:rPr>
            </w:pPr>
            <w:r>
              <w:rPr>
                <w:sz w:val="22"/>
                <w:szCs w:val="22"/>
              </w:rPr>
              <w:t>Leuven</w:t>
            </w:r>
          </w:p>
        </w:tc>
        <w:tc>
          <w:tcPr>
            <w:tcW w:w="2426" w:type="dxa"/>
          </w:tcPr>
          <w:p w:rsidR="00C51018" w:rsidRDefault="00C51018" w:rsidP="008A4856">
            <w:pPr>
              <w:pStyle w:val="Lijstalinea"/>
              <w:ind w:left="0"/>
              <w:jc w:val="both"/>
              <w:rPr>
                <w:sz w:val="22"/>
                <w:szCs w:val="22"/>
              </w:rPr>
            </w:pPr>
            <w:r>
              <w:rPr>
                <w:sz w:val="22"/>
                <w:szCs w:val="22"/>
              </w:rPr>
              <w:t>35</w:t>
            </w:r>
          </w:p>
        </w:tc>
        <w:tc>
          <w:tcPr>
            <w:tcW w:w="2426" w:type="dxa"/>
          </w:tcPr>
          <w:p w:rsidR="00C51018" w:rsidRDefault="00C51018" w:rsidP="008A4856">
            <w:pPr>
              <w:pStyle w:val="Lijstalinea"/>
              <w:ind w:left="0"/>
              <w:jc w:val="both"/>
              <w:rPr>
                <w:sz w:val="22"/>
                <w:szCs w:val="22"/>
              </w:rPr>
            </w:pPr>
            <w:r>
              <w:rPr>
                <w:sz w:val="22"/>
                <w:szCs w:val="22"/>
              </w:rPr>
              <w:t>70</w:t>
            </w:r>
          </w:p>
        </w:tc>
      </w:tr>
      <w:tr w:rsidR="00C51018" w:rsidTr="00C51018">
        <w:tc>
          <w:tcPr>
            <w:tcW w:w="2425" w:type="dxa"/>
          </w:tcPr>
          <w:p w:rsidR="00C51018" w:rsidRDefault="00C51018" w:rsidP="008A4856">
            <w:pPr>
              <w:pStyle w:val="Lijstalinea"/>
              <w:ind w:left="0"/>
              <w:jc w:val="both"/>
              <w:rPr>
                <w:sz w:val="22"/>
                <w:szCs w:val="22"/>
              </w:rPr>
            </w:pPr>
            <w:r>
              <w:rPr>
                <w:sz w:val="22"/>
                <w:szCs w:val="22"/>
              </w:rPr>
              <w:t>Oostende</w:t>
            </w:r>
          </w:p>
        </w:tc>
        <w:tc>
          <w:tcPr>
            <w:tcW w:w="2426" w:type="dxa"/>
          </w:tcPr>
          <w:p w:rsidR="00C51018" w:rsidRDefault="00C51018" w:rsidP="008A4856">
            <w:pPr>
              <w:pStyle w:val="Lijstalinea"/>
              <w:ind w:left="0"/>
              <w:jc w:val="both"/>
              <w:rPr>
                <w:sz w:val="22"/>
                <w:szCs w:val="22"/>
              </w:rPr>
            </w:pPr>
            <w:r>
              <w:rPr>
                <w:sz w:val="22"/>
                <w:szCs w:val="22"/>
              </w:rPr>
              <w:t>40</w:t>
            </w:r>
          </w:p>
        </w:tc>
        <w:tc>
          <w:tcPr>
            <w:tcW w:w="2426" w:type="dxa"/>
          </w:tcPr>
          <w:p w:rsidR="00C51018" w:rsidRDefault="00C51018" w:rsidP="008A4856">
            <w:pPr>
              <w:pStyle w:val="Lijstalinea"/>
              <w:ind w:left="0"/>
              <w:jc w:val="both"/>
              <w:rPr>
                <w:sz w:val="22"/>
                <w:szCs w:val="22"/>
              </w:rPr>
            </w:pPr>
            <w:r>
              <w:rPr>
                <w:sz w:val="22"/>
                <w:szCs w:val="22"/>
              </w:rPr>
              <w:t>80</w:t>
            </w:r>
          </w:p>
        </w:tc>
      </w:tr>
      <w:tr w:rsidR="00C51018" w:rsidTr="00C51018">
        <w:tc>
          <w:tcPr>
            <w:tcW w:w="2425" w:type="dxa"/>
          </w:tcPr>
          <w:p w:rsidR="00C51018" w:rsidRDefault="00C51018" w:rsidP="008A4856">
            <w:pPr>
              <w:pStyle w:val="Lijstalinea"/>
              <w:ind w:left="0"/>
              <w:jc w:val="both"/>
              <w:rPr>
                <w:sz w:val="22"/>
                <w:szCs w:val="22"/>
              </w:rPr>
            </w:pPr>
            <w:r>
              <w:rPr>
                <w:sz w:val="22"/>
                <w:szCs w:val="22"/>
              </w:rPr>
              <w:t>Aalst</w:t>
            </w:r>
          </w:p>
        </w:tc>
        <w:tc>
          <w:tcPr>
            <w:tcW w:w="2426" w:type="dxa"/>
          </w:tcPr>
          <w:p w:rsidR="00C51018" w:rsidRDefault="00C51018" w:rsidP="008A4856">
            <w:pPr>
              <w:pStyle w:val="Lijstalinea"/>
              <w:ind w:left="0"/>
              <w:jc w:val="both"/>
              <w:rPr>
                <w:sz w:val="22"/>
                <w:szCs w:val="22"/>
              </w:rPr>
            </w:pPr>
            <w:r>
              <w:rPr>
                <w:sz w:val="22"/>
                <w:szCs w:val="22"/>
              </w:rPr>
              <w:t>40</w:t>
            </w:r>
          </w:p>
        </w:tc>
        <w:tc>
          <w:tcPr>
            <w:tcW w:w="2426" w:type="dxa"/>
          </w:tcPr>
          <w:p w:rsidR="00C51018" w:rsidRDefault="00C51018" w:rsidP="008A4856">
            <w:pPr>
              <w:pStyle w:val="Lijstalinea"/>
              <w:ind w:left="0"/>
              <w:jc w:val="both"/>
              <w:rPr>
                <w:sz w:val="22"/>
                <w:szCs w:val="22"/>
              </w:rPr>
            </w:pPr>
            <w:r>
              <w:rPr>
                <w:sz w:val="22"/>
                <w:szCs w:val="22"/>
              </w:rPr>
              <w:t>80</w:t>
            </w:r>
          </w:p>
        </w:tc>
      </w:tr>
      <w:tr w:rsidR="00C51018" w:rsidTr="00C51018">
        <w:tc>
          <w:tcPr>
            <w:tcW w:w="2425" w:type="dxa"/>
          </w:tcPr>
          <w:p w:rsidR="00C51018" w:rsidRDefault="00C51018" w:rsidP="008A4856">
            <w:pPr>
              <w:pStyle w:val="Lijstalinea"/>
              <w:ind w:left="0"/>
              <w:jc w:val="both"/>
              <w:rPr>
                <w:sz w:val="22"/>
                <w:szCs w:val="22"/>
              </w:rPr>
            </w:pPr>
            <w:r>
              <w:rPr>
                <w:sz w:val="22"/>
                <w:szCs w:val="22"/>
              </w:rPr>
              <w:t>Sint-Niklaas</w:t>
            </w:r>
          </w:p>
        </w:tc>
        <w:tc>
          <w:tcPr>
            <w:tcW w:w="2426" w:type="dxa"/>
          </w:tcPr>
          <w:p w:rsidR="00C51018" w:rsidRDefault="00C51018" w:rsidP="008A4856">
            <w:pPr>
              <w:pStyle w:val="Lijstalinea"/>
              <w:ind w:left="0"/>
              <w:jc w:val="both"/>
              <w:rPr>
                <w:sz w:val="22"/>
                <w:szCs w:val="22"/>
              </w:rPr>
            </w:pPr>
            <w:r>
              <w:rPr>
                <w:sz w:val="22"/>
                <w:szCs w:val="22"/>
              </w:rPr>
              <w:t>45</w:t>
            </w:r>
          </w:p>
        </w:tc>
        <w:tc>
          <w:tcPr>
            <w:tcW w:w="2426" w:type="dxa"/>
          </w:tcPr>
          <w:p w:rsidR="00C51018" w:rsidRDefault="00C51018" w:rsidP="008A4856">
            <w:pPr>
              <w:pStyle w:val="Lijstalinea"/>
              <w:ind w:left="0"/>
              <w:jc w:val="both"/>
              <w:rPr>
                <w:sz w:val="22"/>
                <w:szCs w:val="22"/>
              </w:rPr>
            </w:pPr>
            <w:r>
              <w:rPr>
                <w:sz w:val="22"/>
                <w:szCs w:val="22"/>
              </w:rPr>
              <w:t>90</w:t>
            </w:r>
          </w:p>
        </w:tc>
      </w:tr>
      <w:tr w:rsidR="00C51018" w:rsidTr="00C51018">
        <w:tc>
          <w:tcPr>
            <w:tcW w:w="2425" w:type="dxa"/>
          </w:tcPr>
          <w:p w:rsidR="00C51018" w:rsidRDefault="00C51018" w:rsidP="008A4856">
            <w:pPr>
              <w:pStyle w:val="Lijstalinea"/>
              <w:ind w:left="0"/>
              <w:jc w:val="both"/>
              <w:rPr>
                <w:sz w:val="22"/>
                <w:szCs w:val="22"/>
              </w:rPr>
            </w:pPr>
            <w:r>
              <w:rPr>
                <w:sz w:val="22"/>
                <w:szCs w:val="22"/>
              </w:rPr>
              <w:t>Brugge</w:t>
            </w:r>
          </w:p>
        </w:tc>
        <w:tc>
          <w:tcPr>
            <w:tcW w:w="2426" w:type="dxa"/>
          </w:tcPr>
          <w:p w:rsidR="00C51018" w:rsidRDefault="00C51018" w:rsidP="008A4856">
            <w:pPr>
              <w:pStyle w:val="Lijstalinea"/>
              <w:ind w:left="0"/>
              <w:jc w:val="both"/>
              <w:rPr>
                <w:sz w:val="22"/>
                <w:szCs w:val="22"/>
              </w:rPr>
            </w:pPr>
            <w:r>
              <w:rPr>
                <w:sz w:val="22"/>
                <w:szCs w:val="22"/>
              </w:rPr>
              <w:t>45</w:t>
            </w:r>
          </w:p>
        </w:tc>
        <w:tc>
          <w:tcPr>
            <w:tcW w:w="2426" w:type="dxa"/>
          </w:tcPr>
          <w:p w:rsidR="00C51018" w:rsidRDefault="00C51018" w:rsidP="008A4856">
            <w:pPr>
              <w:pStyle w:val="Lijstalinea"/>
              <w:ind w:left="0"/>
              <w:jc w:val="both"/>
              <w:rPr>
                <w:sz w:val="22"/>
                <w:szCs w:val="22"/>
              </w:rPr>
            </w:pPr>
            <w:r>
              <w:rPr>
                <w:sz w:val="22"/>
                <w:szCs w:val="22"/>
              </w:rPr>
              <w:t>90</w:t>
            </w:r>
          </w:p>
        </w:tc>
      </w:tr>
      <w:tr w:rsidR="00C51018" w:rsidTr="00C51018">
        <w:tc>
          <w:tcPr>
            <w:tcW w:w="2425" w:type="dxa"/>
          </w:tcPr>
          <w:p w:rsidR="00C51018" w:rsidRDefault="00C51018" w:rsidP="008A4856">
            <w:pPr>
              <w:pStyle w:val="Lijstalinea"/>
              <w:ind w:left="0"/>
              <w:jc w:val="both"/>
              <w:rPr>
                <w:sz w:val="22"/>
                <w:szCs w:val="22"/>
              </w:rPr>
            </w:pPr>
            <w:r>
              <w:rPr>
                <w:sz w:val="22"/>
                <w:szCs w:val="22"/>
              </w:rPr>
              <w:t>Mechelen</w:t>
            </w:r>
          </w:p>
        </w:tc>
        <w:tc>
          <w:tcPr>
            <w:tcW w:w="2426" w:type="dxa"/>
          </w:tcPr>
          <w:p w:rsidR="00C51018" w:rsidRDefault="00C51018" w:rsidP="008A4856">
            <w:pPr>
              <w:pStyle w:val="Lijstalinea"/>
              <w:ind w:left="0"/>
              <w:jc w:val="both"/>
              <w:rPr>
                <w:sz w:val="22"/>
                <w:szCs w:val="22"/>
              </w:rPr>
            </w:pPr>
            <w:r>
              <w:rPr>
                <w:sz w:val="22"/>
                <w:szCs w:val="22"/>
              </w:rPr>
              <w:t>55</w:t>
            </w:r>
          </w:p>
        </w:tc>
        <w:tc>
          <w:tcPr>
            <w:tcW w:w="2426" w:type="dxa"/>
          </w:tcPr>
          <w:p w:rsidR="00C51018" w:rsidRDefault="00C51018" w:rsidP="008A4856">
            <w:pPr>
              <w:pStyle w:val="Lijstalinea"/>
              <w:ind w:left="0"/>
              <w:jc w:val="both"/>
              <w:rPr>
                <w:sz w:val="22"/>
                <w:szCs w:val="22"/>
              </w:rPr>
            </w:pPr>
            <w:r>
              <w:rPr>
                <w:sz w:val="22"/>
                <w:szCs w:val="22"/>
              </w:rPr>
              <w:t>110</w:t>
            </w:r>
          </w:p>
        </w:tc>
      </w:tr>
      <w:tr w:rsidR="00C51018" w:rsidTr="00C51018">
        <w:tc>
          <w:tcPr>
            <w:tcW w:w="2425" w:type="dxa"/>
          </w:tcPr>
          <w:p w:rsidR="00C51018" w:rsidRDefault="00C51018" w:rsidP="008A4856">
            <w:pPr>
              <w:pStyle w:val="Lijstalinea"/>
              <w:ind w:left="0"/>
              <w:jc w:val="both"/>
              <w:rPr>
                <w:sz w:val="22"/>
                <w:szCs w:val="22"/>
              </w:rPr>
            </w:pPr>
            <w:r>
              <w:rPr>
                <w:sz w:val="22"/>
                <w:szCs w:val="22"/>
              </w:rPr>
              <w:t>Limburg Oost (Genk)</w:t>
            </w:r>
          </w:p>
        </w:tc>
        <w:tc>
          <w:tcPr>
            <w:tcW w:w="2426" w:type="dxa"/>
          </w:tcPr>
          <w:p w:rsidR="00C51018" w:rsidRDefault="00C51018" w:rsidP="008A4856">
            <w:pPr>
              <w:pStyle w:val="Lijstalinea"/>
              <w:ind w:left="0"/>
              <w:jc w:val="both"/>
              <w:rPr>
                <w:sz w:val="22"/>
                <w:szCs w:val="22"/>
              </w:rPr>
            </w:pPr>
            <w:r>
              <w:rPr>
                <w:sz w:val="22"/>
                <w:szCs w:val="22"/>
              </w:rPr>
              <w:t>65</w:t>
            </w:r>
          </w:p>
        </w:tc>
        <w:tc>
          <w:tcPr>
            <w:tcW w:w="2426" w:type="dxa"/>
          </w:tcPr>
          <w:p w:rsidR="00C51018" w:rsidRDefault="00C51018" w:rsidP="008A4856">
            <w:pPr>
              <w:pStyle w:val="Lijstalinea"/>
              <w:ind w:left="0"/>
              <w:jc w:val="both"/>
              <w:rPr>
                <w:sz w:val="22"/>
                <w:szCs w:val="22"/>
              </w:rPr>
            </w:pPr>
            <w:r>
              <w:rPr>
                <w:sz w:val="22"/>
                <w:szCs w:val="22"/>
              </w:rPr>
              <w:t>130</w:t>
            </w:r>
          </w:p>
        </w:tc>
      </w:tr>
      <w:tr w:rsidR="00C51018" w:rsidTr="00C51018">
        <w:tc>
          <w:tcPr>
            <w:tcW w:w="2425" w:type="dxa"/>
          </w:tcPr>
          <w:p w:rsidR="00C51018" w:rsidRDefault="00C51018" w:rsidP="008A4856">
            <w:pPr>
              <w:pStyle w:val="Lijstalinea"/>
              <w:ind w:left="0"/>
              <w:jc w:val="both"/>
              <w:rPr>
                <w:sz w:val="22"/>
                <w:szCs w:val="22"/>
              </w:rPr>
            </w:pPr>
            <w:r>
              <w:rPr>
                <w:sz w:val="22"/>
                <w:szCs w:val="22"/>
              </w:rPr>
              <w:t>Gent</w:t>
            </w:r>
          </w:p>
        </w:tc>
        <w:tc>
          <w:tcPr>
            <w:tcW w:w="2426" w:type="dxa"/>
          </w:tcPr>
          <w:p w:rsidR="00C51018" w:rsidRDefault="00C51018" w:rsidP="008A4856">
            <w:pPr>
              <w:pStyle w:val="Lijstalinea"/>
              <w:ind w:left="0"/>
              <w:jc w:val="both"/>
              <w:rPr>
                <w:sz w:val="22"/>
                <w:szCs w:val="22"/>
              </w:rPr>
            </w:pPr>
            <w:r>
              <w:rPr>
                <w:sz w:val="22"/>
                <w:szCs w:val="22"/>
              </w:rPr>
              <w:t>230</w:t>
            </w:r>
          </w:p>
        </w:tc>
        <w:tc>
          <w:tcPr>
            <w:tcW w:w="2426" w:type="dxa"/>
          </w:tcPr>
          <w:p w:rsidR="00C51018" w:rsidRDefault="00C51018" w:rsidP="008A4856">
            <w:pPr>
              <w:pStyle w:val="Lijstalinea"/>
              <w:ind w:left="0"/>
              <w:jc w:val="both"/>
              <w:rPr>
                <w:sz w:val="22"/>
                <w:szCs w:val="22"/>
              </w:rPr>
            </w:pPr>
            <w:r>
              <w:rPr>
                <w:sz w:val="22"/>
                <w:szCs w:val="22"/>
              </w:rPr>
              <w:t>460</w:t>
            </w:r>
          </w:p>
        </w:tc>
      </w:tr>
      <w:tr w:rsidR="00C51018" w:rsidTr="00C51018">
        <w:tc>
          <w:tcPr>
            <w:tcW w:w="2425" w:type="dxa"/>
          </w:tcPr>
          <w:p w:rsidR="00C51018" w:rsidRDefault="00C51018" w:rsidP="008A4856">
            <w:pPr>
              <w:pStyle w:val="Lijstalinea"/>
              <w:ind w:left="0"/>
              <w:jc w:val="both"/>
              <w:rPr>
                <w:sz w:val="22"/>
                <w:szCs w:val="22"/>
              </w:rPr>
            </w:pPr>
            <w:r>
              <w:rPr>
                <w:sz w:val="22"/>
                <w:szCs w:val="22"/>
              </w:rPr>
              <w:t>Antwerpen</w:t>
            </w:r>
          </w:p>
        </w:tc>
        <w:tc>
          <w:tcPr>
            <w:tcW w:w="2426" w:type="dxa"/>
          </w:tcPr>
          <w:p w:rsidR="00C51018" w:rsidRDefault="00C51018" w:rsidP="008A4856">
            <w:pPr>
              <w:pStyle w:val="Lijstalinea"/>
              <w:ind w:left="0"/>
              <w:jc w:val="both"/>
              <w:rPr>
                <w:sz w:val="22"/>
                <w:szCs w:val="22"/>
              </w:rPr>
            </w:pPr>
            <w:r>
              <w:rPr>
                <w:sz w:val="22"/>
                <w:szCs w:val="22"/>
              </w:rPr>
              <w:t>600</w:t>
            </w:r>
          </w:p>
        </w:tc>
        <w:tc>
          <w:tcPr>
            <w:tcW w:w="2426" w:type="dxa"/>
          </w:tcPr>
          <w:p w:rsidR="00C51018" w:rsidRDefault="00C51018" w:rsidP="008A4856">
            <w:pPr>
              <w:pStyle w:val="Lijstalinea"/>
              <w:ind w:left="0"/>
              <w:jc w:val="both"/>
              <w:rPr>
                <w:sz w:val="22"/>
                <w:szCs w:val="22"/>
              </w:rPr>
            </w:pPr>
            <w:r>
              <w:rPr>
                <w:sz w:val="22"/>
                <w:szCs w:val="22"/>
              </w:rPr>
              <w:t>1.200</w:t>
            </w:r>
          </w:p>
        </w:tc>
      </w:tr>
      <w:tr w:rsidR="00C51018" w:rsidTr="00C51018">
        <w:tc>
          <w:tcPr>
            <w:tcW w:w="2425" w:type="dxa"/>
          </w:tcPr>
          <w:p w:rsidR="00C51018" w:rsidRDefault="00C51018" w:rsidP="008A4856">
            <w:pPr>
              <w:pStyle w:val="Lijstalinea"/>
              <w:ind w:left="0"/>
              <w:jc w:val="both"/>
              <w:rPr>
                <w:sz w:val="22"/>
                <w:szCs w:val="22"/>
              </w:rPr>
            </w:pPr>
            <w:r>
              <w:rPr>
                <w:sz w:val="22"/>
                <w:szCs w:val="22"/>
              </w:rPr>
              <w:t xml:space="preserve">Totaal </w:t>
            </w:r>
          </w:p>
        </w:tc>
        <w:tc>
          <w:tcPr>
            <w:tcW w:w="2426" w:type="dxa"/>
          </w:tcPr>
          <w:p w:rsidR="00C51018" w:rsidRDefault="00C51018" w:rsidP="008A4856">
            <w:pPr>
              <w:pStyle w:val="Lijstalinea"/>
              <w:ind w:left="0"/>
              <w:jc w:val="both"/>
              <w:rPr>
                <w:sz w:val="22"/>
                <w:szCs w:val="22"/>
              </w:rPr>
            </w:pPr>
            <w:r>
              <w:rPr>
                <w:sz w:val="22"/>
                <w:szCs w:val="22"/>
              </w:rPr>
              <w:t>1.275</w:t>
            </w:r>
          </w:p>
        </w:tc>
        <w:tc>
          <w:tcPr>
            <w:tcW w:w="2426" w:type="dxa"/>
          </w:tcPr>
          <w:p w:rsidR="00C51018" w:rsidRDefault="00C51018" w:rsidP="008A4856">
            <w:pPr>
              <w:pStyle w:val="Lijstalinea"/>
              <w:ind w:left="0"/>
              <w:jc w:val="both"/>
              <w:rPr>
                <w:sz w:val="22"/>
                <w:szCs w:val="22"/>
              </w:rPr>
            </w:pPr>
            <w:r>
              <w:rPr>
                <w:sz w:val="22"/>
                <w:szCs w:val="22"/>
              </w:rPr>
              <w:t>2.550</w:t>
            </w:r>
          </w:p>
        </w:tc>
      </w:tr>
    </w:tbl>
    <w:p w:rsidR="00C51018" w:rsidRDefault="00C51018" w:rsidP="008A4856">
      <w:pPr>
        <w:pStyle w:val="Lijstalinea"/>
        <w:ind w:left="397"/>
        <w:jc w:val="both"/>
        <w:rPr>
          <w:sz w:val="22"/>
          <w:szCs w:val="22"/>
        </w:rPr>
      </w:pPr>
    </w:p>
    <w:p w:rsidR="00C51018" w:rsidRDefault="00C51018" w:rsidP="008A4856">
      <w:pPr>
        <w:pStyle w:val="Lijstalinea"/>
        <w:numPr>
          <w:ilvl w:val="0"/>
          <w:numId w:val="9"/>
        </w:numPr>
        <w:tabs>
          <w:tab w:val="num" w:pos="397"/>
        </w:tabs>
        <w:ind w:left="397" w:hanging="397"/>
        <w:jc w:val="both"/>
        <w:rPr>
          <w:sz w:val="22"/>
          <w:szCs w:val="22"/>
        </w:rPr>
      </w:pPr>
      <w:r>
        <w:rPr>
          <w:sz w:val="22"/>
          <w:szCs w:val="22"/>
        </w:rPr>
        <w:t xml:space="preserve">De projecten worden gerealiseerd via een ESF-oproep. Geïnteresseerde promotoren konden intekenen. Met uitzondering van Antwerpen en Gent, gaan de projecten op 1/2/2013 van start. Antwerpen en Gent hebben gekozen voor een addendum bij hun samenwerkingsovereenkomst VDAB-OCMW-Stad. Deze projecten gaan op 1/3/2013 van start. De VDAB staat in voor de </w:t>
      </w:r>
      <w:proofErr w:type="spellStart"/>
      <w:r>
        <w:rPr>
          <w:sz w:val="22"/>
          <w:szCs w:val="22"/>
        </w:rPr>
        <w:t>toeleidingsgarantie</w:t>
      </w:r>
      <w:proofErr w:type="spellEnd"/>
      <w:r>
        <w:rPr>
          <w:sz w:val="22"/>
          <w:szCs w:val="22"/>
        </w:rPr>
        <w:t xml:space="preserve"> naar de promotoren. </w:t>
      </w:r>
      <w:r w:rsidR="00DC40A7">
        <w:rPr>
          <w:sz w:val="22"/>
          <w:szCs w:val="22"/>
        </w:rPr>
        <w:t>VDAB staat in voor de toeleiding van de doelgroep naar deze projecten.</w:t>
      </w:r>
    </w:p>
    <w:p w:rsidR="00C51018" w:rsidRDefault="00C51018" w:rsidP="008A4856">
      <w:pPr>
        <w:pStyle w:val="Lijstalinea"/>
        <w:ind w:left="397"/>
        <w:jc w:val="both"/>
        <w:rPr>
          <w:sz w:val="22"/>
          <w:szCs w:val="22"/>
        </w:rPr>
      </w:pPr>
    </w:p>
    <w:p w:rsidR="00C51018" w:rsidRDefault="00C51018" w:rsidP="008A4856">
      <w:pPr>
        <w:pStyle w:val="Lijstalinea"/>
        <w:numPr>
          <w:ilvl w:val="0"/>
          <w:numId w:val="9"/>
        </w:numPr>
        <w:tabs>
          <w:tab w:val="num" w:pos="397"/>
        </w:tabs>
        <w:ind w:left="397" w:hanging="397"/>
        <w:jc w:val="both"/>
        <w:rPr>
          <w:sz w:val="22"/>
          <w:szCs w:val="22"/>
        </w:rPr>
      </w:pPr>
      <w:r w:rsidRPr="002D778B">
        <w:rPr>
          <w:sz w:val="22"/>
          <w:szCs w:val="22"/>
        </w:rPr>
        <w:t xml:space="preserve">De </w:t>
      </w:r>
      <w:proofErr w:type="spellStart"/>
      <w:r w:rsidRPr="002D778B">
        <w:rPr>
          <w:sz w:val="22"/>
          <w:szCs w:val="22"/>
        </w:rPr>
        <w:t>werkinlevingsprojecten</w:t>
      </w:r>
      <w:proofErr w:type="spellEnd"/>
      <w:r w:rsidRPr="002D778B">
        <w:rPr>
          <w:sz w:val="22"/>
          <w:szCs w:val="22"/>
        </w:rPr>
        <w:t xml:space="preserve"> moeten de jongeren een werkervaring via een stage in een bedrijf of een geattesteerde competentieversterking bieden. De promotoren kunnen gebruik maken van diverse instrumenten om de stage vorm te geven, zoals de instapstage maar ook andere formules zoals een </w:t>
      </w:r>
      <w:proofErr w:type="spellStart"/>
      <w:r w:rsidRPr="002D778B">
        <w:rPr>
          <w:sz w:val="22"/>
          <w:szCs w:val="22"/>
        </w:rPr>
        <w:t>beroepsverkennende</w:t>
      </w:r>
      <w:proofErr w:type="spellEnd"/>
      <w:r w:rsidRPr="002D778B">
        <w:rPr>
          <w:sz w:val="22"/>
          <w:szCs w:val="22"/>
        </w:rPr>
        <w:t xml:space="preserve"> stage of een IBO. De keuze voor het instrument ligt bij de promotor en zal in overleg met de jongere en het </w:t>
      </w:r>
      <w:proofErr w:type="spellStart"/>
      <w:r w:rsidRPr="002D778B">
        <w:rPr>
          <w:sz w:val="22"/>
          <w:szCs w:val="22"/>
        </w:rPr>
        <w:t>stagebedrijf</w:t>
      </w:r>
      <w:proofErr w:type="spellEnd"/>
      <w:r w:rsidRPr="002D778B">
        <w:rPr>
          <w:sz w:val="22"/>
          <w:szCs w:val="22"/>
        </w:rPr>
        <w:t xml:space="preserve"> genomen worden. De organisatie en de realisatie van de stages is de verantwoordelijkheid van de promotor, de VDAB staat in voor </w:t>
      </w:r>
      <w:r w:rsidR="002D778B" w:rsidRPr="002D778B">
        <w:rPr>
          <w:sz w:val="22"/>
          <w:szCs w:val="22"/>
        </w:rPr>
        <w:t xml:space="preserve">administratieve ondersteuning (cursistenvergoeding, verzekering,…). </w:t>
      </w:r>
    </w:p>
    <w:p w:rsidR="002D778B" w:rsidRPr="002D778B" w:rsidRDefault="002D778B" w:rsidP="008A4856">
      <w:pPr>
        <w:pStyle w:val="Lijstalinea"/>
        <w:ind w:left="397"/>
        <w:jc w:val="both"/>
        <w:rPr>
          <w:sz w:val="22"/>
          <w:szCs w:val="22"/>
        </w:rPr>
      </w:pPr>
    </w:p>
    <w:p w:rsidR="00C51018" w:rsidRPr="005628FF" w:rsidRDefault="00C51018" w:rsidP="008A4856">
      <w:pPr>
        <w:pStyle w:val="Lijstalinea"/>
        <w:numPr>
          <w:ilvl w:val="0"/>
          <w:numId w:val="9"/>
        </w:numPr>
        <w:tabs>
          <w:tab w:val="num" w:pos="397"/>
        </w:tabs>
        <w:ind w:left="397" w:hanging="397"/>
        <w:jc w:val="both"/>
        <w:rPr>
          <w:sz w:val="22"/>
          <w:szCs w:val="22"/>
        </w:rPr>
      </w:pPr>
      <w:r>
        <w:rPr>
          <w:sz w:val="22"/>
          <w:szCs w:val="22"/>
        </w:rPr>
        <w:t xml:space="preserve">De resultaten worden op verschillende manieren opgevolgd. Er is de opvolging van de uitvoering van het samenwerkingsakkoord. Het engagement van de instapstages is ingeschreven in het Jaarondernemingsplan van de VDAB en zal daar via de monitoring en jaarlijkse evaluatie opgevolgd worden. Aangezien de maatregel binnen het engagement uit het loopbaanakkoord werd ingepast, zal er ook binnen de opvolging van het loopbaanakkoord aandacht voor de uitvoering van de instapstages zijn. En tenslotte voorzien ESF en de partners binnen de </w:t>
      </w:r>
      <w:proofErr w:type="spellStart"/>
      <w:r>
        <w:rPr>
          <w:sz w:val="22"/>
          <w:szCs w:val="22"/>
        </w:rPr>
        <w:t>werkinlevingstrajecten</w:t>
      </w:r>
      <w:proofErr w:type="spellEnd"/>
      <w:r>
        <w:rPr>
          <w:sz w:val="22"/>
          <w:szCs w:val="22"/>
        </w:rPr>
        <w:t xml:space="preserve"> ook de nodige</w:t>
      </w:r>
      <w:r w:rsidRPr="00023C35">
        <w:rPr>
          <w:sz w:val="22"/>
          <w:szCs w:val="22"/>
        </w:rPr>
        <w:t xml:space="preserve"> projectopvolging. </w:t>
      </w:r>
      <w:bookmarkStart w:id="0" w:name="_GoBack"/>
      <w:bookmarkEnd w:id="0"/>
    </w:p>
    <w:sectPr w:rsidR="00C51018" w:rsidRPr="005628FF" w:rsidSect="008A4856">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8C1789"/>
    <w:multiLevelType w:val="hybridMultilevel"/>
    <w:tmpl w:val="BD96A6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73F0"/>
    <w:rsid w:val="00232BC7"/>
    <w:rsid w:val="002775A9"/>
    <w:rsid w:val="00291A76"/>
    <w:rsid w:val="002A7C89"/>
    <w:rsid w:val="002C779D"/>
    <w:rsid w:val="002D778B"/>
    <w:rsid w:val="00321752"/>
    <w:rsid w:val="00342E5D"/>
    <w:rsid w:val="00410225"/>
    <w:rsid w:val="00415488"/>
    <w:rsid w:val="00462E13"/>
    <w:rsid w:val="00463D2B"/>
    <w:rsid w:val="00482870"/>
    <w:rsid w:val="00484404"/>
    <w:rsid w:val="00492D21"/>
    <w:rsid w:val="00496B5B"/>
    <w:rsid w:val="004B1659"/>
    <w:rsid w:val="004C3803"/>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A4856"/>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51018"/>
    <w:rsid w:val="00CB3A85"/>
    <w:rsid w:val="00D0429D"/>
    <w:rsid w:val="00D06542"/>
    <w:rsid w:val="00D15FE9"/>
    <w:rsid w:val="00D169B0"/>
    <w:rsid w:val="00D6129C"/>
    <w:rsid w:val="00DC40A7"/>
    <w:rsid w:val="00DF0323"/>
    <w:rsid w:val="00DF0EAA"/>
    <w:rsid w:val="00E13E2E"/>
    <w:rsid w:val="00E37C52"/>
    <w:rsid w:val="00E7231E"/>
    <w:rsid w:val="00EB1EE1"/>
    <w:rsid w:val="00EC7346"/>
    <w:rsid w:val="00ED0183"/>
    <w:rsid w:val="00EE0092"/>
    <w:rsid w:val="00F6262A"/>
    <w:rsid w:val="00F9145D"/>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C51018"/>
    <w:pPr>
      <w:ind w:left="720"/>
      <w:contextualSpacing/>
    </w:pPr>
  </w:style>
  <w:style w:type="table" w:styleId="Tabelraster">
    <w:name w:val="Table Grid"/>
    <w:basedOn w:val="Standaardtabel"/>
    <w:rsid w:val="00C5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C51018"/>
    <w:pPr>
      <w:ind w:left="720"/>
      <w:contextualSpacing/>
    </w:pPr>
  </w:style>
  <w:style w:type="table" w:styleId="Tabelraster">
    <w:name w:val="Table Grid"/>
    <w:basedOn w:val="Standaardtabel"/>
    <w:rsid w:val="00C5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1EC2"/>
    <w:rsid w:val="006A2164"/>
    <w:rsid w:val="00723526"/>
    <w:rsid w:val="00755DDF"/>
    <w:rsid w:val="007A3F77"/>
    <w:rsid w:val="00840383"/>
    <w:rsid w:val="00857F16"/>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10AEBA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329 Werkinlevingsplaatsen - realisatie en organisatie</Titel_x0020_vraag>
    <Vraagnummer xmlns="7a2e3783-fe9a-4a2f-bbf4-debb4ac58a5c">329</Vraagnummer>
    <DatumVraag xmlns="7a2e3783-fe9a-4a2f-bbf4-debb4ac58a5c">2013-01-29T23:00:00+00:00</DatumVraag>
    <DocumentSetDescription xmlns="http://schemas.microsoft.com/sharepoint/v3" xsi:nil="true"/>
    <Antwoord_x0020_vereist xmlns="7a2e3783-fe9a-4a2f-bbf4-debb4ac58a5c">2013-02-18T23:00:00+00:00</Antwoord_x0020_vereist>
    <la8087f2a9424c2586e7f3a9f367c2ee xmlns="7a2e3783-fe9a-4a2f-bbf4-debb4ac58a5c">
      <Terms xmlns="http://schemas.microsoft.com/office/infopath/2007/PartnerControls"/>
    </la8087f2a9424c2586e7f3a9f367c2ee>
    <Onderwerp_x0020_vraag xmlns="7a2e3783-fe9a-4a2f-bbf4-debb4ac58a5c">Werkinlevingsplaatsen - realisatie en organisatie</Onderwerp_x0020_vraag>
    <TaxCatchAll xmlns="7a2e3783-fe9a-4a2f-bbf4-debb4ac58a5c"/>
    <Antwoordnummer xmlns="7a2e3783-fe9a-4a2f-bbf4-debb4ac58a5c">329</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lode vereeck</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324</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ad923ab5-f988-4e82-b3fb-7226e10f9616"/>
    <ds:schemaRef ds:uri="7a2e3783-fe9a-4a2f-bbf4-debb4ac58a5c"/>
    <ds:schemaRef ds:uri="http://purl.org/dc/terms/"/>
    <ds:schemaRef ds:uri="http://schemas.openxmlformats.org/package/2006/metadata/core-properties"/>
    <ds:schemaRef ds:uri="http://www.w3.org/XML/1998/namespace"/>
    <ds:schemaRef ds:uri="ec82e040-88e9-4975-bc13-a42fab7bb9ce"/>
    <ds:schemaRef ds:uri="http://purl.org/dc/dcmitype/"/>
    <ds:schemaRef ds:uri="http://purl.org/dc/elements/1.1/"/>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38D0DEE5-D296-4F3B-88D3-301F2425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1874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werkinlevingsplaatsen</vt:lpstr>
      <vt:lpstr/>
    </vt:vector>
  </TitlesOfParts>
  <Company>MVG</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werkinlevingsplaatsen</dc:title>
  <dc:creator>Tommy Vanhee</dc:creator>
  <cp:lastModifiedBy>Nathalie De Keyzer</cp:lastModifiedBy>
  <cp:revision>3</cp:revision>
  <cp:lastPrinted>2013-02-27T10:53:00Z</cp:lastPrinted>
  <dcterms:created xsi:type="dcterms:W3CDTF">2013-02-27T10:53:00Z</dcterms:created>
  <dcterms:modified xsi:type="dcterms:W3CDTF">2013-03-01T14:31:00Z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ac6278cd-f65d-4d1c-9125-f3f36eaf5d25</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2013-01-31T14:10:52Z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