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39398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39398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39398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39398F" w:rsidRPr="00326A58">
        <w:rPr>
          <w:b w:val="0"/>
        </w:rPr>
      </w:r>
      <w:r w:rsidR="0039398F" w:rsidRPr="00326A58">
        <w:rPr>
          <w:b w:val="0"/>
        </w:rPr>
        <w:fldChar w:fldCharType="separate"/>
      </w:r>
      <w:r w:rsidR="00C874F0">
        <w:rPr>
          <w:b w:val="0"/>
        </w:rPr>
        <w:t>2</w:t>
      </w:r>
      <w:r w:rsidR="00023CCC">
        <w:rPr>
          <w:b w:val="0"/>
        </w:rPr>
        <w:t>73</w:t>
      </w:r>
      <w:r w:rsidR="0039398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39398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39398F">
        <w:rPr>
          <w:b w:val="0"/>
        </w:rPr>
      </w:r>
      <w:r w:rsidR="0039398F">
        <w:rPr>
          <w:b w:val="0"/>
        </w:rPr>
        <w:fldChar w:fldCharType="separate"/>
      </w:r>
      <w:r w:rsidR="00C8162E">
        <w:rPr>
          <w:b w:val="0"/>
        </w:rPr>
        <w:t>1</w:t>
      </w:r>
      <w:r w:rsidR="0039398F">
        <w:rPr>
          <w:b w:val="0"/>
        </w:rPr>
        <w:fldChar w:fldCharType="end"/>
      </w:r>
      <w:bookmarkEnd w:id="3"/>
      <w:r w:rsidRPr="00326A58">
        <w:rPr>
          <w:b w:val="0"/>
        </w:rPr>
        <w:t xml:space="preserve"> </w:t>
      </w:r>
      <w:bookmarkStart w:id="4" w:name="Dropdown2"/>
      <w:r w:rsidR="0039398F">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9398F">
        <w:rPr>
          <w:b w:val="0"/>
        </w:rPr>
      </w:r>
      <w:r w:rsidR="0039398F">
        <w:rPr>
          <w:b w:val="0"/>
        </w:rPr>
        <w:fldChar w:fldCharType="end"/>
      </w:r>
      <w:bookmarkEnd w:id="4"/>
      <w:r w:rsidRPr="00326A58">
        <w:rPr>
          <w:b w:val="0"/>
        </w:rPr>
        <w:t xml:space="preserve"> </w:t>
      </w:r>
      <w:bookmarkStart w:id="5" w:name="Dropdown3"/>
      <w:r w:rsidR="0039398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9398F">
        <w:rPr>
          <w:b w:val="0"/>
        </w:rPr>
      </w:r>
      <w:r w:rsidR="0039398F">
        <w:rPr>
          <w:b w:val="0"/>
        </w:rPr>
        <w:fldChar w:fldCharType="end"/>
      </w:r>
      <w:bookmarkEnd w:id="5"/>
    </w:p>
    <w:p w:rsidR="000976E9" w:rsidRDefault="000976E9" w:rsidP="000976E9">
      <w:pPr>
        <w:rPr>
          <w:szCs w:val="22"/>
        </w:rPr>
      </w:pPr>
      <w:r>
        <w:rPr>
          <w:szCs w:val="22"/>
        </w:rPr>
        <w:t xml:space="preserve">van </w:t>
      </w:r>
      <w:r w:rsidR="0039398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39398F" w:rsidRPr="009D7043">
        <w:rPr>
          <w:rStyle w:val="AntwoordNaamMinisterChar"/>
        </w:rPr>
      </w:r>
      <w:r w:rsidR="0039398F" w:rsidRPr="009D7043">
        <w:rPr>
          <w:rStyle w:val="AntwoordNaamMinisterChar"/>
        </w:rPr>
        <w:fldChar w:fldCharType="separate"/>
      </w:r>
      <w:r w:rsidR="00023CCC">
        <w:rPr>
          <w:rStyle w:val="AntwoordNaamMinisterChar"/>
        </w:rPr>
        <w:t>marijke dillen</w:t>
      </w:r>
      <w:r w:rsidR="0039398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41D59" w:rsidRPr="00941D59" w:rsidRDefault="00941D59" w:rsidP="00A07EEC">
      <w:pPr>
        <w:numPr>
          <w:ilvl w:val="0"/>
          <w:numId w:val="3"/>
        </w:numPr>
        <w:tabs>
          <w:tab w:val="left" w:pos="284"/>
        </w:tabs>
        <w:ind w:left="284" w:hanging="284"/>
        <w:jc w:val="both"/>
      </w:pPr>
      <w:r w:rsidRPr="00941D59">
        <w:lastRenderedPageBreak/>
        <w:t>De laatste bevolkingsprognoses voor Vlaamse steden en gemeenten werden door de Studiedienst van de Vlaamse Regering (SVR) opgemaakt in 2010-2011.</w:t>
      </w:r>
    </w:p>
    <w:p w:rsidR="00941D59" w:rsidRPr="004C6525" w:rsidRDefault="00941D59" w:rsidP="00A07EEC">
      <w:pPr>
        <w:ind w:left="284"/>
        <w:jc w:val="both"/>
      </w:pPr>
      <w:r w:rsidRPr="004C6525">
        <w:t xml:space="preserve">In de SVR-studie </w:t>
      </w:r>
      <w:r>
        <w:t xml:space="preserve">over de gemeentelijke bevolkingsprojecties (2011/2) </w:t>
      </w:r>
      <w:r w:rsidRPr="004C6525">
        <w:t xml:space="preserve">werd gemeld dat men toen te kampen had met een handicap. Ik citeer (o.c. blz. 19): </w:t>
      </w:r>
      <w:r w:rsidRPr="00511652">
        <w:t>“</w:t>
      </w:r>
      <w:r w:rsidRPr="00511652">
        <w:rPr>
          <w:i/>
        </w:rPr>
        <w:t>…aan het gebruik van de cijfers van ADSEI (FOD-Economie, Algemene Directie voor Statistische en Economische Informatie) is een nadeel verbonden. Om diverse redenen is er bij de levering van basisdata over de bevolking gedurende de jaren 2008 tot 2010 grote vertraging opgetreden (…). Dat heeft er noodgedwongen toe geleid dat de populatie (…) op 1 januari 2008 als startpunt moest worden genomen.</w:t>
      </w:r>
      <w:r w:rsidRPr="004C6525">
        <w:t>”</w:t>
      </w:r>
      <w:r>
        <w:t>.</w:t>
      </w:r>
      <w:r w:rsidRPr="004C6525">
        <w:t xml:space="preserve"> En verderop: “</w:t>
      </w:r>
      <w:r w:rsidRPr="00511652">
        <w:rPr>
          <w:i/>
        </w:rPr>
        <w:t>Ondanks het feit dat de berekeningen werden afgerond in de loop van 2010 moesten geboorten, overlijdens en migraties geprojecteerd worden voor de jaren 2008 en 2009.</w:t>
      </w:r>
      <w:r w:rsidRPr="004C6525">
        <w:t>” M.a.w.: gegevens die ter beschikking hadden moeten zijn, waren er eenvoudigweg niet en moesten worden geschat.</w:t>
      </w:r>
    </w:p>
    <w:p w:rsidR="00941D59" w:rsidRPr="00941D59" w:rsidRDefault="00941D59" w:rsidP="00A07EEC">
      <w:pPr>
        <w:ind w:left="284"/>
        <w:jc w:val="both"/>
      </w:pPr>
    </w:p>
    <w:p w:rsidR="00941D59" w:rsidRPr="00941D59" w:rsidRDefault="00941D59" w:rsidP="00A07EEC">
      <w:pPr>
        <w:ind w:left="284"/>
        <w:jc w:val="both"/>
      </w:pPr>
      <w:r w:rsidRPr="00941D59">
        <w:t>Vooraleer SVR kan overgaan tot nieuwe prognoses moet het probleem van tijdige datalevering worden opgelost. Op initiatief van SVR hebben in 2011 en 2012 meerdere vergaderingen met ADSEI plaats gevonden om die zaak vlot te trekken. Sinds enkele maanden lijkt dat in orde te komen, nu zijn datasets beschikbaar tot en met de loop van de bevolking 2011.</w:t>
      </w:r>
    </w:p>
    <w:p w:rsidR="00941D59" w:rsidRDefault="00941D59" w:rsidP="00A07EEC">
      <w:pPr>
        <w:pStyle w:val="SVTitel"/>
        <w:rPr>
          <w:i w:val="0"/>
        </w:rPr>
      </w:pPr>
    </w:p>
    <w:p w:rsidR="00941D59" w:rsidRPr="00941D59" w:rsidRDefault="00941D59" w:rsidP="00A07EEC">
      <w:pPr>
        <w:numPr>
          <w:ilvl w:val="0"/>
          <w:numId w:val="3"/>
        </w:numPr>
        <w:tabs>
          <w:tab w:val="left" w:pos="284"/>
        </w:tabs>
        <w:ind w:left="284" w:hanging="284"/>
        <w:jc w:val="both"/>
      </w:pPr>
      <w:r w:rsidRPr="00941D59">
        <w:t>De Studiedienst kan vanaf nu werk maken van het systematisch vergelijken van de projecties met de observaties (monitoring). Dit is een eerste opstap naar nieuwe bevolkingsprojecties.</w:t>
      </w:r>
    </w:p>
    <w:p w:rsidR="00941D59" w:rsidRPr="00941D59" w:rsidRDefault="00941D59" w:rsidP="00A07EEC">
      <w:pPr>
        <w:ind w:left="284"/>
        <w:jc w:val="both"/>
      </w:pPr>
      <w:r w:rsidRPr="00941D59">
        <w:t>In de veronderstelling dat de officiële ADSEI-gegevens d</w:t>
      </w:r>
      <w:r w:rsidR="00511652">
        <w:t>.</w:t>
      </w:r>
      <w:r w:rsidRPr="00941D59">
        <w:t xml:space="preserve">d. 1.1.2013 tegen de zomer 2013 effectief zullen geleverd worden, kan tegen de start van de </w:t>
      </w:r>
      <w:r w:rsidR="00511652">
        <w:t xml:space="preserve">nieuwe </w:t>
      </w:r>
      <w:r w:rsidRPr="00941D59">
        <w:t>legislatuur in eerste instantie een update van de SVR-projecties 2010 (invoer van de reële data voor 2008, 2009, 2010, 2011 en 2012; beperkte aanpassing hypothesen) worden voorzien. Deze geüpdate versie is te beschouwen als een ‘lichte’ actualisatie en kan met een grotere frequentie gebeuren (</w:t>
      </w:r>
      <w:r w:rsidR="00511652">
        <w:t>bij</w:t>
      </w:r>
      <w:r w:rsidRPr="00941D59">
        <w:t>voorbeeld jaarlijks). In 2015 zou dan de vijfjaarlijkse ‘grondige’ herziening van de SVR-projecties (modelaanpassingen, nieuwe hypotheses in afstemming met regionale/federale/internationale trends) kunnen gerealiseerd worden.</w:t>
      </w:r>
    </w:p>
    <w:p w:rsidR="00941D59" w:rsidRPr="00941D59" w:rsidRDefault="00941D59" w:rsidP="00A07EEC">
      <w:pPr>
        <w:ind w:left="284"/>
        <w:jc w:val="both"/>
      </w:pPr>
    </w:p>
    <w:p w:rsidR="00941D59" w:rsidRPr="00941D59" w:rsidRDefault="00941D59" w:rsidP="00A07EEC">
      <w:pPr>
        <w:ind w:left="284"/>
        <w:jc w:val="both"/>
      </w:pPr>
      <w:r w:rsidRPr="00941D59">
        <w:t>Het federale Planbureau (FPB) voorziet een ‘lichte’ update van de bevolkingsprojecties 2012-2060 (PP12) in het eerste kwartaal 2013 (gegevens t/m 1.1.2012) en daaropvolgend een grondige herziening van de bevolkingsprojecties 2013-2060 (PP13) in het eerste kwartaal 2014 (gegevens t/m 1.1.2013). De FPB</w:t>
      </w:r>
      <w:r w:rsidR="00511652">
        <w:t>-</w:t>
      </w:r>
      <w:r w:rsidRPr="00941D59">
        <w:t>projecties gaan tot op het arrondissementeel niveau. De SVR-projecties hebben steden en gemeenten als vertrekpunt.</w:t>
      </w:r>
    </w:p>
    <w:p w:rsidR="00941D59" w:rsidRPr="00941D59" w:rsidRDefault="00941D59" w:rsidP="00A07EEC">
      <w:pPr>
        <w:jc w:val="both"/>
      </w:pPr>
    </w:p>
    <w:p w:rsidR="00941D59" w:rsidRDefault="00941D59" w:rsidP="00A07EEC">
      <w:pPr>
        <w:numPr>
          <w:ilvl w:val="0"/>
          <w:numId w:val="3"/>
        </w:numPr>
        <w:tabs>
          <w:tab w:val="left" w:pos="284"/>
        </w:tabs>
        <w:ind w:left="284" w:hanging="284"/>
        <w:jc w:val="both"/>
      </w:pPr>
      <w:r w:rsidRPr="00941D59">
        <w:t xml:space="preserve">De resultaten van de gemeentelijke bevolkingsprognoses werden door de Studiedienst aan een ruim publiek voorgesteld op 2 studiedagen, begin maart 2011. Bij die gelegenheid werden alle resultaten ook online ter beschikking gesteld voor iedereen via de website </w:t>
      </w:r>
      <w:hyperlink r:id="rId6" w:history="1">
        <w:r w:rsidR="00F3386E" w:rsidRPr="000C4101">
          <w:rPr>
            <w:rStyle w:val="Hyperlink"/>
          </w:rPr>
          <w:t>www.lokalestatistieken.be</w:t>
        </w:r>
      </w:hyperlink>
      <w:r w:rsidRPr="00941D59">
        <w:t>. In het Vlaams Parlement werd op 16 maart 2011 een actualiteitsdebat gewijd aan die prognoses. Op vraag, verstrekt de Studiedienst aan de diensten van de Vlaamse overheid en onderzoekscentra toelichting bij de resultaten.</w:t>
      </w:r>
    </w:p>
    <w:p w:rsidR="00941D59" w:rsidRDefault="00941D59" w:rsidP="00A07EEC">
      <w:pPr>
        <w:tabs>
          <w:tab w:val="left" w:pos="284"/>
        </w:tabs>
        <w:ind w:left="284"/>
        <w:jc w:val="both"/>
      </w:pPr>
    </w:p>
    <w:p w:rsidR="00941D59" w:rsidRPr="00941D59" w:rsidRDefault="00941D59" w:rsidP="00A07EEC">
      <w:pPr>
        <w:ind w:left="284"/>
        <w:jc w:val="both"/>
      </w:pPr>
      <w:r w:rsidRPr="00941D59">
        <w:t xml:space="preserve">Hierna volgt een overzicht van de wijze waarop de </w:t>
      </w:r>
      <w:r w:rsidR="00F3386E">
        <w:t>beleids</w:t>
      </w:r>
      <w:r w:rsidRPr="00941D59">
        <w:t>domeinen in hun beleidsvoorbereidend werk gebruik maken van bevolkingsprognoses.</w:t>
      </w:r>
    </w:p>
    <w:p w:rsidR="00941D59" w:rsidRPr="00941D59" w:rsidRDefault="00941D59" w:rsidP="00A07EEC">
      <w:pPr>
        <w:ind w:left="284"/>
        <w:jc w:val="both"/>
      </w:pPr>
    </w:p>
    <w:p w:rsidR="00941D59" w:rsidRPr="00C3478A" w:rsidRDefault="00941D59" w:rsidP="00A07EEC">
      <w:pPr>
        <w:ind w:left="284"/>
        <w:jc w:val="both"/>
        <w:rPr>
          <w:b/>
          <w:i/>
        </w:rPr>
      </w:pPr>
      <w:r w:rsidRPr="00C3478A">
        <w:rPr>
          <w:b/>
          <w:i/>
        </w:rPr>
        <w:t>Werk en Sociale Economie</w:t>
      </w:r>
    </w:p>
    <w:p w:rsidR="00C3478A" w:rsidRDefault="00C3478A" w:rsidP="00A07EEC">
      <w:pPr>
        <w:ind w:left="284"/>
        <w:jc w:val="both"/>
      </w:pPr>
    </w:p>
    <w:p w:rsidR="00941D59" w:rsidRPr="00941D59" w:rsidRDefault="00941D59" w:rsidP="00A07EEC">
      <w:pPr>
        <w:ind w:left="284"/>
        <w:jc w:val="both"/>
      </w:pPr>
      <w:r w:rsidRPr="00941D59">
        <w:t>Het departement Werk en Sociale Economie en het Steunpunt Werk en Sociale Economie gebruiken de bevolkingsvooruitzichten van het Federaal Planbureau om de impact van de vergrijzing op de werkzaamheidsgraad te berekenen. Die impact is niet gering. Door de vergrijzing neemt het aandeel 55-plussers in de bevolking op beroepsactieve leeftijd snel toe. Omdat 55-plussers een veel lagere werkzaamheidsgraad hebben dan gemiddeld, heeft dit een negatief effect op de totale werkzaamheidsgraad. Gelukkig slagen we er in om de werkzaamheidsgraad van 55-plussers voldoende te doen stijgen om dit negatieve effect teniet te doen en de totale werkzaamheidsgraad verder te laten stijgen.</w:t>
      </w:r>
    </w:p>
    <w:p w:rsidR="00941D59" w:rsidRPr="00941D59" w:rsidRDefault="00941D59" w:rsidP="00A07EEC">
      <w:pPr>
        <w:ind w:left="284"/>
        <w:jc w:val="both"/>
      </w:pPr>
      <w:r w:rsidRPr="00941D59">
        <w:t>Na de publicatie van de nieuwste bevolkingsvooruitzichten 2010-2060 werden deze toegepast op het rekenmodel. Gelijk met het inbrengen van de nieuwe bevolkingsvooruitzichten werden ook methodologische verfijningen aangebracht en werd tevens de impact van de federale hervormingen in het pensioenstelsel in rekening genomen. Hierdoor is de precieze impact van de nieuwe bevolkingsvooruitzichten op de prognoses van het Steunpunt WSE onduidelijk. De invloed zal alleszins niet bijzonder sterk zijn, daarvoor zijn de aanpassingen in de bevolkingscijfers te beperkt.</w:t>
      </w:r>
      <w:r w:rsidR="001620FD">
        <w:t xml:space="preserve"> </w:t>
      </w:r>
      <w:r w:rsidRPr="00941D59">
        <w:t xml:space="preserve">Dat neemt niet weg dat de vaststellingen uit de nieuwste vooruitzichten (meer geboortes, minder sterfgevallen, meer migratie) bevestigen dat het beleid dat </w:t>
      </w:r>
      <w:r w:rsidR="001620FD">
        <w:t>ge</w:t>
      </w:r>
      <w:r w:rsidRPr="00941D59">
        <w:t>voer</w:t>
      </w:r>
      <w:r w:rsidR="001620FD">
        <w:t>d wordt</w:t>
      </w:r>
      <w:r w:rsidRPr="00941D59">
        <w:t xml:space="preserve"> naar 50-plussers toe (uitbreiding systematische aanpak tot 58 jaar, hervorming tewerkstellingspremie 50+,</w:t>
      </w:r>
      <w:r w:rsidR="001620FD">
        <w:t xml:space="preserve"> </w:t>
      </w:r>
      <w:r w:rsidRPr="00941D59">
        <w:t>…), naar jongeren toe (vergroting aanbod werkervaring,</w:t>
      </w:r>
      <w:r w:rsidR="001620FD">
        <w:t xml:space="preserve"> </w:t>
      </w:r>
      <w:r w:rsidRPr="00941D59">
        <w:t>…) en naar nieuwkomers toe (Nederlands op de werkvloer, sluitend taalbeleid,</w:t>
      </w:r>
      <w:r w:rsidR="001620FD">
        <w:t xml:space="preserve"> </w:t>
      </w:r>
      <w:r w:rsidRPr="00941D59">
        <w:t>…) noodzakelijk is.</w:t>
      </w:r>
    </w:p>
    <w:p w:rsidR="00941D59" w:rsidRPr="00941D59" w:rsidRDefault="00941D59" w:rsidP="00A07EEC">
      <w:pPr>
        <w:ind w:left="284"/>
        <w:jc w:val="both"/>
      </w:pPr>
    </w:p>
    <w:p w:rsidR="00941D59" w:rsidRPr="00941D59" w:rsidRDefault="00941D59" w:rsidP="00A07EEC">
      <w:pPr>
        <w:ind w:left="284"/>
        <w:jc w:val="both"/>
      </w:pPr>
      <w:r w:rsidRPr="00C3478A">
        <w:rPr>
          <w:b/>
          <w:i/>
        </w:rPr>
        <w:t>Economie, Wetenschap en Innovatie</w:t>
      </w:r>
      <w:r w:rsidR="001620FD" w:rsidRPr="001620FD">
        <w:t xml:space="preserve"> </w:t>
      </w:r>
      <w:r w:rsidRPr="001620FD">
        <w:t>ma</w:t>
      </w:r>
      <w:r w:rsidRPr="00941D59">
        <w:t>akt geen gebruik van bevolkingsprognoses.</w:t>
      </w:r>
    </w:p>
    <w:p w:rsidR="00941D59" w:rsidRPr="00941D59" w:rsidRDefault="00941D59" w:rsidP="00A07EEC">
      <w:pPr>
        <w:ind w:left="284"/>
        <w:jc w:val="both"/>
      </w:pPr>
    </w:p>
    <w:p w:rsidR="00941D59" w:rsidRDefault="00941D59" w:rsidP="00A07EEC">
      <w:pPr>
        <w:ind w:left="284"/>
        <w:jc w:val="both"/>
        <w:rPr>
          <w:b/>
          <w:i/>
        </w:rPr>
      </w:pPr>
      <w:r w:rsidRPr="00C3478A">
        <w:rPr>
          <w:b/>
          <w:i/>
        </w:rPr>
        <w:t>Mobiliteit en Openbare</w:t>
      </w:r>
      <w:r w:rsidR="00C3478A">
        <w:rPr>
          <w:b/>
          <w:i/>
        </w:rPr>
        <w:t xml:space="preserve"> W</w:t>
      </w:r>
      <w:r w:rsidRPr="00C3478A">
        <w:rPr>
          <w:b/>
          <w:i/>
        </w:rPr>
        <w:t>erken</w:t>
      </w:r>
    </w:p>
    <w:p w:rsidR="00C3478A" w:rsidRPr="00C3478A" w:rsidRDefault="00C3478A" w:rsidP="00A07EEC">
      <w:pPr>
        <w:ind w:left="284"/>
        <w:jc w:val="both"/>
      </w:pPr>
    </w:p>
    <w:p w:rsidR="00941D59" w:rsidRPr="00941D59" w:rsidRDefault="00941D59" w:rsidP="00A07EEC">
      <w:pPr>
        <w:ind w:left="284"/>
        <w:jc w:val="both"/>
      </w:pPr>
      <w:r w:rsidRPr="00941D59">
        <w:t>De impact van demografische wijzigingen op de uitbouw en de werking van het mobiliteitssysteem wordt onderzocht in het Mobiliteitsplan Vlaanderen. Zo wordt bij het uitwerken van prognoses en scenario’s (toekomstverkenningen) uitgegaan van de demografische vooruitzichten van het Federaal Planbureau op het niveau van Vlaanderen. Deze prognoses werden aangevuld met de gemeentelijke bevolkingsprognoses van de Studiedienst van de Vlaamse Regering voor 2030. De Studiedienst van de Vlaamse Regering is lid van de gewestelijke planningscommissie die de opmaak van het Mobiliteitsplan Vlaanderen voorbereidt. Bij de verdere uitwerking van het Mobiliteitsplan (beleidsplan) zal uiteraard met deze problematiek rekening worden gehouden.</w:t>
      </w:r>
    </w:p>
    <w:p w:rsidR="00941D59" w:rsidRDefault="00941D59" w:rsidP="00A07EEC">
      <w:pPr>
        <w:ind w:left="284"/>
        <w:jc w:val="both"/>
      </w:pPr>
    </w:p>
    <w:p w:rsidR="00941D59" w:rsidRPr="00C3478A" w:rsidRDefault="00941D59" w:rsidP="00A07EEC">
      <w:pPr>
        <w:ind w:left="284"/>
        <w:jc w:val="both"/>
        <w:rPr>
          <w:b/>
          <w:i/>
        </w:rPr>
      </w:pPr>
      <w:r w:rsidRPr="00C3478A">
        <w:rPr>
          <w:b/>
          <w:i/>
        </w:rPr>
        <w:t>Onderwijs en Vorming</w:t>
      </w:r>
    </w:p>
    <w:p w:rsidR="00C3478A" w:rsidRDefault="00C3478A" w:rsidP="00A07EEC">
      <w:pPr>
        <w:ind w:left="284"/>
        <w:jc w:val="both"/>
      </w:pPr>
    </w:p>
    <w:p w:rsidR="00941D59" w:rsidRDefault="00941D59" w:rsidP="00A07EEC">
      <w:pPr>
        <w:ind w:left="284"/>
        <w:jc w:val="both"/>
      </w:pPr>
      <w:r w:rsidRPr="00D807E1">
        <w:t>Het beleidsdomein Onderwijs en Vorming werd reeds v</w:t>
      </w:r>
      <w:r w:rsidR="001620FD">
        <w:t>óó</w:t>
      </w:r>
      <w:r w:rsidRPr="00D807E1">
        <w:t xml:space="preserve">r de </w:t>
      </w:r>
      <w:r>
        <w:t xml:space="preserve">publicatie van de </w:t>
      </w:r>
      <w:r w:rsidRPr="00D807E1">
        <w:t xml:space="preserve">demografische vooruitzichten van de Studiedienst van de Vlaamse Regering (2011) geconfronteerd met deze problematiek. De demografische vooruitzichten van de Studiedienst van de Vlaamse Regering (SVR) laten toe vooruit te kijken op gemeenteniveau en zijn dus zeker een meerwaarde. Het is nu meer haalbaar voor het beleid en </w:t>
      </w:r>
      <w:r w:rsidR="001620FD">
        <w:t xml:space="preserve">voor </w:t>
      </w:r>
      <w:r w:rsidRPr="00D807E1">
        <w:t xml:space="preserve">de betrokken gemeenten om toch minimaal rekening te houden met de golfbeweging die zich zou aftekenen in de periode 2008-2030 en waarbij in 2030 opnieuw het niveau van 2008 zou gehaald worden. Tot 2017 zou er (op basis van de prognoses) blijvende aandacht nodig zijn voor stijgende capaciteitsbehoeften; in de periode daarna zou zich net een daling voordoen. Het vinden van een duurzaam antwoord op </w:t>
      </w:r>
      <w:r w:rsidR="001620FD">
        <w:t xml:space="preserve">een </w:t>
      </w:r>
      <w:r w:rsidRPr="00D807E1">
        <w:t>dergelijke golfbeweging zal een hele uitdaging zijn</w:t>
      </w:r>
      <w:r w:rsidR="001620FD">
        <w:t xml:space="preserve">, </w:t>
      </w:r>
      <w:r w:rsidRPr="00D807E1">
        <w:t xml:space="preserve">zeker op </w:t>
      </w:r>
      <w:r w:rsidR="001620FD">
        <w:t xml:space="preserve">het </w:t>
      </w:r>
      <w:r w:rsidRPr="00D807E1">
        <w:t>vlak van infrastructuur</w:t>
      </w:r>
      <w:r>
        <w:t>.</w:t>
      </w:r>
    </w:p>
    <w:p w:rsidR="00941D59" w:rsidRPr="00D807E1" w:rsidRDefault="00941D59" w:rsidP="00A07EEC">
      <w:pPr>
        <w:ind w:left="284"/>
        <w:jc w:val="both"/>
      </w:pPr>
      <w:r>
        <w:t xml:space="preserve">Voor </w:t>
      </w:r>
      <w:r w:rsidRPr="00D807E1">
        <w:t xml:space="preserve">het beleidsdomein Onderwijs en Vorming </w:t>
      </w:r>
      <w:r>
        <w:t xml:space="preserve">zijn </w:t>
      </w:r>
      <w:r w:rsidRPr="00D807E1">
        <w:t>de bevolkingsprognoses van het Planbureau een bijkomend en noodzakelijk element om na te denken over mogelijke capaciteitsproblemen in de onderwijsinstellingen en de meest adequate reactie hierop.</w:t>
      </w:r>
    </w:p>
    <w:p w:rsidR="00941D59" w:rsidRDefault="00941D59" w:rsidP="00A07EEC">
      <w:pPr>
        <w:ind w:left="284"/>
        <w:jc w:val="both"/>
      </w:pPr>
    </w:p>
    <w:p w:rsidR="001620FD" w:rsidRPr="00941D59" w:rsidRDefault="001620FD" w:rsidP="00A07EEC">
      <w:pPr>
        <w:ind w:left="284"/>
        <w:jc w:val="both"/>
      </w:pPr>
    </w:p>
    <w:p w:rsidR="00AF476E" w:rsidRDefault="00AF476E" w:rsidP="00A07EEC">
      <w:pPr>
        <w:ind w:left="284"/>
        <w:jc w:val="both"/>
        <w:rPr>
          <w:b/>
          <w:i/>
        </w:rPr>
      </w:pPr>
    </w:p>
    <w:p w:rsidR="00AF476E" w:rsidRDefault="00AF476E" w:rsidP="00A07EEC">
      <w:pPr>
        <w:ind w:left="284"/>
        <w:jc w:val="both"/>
        <w:rPr>
          <w:b/>
          <w:i/>
        </w:rPr>
      </w:pPr>
    </w:p>
    <w:p w:rsidR="00941D59" w:rsidRPr="00C3478A" w:rsidRDefault="00941D59" w:rsidP="00A07EEC">
      <w:pPr>
        <w:ind w:left="284"/>
        <w:jc w:val="both"/>
        <w:rPr>
          <w:b/>
          <w:i/>
        </w:rPr>
      </w:pPr>
      <w:r w:rsidRPr="00C3478A">
        <w:rPr>
          <w:b/>
          <w:i/>
        </w:rPr>
        <w:lastRenderedPageBreak/>
        <w:t>Wonen</w:t>
      </w:r>
    </w:p>
    <w:p w:rsidR="00C3478A" w:rsidRPr="00C3478A" w:rsidRDefault="00C3478A" w:rsidP="00A07EEC">
      <w:pPr>
        <w:ind w:left="284"/>
        <w:jc w:val="both"/>
      </w:pPr>
    </w:p>
    <w:p w:rsidR="00941D59" w:rsidRPr="00941D59" w:rsidRDefault="00941D59" w:rsidP="00A07EEC">
      <w:pPr>
        <w:ind w:left="284"/>
        <w:jc w:val="both"/>
      </w:pPr>
      <w:r w:rsidRPr="00941D59">
        <w:t>De impact van demografische ontwikkelingen op wonen en woonbeleid is belangrijk. Dit thema werd dan ook opgenomen binnen de onderzoeksopdracht van het Steunpunt Ruimte en Wonen (2007-2011), luik 'wonen'</w:t>
      </w:r>
      <w:r w:rsidR="001620FD">
        <w:t>,</w:t>
      </w:r>
      <w:r w:rsidRPr="00941D59">
        <w:t xml:space="preserve"> en binnen het nieuwe Steunpunt Wonen (2012-2015). Meer specifiek werkten Delbeke en Smets (2007) een Vlaams woningmarktmodel uit. Het voornaamste resultaat daarvan is een prognose (tot 2030) van de vraag naar wooneenheden. </w:t>
      </w:r>
      <w:proofErr w:type="spellStart"/>
      <w:r w:rsidRPr="00941D59">
        <w:t>Vastmans</w:t>
      </w:r>
      <w:proofErr w:type="spellEnd"/>
      <w:r w:rsidRPr="00941D59">
        <w:t xml:space="preserve">, De Vries en </w:t>
      </w:r>
      <w:proofErr w:type="spellStart"/>
      <w:r w:rsidRPr="00941D59">
        <w:t>Buyst</w:t>
      </w:r>
      <w:proofErr w:type="spellEnd"/>
      <w:r w:rsidRPr="00941D59">
        <w:t xml:space="preserve"> (2011) hebben in een vervolgopdracht het Vlaamse woningmarktmodel geactualiseerd, verfijnd en uitgebreid.</w:t>
      </w:r>
    </w:p>
    <w:p w:rsidR="00BD6C31" w:rsidRDefault="00BD6C31" w:rsidP="00A07EEC">
      <w:pPr>
        <w:ind w:left="284"/>
        <w:jc w:val="both"/>
      </w:pPr>
    </w:p>
    <w:p w:rsidR="00941D59" w:rsidRPr="00941D59" w:rsidRDefault="00941D59" w:rsidP="00A07EEC">
      <w:pPr>
        <w:ind w:left="284"/>
        <w:jc w:val="both"/>
      </w:pPr>
      <w:r w:rsidRPr="00941D59">
        <w:t>Het Vlaamse woningmarktmodel, dat ontwikkeld werd binnen het Steunpunt Ruimte en Wonen, maakt een onderbouwde schatting van de toekomstige woningbehoefte in Vlaanderen. Met een beeld hierover kunnen we ook een inschatting maken van de toekomstige ruimtebehoefte voor wonen. Vanzelfsprekend hebben demografische evoluties (en dan vooral evoluties in huishoudens) een belangrijke invloed op deze toekomstige woningbehoefte.</w:t>
      </w:r>
    </w:p>
    <w:p w:rsidR="00941D59" w:rsidRPr="00941D59" w:rsidRDefault="00941D59" w:rsidP="00A07EEC">
      <w:pPr>
        <w:ind w:left="284"/>
        <w:jc w:val="both"/>
      </w:pPr>
      <w:r w:rsidRPr="00941D59">
        <w:t>Huishoudensprognoses, en ook andere (economische) elementen, zijn daarom opgenomen als variabelen van het model. De relaties tussen de verschillende variabelen liggen vast in het model. De input voor het model kan daarentegen wel aangepast worden aan de meest recente cijfers en bevindingen. Zo is het mogelijk om het model te laten lopen met de meest recente huishoudens</w:t>
      </w:r>
      <w:r w:rsidR="00BD6C31">
        <w:t>-</w:t>
      </w:r>
      <w:r w:rsidRPr="00941D59">
        <w:t xml:space="preserve">prognoses om het effect hiervan op de toekomstige woningbehoefte na te gaan. Op deze manier kunnen de bestaande prognoses (Federaal Planbureau </w:t>
      </w:r>
      <w:r w:rsidR="00BD6C31">
        <w:t>en</w:t>
      </w:r>
      <w:r w:rsidRPr="00941D59">
        <w:t xml:space="preserve"> Studiedienst Vlaamse Regering) ingegeven worden in het Vlaams woningmarktmodel.</w:t>
      </w:r>
    </w:p>
    <w:p w:rsidR="00BD6C31" w:rsidRDefault="00BD6C31" w:rsidP="00A07EEC">
      <w:pPr>
        <w:ind w:left="284"/>
        <w:jc w:val="both"/>
      </w:pPr>
    </w:p>
    <w:p w:rsidR="00941D59" w:rsidRPr="00941D59" w:rsidRDefault="00941D59" w:rsidP="00A07EEC">
      <w:pPr>
        <w:ind w:left="284"/>
        <w:jc w:val="both"/>
      </w:pPr>
      <w:r w:rsidRPr="00941D59">
        <w:t>Het Vlaamse woningmarktmodel geeft een inschatting van het aantal woningen waaraan nood zal zijn in de toekomst. Door een gedetailleerde schets van de bevolkings- en huishoudensevoluties (namelijk in verband met leeftijdsspecifieke huishoudsamenstellingen) wordt een indicatie gegeven van de demografische woningbehoefte naar type woning. Dit geeft echter nog geen inzicht in waar deze woningen best gelegen zijn. Om ook hier meer zicht op te krijgen hebben de onderzoekers van het Steunpunt ook een regionaal woningmarktmodel uitgewerkt. Het regionaal woningmarktmodel geeft een schatting van het toekomstig landgebruik voor wonen. Dit model maakt een volledige berekening van het toekomstig landgebruik waarbij gestart wordt met de gemeentelijke huishoud</w:t>
      </w:r>
      <w:r w:rsidR="00BD6C31">
        <w:t>-</w:t>
      </w:r>
      <w:r w:rsidRPr="00941D59">
        <w:t xml:space="preserve">prognoses van de Studiedienst van de Vlaamse Regering. Vervolgens wordt </w:t>
      </w:r>
      <w:r w:rsidR="00BD6C31">
        <w:t>-</w:t>
      </w:r>
      <w:r w:rsidRPr="00941D59">
        <w:t xml:space="preserve"> eveneens op </w:t>
      </w:r>
      <w:proofErr w:type="spellStart"/>
      <w:r w:rsidRPr="00941D59">
        <w:t>gemeen</w:t>
      </w:r>
      <w:r w:rsidR="00BD6C31">
        <w:t>-</w:t>
      </w:r>
      <w:r w:rsidRPr="00941D59">
        <w:t>telijk</w:t>
      </w:r>
      <w:proofErr w:type="spellEnd"/>
      <w:r w:rsidRPr="00941D59">
        <w:t xml:space="preserve"> niveau</w:t>
      </w:r>
      <w:r w:rsidR="00BD6C31">
        <w:t xml:space="preserve"> </w:t>
      </w:r>
      <w:r w:rsidRPr="00941D59">
        <w:t>- rekening gehouden met diverse elementen als sloop, renovatie, perceelgrootte. Het uiteindelijk berekende toekomstig landgebruik wordt per gemeente vergeleken met de oppervlakte van de onbebouwde percelen. Op deze manier kan bijvoorbeeld specifiek gekeken worden naar een mogelijke woonproblematiek in de steden.</w:t>
      </w:r>
    </w:p>
    <w:p w:rsidR="00BD6C31" w:rsidRDefault="00BD6C31" w:rsidP="00A07EEC">
      <w:pPr>
        <w:ind w:left="284"/>
        <w:jc w:val="both"/>
      </w:pPr>
    </w:p>
    <w:p w:rsidR="00941D59" w:rsidRPr="00941D59" w:rsidRDefault="00941D59" w:rsidP="00A07EEC">
      <w:pPr>
        <w:ind w:left="284"/>
        <w:jc w:val="both"/>
      </w:pPr>
      <w:r w:rsidRPr="00941D59">
        <w:t>Naast de verwerking in het Vlaams en regionaal woningmarktmodel, worden de prognoses ook meegenomen bij de beleidsevaluatie van andere projecten. Het is namelijk vaak een belangrijke contextfactor waartegen de beleidsmaatregelen gehouden moeten worden. Zo worden de bevolkings- en huishoudensprognoses bijvoorbeeld meegenomen bij de beoordeling van de prestaties van sociale huisvestingsmaatschappijen (als omgevingsfactor).</w:t>
      </w:r>
    </w:p>
    <w:p w:rsidR="00941D59" w:rsidRPr="00941D59" w:rsidRDefault="00941D59" w:rsidP="00A07EEC">
      <w:pPr>
        <w:ind w:left="284"/>
        <w:jc w:val="both"/>
      </w:pPr>
    </w:p>
    <w:p w:rsidR="00941D59" w:rsidRPr="00C3478A" w:rsidRDefault="00941D59" w:rsidP="00A07EEC">
      <w:pPr>
        <w:ind w:left="284"/>
        <w:jc w:val="both"/>
        <w:rPr>
          <w:b/>
          <w:i/>
        </w:rPr>
      </w:pPr>
      <w:r w:rsidRPr="00C3478A">
        <w:rPr>
          <w:b/>
          <w:i/>
        </w:rPr>
        <w:t xml:space="preserve">Welzijn, </w:t>
      </w:r>
      <w:r w:rsidR="00C3478A">
        <w:rPr>
          <w:b/>
          <w:i/>
        </w:rPr>
        <w:t>V</w:t>
      </w:r>
      <w:r w:rsidRPr="00C3478A">
        <w:rPr>
          <w:b/>
          <w:i/>
        </w:rPr>
        <w:t xml:space="preserve">olksgezondheid en </w:t>
      </w:r>
      <w:r w:rsidR="00C3478A">
        <w:rPr>
          <w:b/>
          <w:i/>
        </w:rPr>
        <w:t>G</w:t>
      </w:r>
      <w:r w:rsidRPr="00C3478A">
        <w:rPr>
          <w:b/>
          <w:i/>
        </w:rPr>
        <w:t>ezin</w:t>
      </w:r>
    </w:p>
    <w:p w:rsidR="00C3478A" w:rsidRDefault="00C3478A" w:rsidP="00A07EEC">
      <w:pPr>
        <w:ind w:left="284"/>
        <w:jc w:val="both"/>
      </w:pPr>
    </w:p>
    <w:p w:rsidR="00941D59" w:rsidRPr="00941D59" w:rsidRDefault="00941D59" w:rsidP="00A07EEC">
      <w:pPr>
        <w:ind w:left="284"/>
        <w:jc w:val="both"/>
      </w:pPr>
      <w:r w:rsidRPr="00941D59">
        <w:t>Er wordt binnen het beleidsdomein W</w:t>
      </w:r>
      <w:r w:rsidR="00BD6C31">
        <w:t>elzijn, Volksgezondheid en Gezin</w:t>
      </w:r>
      <w:r w:rsidRPr="00941D59">
        <w:t xml:space="preserve"> bij de verwerking en analyse van gegevens m.b.t. het zorgaanbod (via een daartoe ontwikkelde applicatie - het dashboard Zorgaanbod) systematisch aandacht besteed aan de integratie van de SVR-bevolkings</w:t>
      </w:r>
      <w:r w:rsidR="00BD6C31">
        <w:t>-</w:t>
      </w:r>
      <w:r w:rsidRPr="00941D59">
        <w:t>projecties. Deze invalshoek geeft ons de mogelijkheid om simulaties uit te voeren voor bepaalde sectoren m.b.t. de balans tussen ‘vraag’ en ‘aanbod’. De Vereniging Vlaamse Provincies is, in het kader van haar nieuwe opdrachten, vragende partij om de aldus beschikbaar gestelde gegevens, alsook de bevolkingsprojecties te gebruiken.</w:t>
      </w:r>
    </w:p>
    <w:p w:rsidR="00BD6C31" w:rsidRDefault="00BD6C31" w:rsidP="00A07EEC">
      <w:pPr>
        <w:ind w:left="284"/>
        <w:jc w:val="both"/>
      </w:pPr>
    </w:p>
    <w:p w:rsidR="00941D59" w:rsidRPr="00941D59" w:rsidRDefault="00941D59" w:rsidP="00A07EEC">
      <w:pPr>
        <w:ind w:left="284"/>
        <w:jc w:val="both"/>
      </w:pPr>
      <w:r w:rsidRPr="00941D59">
        <w:t xml:space="preserve">We verwijzen hoofdzakelijk naar de actualisering van de programmatiecriteria die worden gehanteerd in de regelgeving met betrekking tot kinderopvang en ouderenzorg. De uitvoerende </w:t>
      </w:r>
      <w:r w:rsidRPr="00941D59">
        <w:lastRenderedPageBreak/>
        <w:t>agentschappen Kind en Gezin en Zorg en Gezondheid maken immers veelvuldig gebruik van de bevolkingsprognoses. Verder maakt het V</w:t>
      </w:r>
      <w:r w:rsidR="00BD6C31">
        <w:t xml:space="preserve">laams Agentschap voor Personen met een Handicap </w:t>
      </w:r>
      <w:r w:rsidRPr="00941D59">
        <w:t xml:space="preserve">gebruik van een gedegen </w:t>
      </w:r>
      <w:proofErr w:type="spellStart"/>
      <w:r w:rsidRPr="00941D59">
        <w:t>meerjarenanalyse</w:t>
      </w:r>
      <w:proofErr w:type="spellEnd"/>
      <w:r w:rsidRPr="00941D59">
        <w:t xml:space="preserve"> voor het Vlaamse beleid in</w:t>
      </w:r>
      <w:r w:rsidR="00BD6C31">
        <w:t>zake personen met een handicap.</w:t>
      </w:r>
    </w:p>
    <w:p w:rsidR="00BD6C31" w:rsidRDefault="00BD6C31" w:rsidP="00A07EEC">
      <w:pPr>
        <w:ind w:left="284"/>
        <w:jc w:val="both"/>
      </w:pPr>
    </w:p>
    <w:p w:rsidR="00941D59" w:rsidRPr="00941D59" w:rsidRDefault="00941D59" w:rsidP="00A07EEC">
      <w:pPr>
        <w:ind w:left="284"/>
        <w:jc w:val="both"/>
      </w:pPr>
      <w:r w:rsidRPr="00941D59">
        <w:t xml:space="preserve">Kind en Gezin heeft de SVR-projecties in 2011 gebruikt om in te schatten hoeveel plaatsen er in de kinderopvang moeten worden voorzien om de doelstelling, die behaald moet worden in 2016 en die bij decreet is vastgelegd, te behalen. Daarnaast volgt Kind en Gezin de evolutie van het aantal geboorten van zeer nabij op, aan de hand van de databank Mirage (voorheen </w:t>
      </w:r>
      <w:proofErr w:type="spellStart"/>
      <w:r w:rsidRPr="00941D59">
        <w:t>Ikaros</w:t>
      </w:r>
      <w:proofErr w:type="spellEnd"/>
      <w:r w:rsidRPr="00941D59">
        <w:t>).</w:t>
      </w:r>
    </w:p>
    <w:p w:rsidR="00BD6C31" w:rsidRDefault="00BD6C31" w:rsidP="00A07EEC">
      <w:pPr>
        <w:ind w:left="284"/>
        <w:jc w:val="both"/>
      </w:pPr>
    </w:p>
    <w:p w:rsidR="00941D59" w:rsidRPr="00941D59" w:rsidRDefault="00941D59" w:rsidP="00A07EEC">
      <w:pPr>
        <w:ind w:left="284"/>
        <w:jc w:val="both"/>
      </w:pPr>
      <w:r w:rsidRPr="00941D59">
        <w:t>Binnen het domein van Zorg en Gezondheid worden de bevolkingsprojecties consequent gebruikt in de berekening van de programmatie in de ouderenvoorzieningen. De programmatiecriteria voor een aantal ouderenvoorzieningen (woonzorgcentra, serviceflats, centra voor kort verblijf, dagverzorgingscentra, …) zijn gebaseerd op bevolkingscijfers en bepaalde leeftijdscategorieën. Dit betekent dat in de mate dat de programmatie wordt ingevuld er rekening wordt gehouden met de demografische ontwikkelingen. Deze programmatie geeft dus uitdrukking aan de behoefte aan de verschillende typen van oudervoorzieningen in functie van de bevolkingsprojecties betreffende de leeftijdscategorieën van 65 jaar en ouder. Deze programmatie wordt per gemeente berekend en er is dus een regionale differentiatie.</w:t>
      </w:r>
    </w:p>
    <w:p w:rsidR="00BD6C31" w:rsidRDefault="00941D59" w:rsidP="00A07EEC">
      <w:pPr>
        <w:ind w:left="284"/>
        <w:jc w:val="both"/>
      </w:pPr>
      <w:r w:rsidRPr="00941D59">
        <w:t>De cijfers inzake bevolkingsprognoses worden daarenboven gepubliceerd op de website van het agentschap Zorg en Gezondheid ten behoeve van de instellingen die een zorgstrategisch plan wensen op te stellen. De cijfers kunnen aldus dienen voor een inschatting door de instelling van de toekomstige nood aan zorg in de regio ter verantwoording van een nieuw of bijkomend initiatief.</w:t>
      </w:r>
    </w:p>
    <w:p w:rsidR="00941D59" w:rsidRPr="00941D59" w:rsidRDefault="00941D59" w:rsidP="00A07EEC">
      <w:pPr>
        <w:ind w:left="284"/>
        <w:jc w:val="both"/>
      </w:pPr>
      <w:r w:rsidRPr="00941D59">
        <w:t xml:space="preserve">Er wordt binnen het domein Zorg en Gezondheid bij de verwerking en analyse van gegevens, die in het kader van de </w:t>
      </w:r>
      <w:proofErr w:type="spellStart"/>
      <w:r w:rsidRPr="00941D59">
        <w:t>recurrente</w:t>
      </w:r>
      <w:proofErr w:type="spellEnd"/>
      <w:r w:rsidRPr="00941D59">
        <w:t xml:space="preserve"> opdrachten worden verzameld, ook systematisch aandacht besteed aan de gevolgen van de verwachte demografische ontwikkelingen op het vlak van gezondheid en welzijn. Dit gebeurt bij de verwerking van de sterftegegevens voor de berekening van de </w:t>
      </w:r>
      <w:proofErr w:type="spellStart"/>
      <w:r w:rsidRPr="00941D59">
        <w:t>gestan</w:t>
      </w:r>
      <w:r w:rsidR="00BD6C31">
        <w:t>-</w:t>
      </w:r>
      <w:r w:rsidRPr="00941D59">
        <w:t>daardiseerde</w:t>
      </w:r>
      <w:proofErr w:type="spellEnd"/>
      <w:r w:rsidRPr="00941D59">
        <w:t xml:space="preserve"> sterfte en de levensverwachting. Ook in de berekening van een aantal ratio’s wordt gebruik gemaakt van bevolkingscijfers met een regionale differentiatie: aanbod van bepaalde typen van voorzieningen, spreiding van de zorgzwaarte in de ouderenvoorzieningen en thuisverpleging, participatiegraad aan de borstkankerscreening, … Deze cijfers zijn eveneens te raadplegen op de website van het agentschap Zorg en Gezondheid (</w:t>
      </w:r>
      <w:hyperlink r:id="rId7" w:history="1">
        <w:r w:rsidR="00BD6C31" w:rsidRPr="000C4101">
          <w:rPr>
            <w:rStyle w:val="Hyperlink"/>
          </w:rPr>
          <w:t>http://www.zorg-en-gezondheid.be/Cijfers/</w:t>
        </w:r>
      </w:hyperlink>
      <w:r w:rsidRPr="00941D59">
        <w:t>).</w:t>
      </w:r>
    </w:p>
    <w:p w:rsidR="00941D59" w:rsidRPr="00941D59" w:rsidRDefault="00941D59" w:rsidP="00A07EEC">
      <w:pPr>
        <w:ind w:left="284"/>
        <w:jc w:val="both"/>
      </w:pPr>
    </w:p>
    <w:p w:rsidR="00941D59" w:rsidRPr="00941D59" w:rsidRDefault="00941D59" w:rsidP="00A07EEC">
      <w:pPr>
        <w:ind w:left="284"/>
        <w:jc w:val="both"/>
      </w:pPr>
      <w:r w:rsidRPr="00941D59">
        <w:t xml:space="preserve">Een gedegen vooruitberekening is er dus ook voor het Vlaams beleid m.b.t. de ondersteuning van personen met een handicap in de vorm van een uitgebreide </w:t>
      </w:r>
      <w:proofErr w:type="spellStart"/>
      <w:r w:rsidRPr="00941D59">
        <w:t>meerjarenanalyse</w:t>
      </w:r>
      <w:proofErr w:type="spellEnd"/>
      <w:r w:rsidRPr="00941D59">
        <w:t>, gemaakt door het Vlaams Agentschap voor Personen met een Handicap</w:t>
      </w:r>
      <w:r w:rsidR="00BD6C31">
        <w:t xml:space="preserve"> (VAPH)</w:t>
      </w:r>
      <w:r w:rsidRPr="00941D59">
        <w:t xml:space="preserve">. Hierin worden de belangrijke evoluties weergegeven m.b.t. de ondersteuning voor personen met een handicap in de periode 2014-2019. Tevens wordt ook een verklaring gezocht voor het feit dat het aantal geregistreerde wachtenden blijft groeien ondanks de investeringen die in deze sector gedaan werden. In de </w:t>
      </w:r>
      <w:proofErr w:type="spellStart"/>
      <w:r w:rsidRPr="00941D59">
        <w:t>meerjarenanalyse</w:t>
      </w:r>
      <w:proofErr w:type="spellEnd"/>
      <w:r w:rsidRPr="00941D59">
        <w:t xml:space="preserve"> wordt ook vooruitgekeken naar de periode 2014-2019. Hier wordt onder andere nagegaan of er een verdere aangroei zal zijn van het aantal personen met een handicap dat een beroep zal wensen te doen op VAPH-ondersteuning. Met een stijgende levensverwachting van personen met een handicap en een beperkte uitstroom uit de VAPH-voorzieningen is een groeiende vraag niet onmogelijk.</w:t>
      </w:r>
    </w:p>
    <w:p w:rsidR="00941D59" w:rsidRPr="00941D59" w:rsidRDefault="00941D59" w:rsidP="00A07EEC">
      <w:pPr>
        <w:jc w:val="both"/>
      </w:pPr>
    </w:p>
    <w:p w:rsidR="00941D59" w:rsidRPr="00500C51" w:rsidRDefault="00941D59" w:rsidP="00A07EEC">
      <w:pPr>
        <w:numPr>
          <w:ilvl w:val="0"/>
          <w:numId w:val="3"/>
        </w:numPr>
        <w:tabs>
          <w:tab w:val="left" w:pos="284"/>
        </w:tabs>
        <w:ind w:left="284" w:hanging="284"/>
        <w:jc w:val="both"/>
      </w:pPr>
      <w:r w:rsidRPr="00500C51">
        <w:t xml:space="preserve">Deze </w:t>
      </w:r>
      <w:r w:rsidR="00500C51">
        <w:t>deel</w:t>
      </w:r>
      <w:r w:rsidRPr="00500C51">
        <w:t xml:space="preserve">vraag wordt samen met </w:t>
      </w:r>
      <w:r w:rsidR="00500C51">
        <w:t>deel</w:t>
      </w:r>
      <w:r w:rsidRPr="00500C51">
        <w:t>vraag 5 behandeld.</w:t>
      </w:r>
    </w:p>
    <w:p w:rsidR="00941D59" w:rsidRDefault="00941D59" w:rsidP="00A07EEC">
      <w:pPr>
        <w:pStyle w:val="SVTitel"/>
        <w:rPr>
          <w:i w:val="0"/>
        </w:rPr>
      </w:pPr>
      <w:bookmarkStart w:id="6" w:name="_GoBack"/>
      <w:bookmarkEnd w:id="6"/>
    </w:p>
    <w:p w:rsidR="00941D59" w:rsidRPr="00C3478A" w:rsidRDefault="00941D59" w:rsidP="00A07EEC">
      <w:pPr>
        <w:numPr>
          <w:ilvl w:val="0"/>
          <w:numId w:val="3"/>
        </w:numPr>
        <w:tabs>
          <w:tab w:val="left" w:pos="284"/>
        </w:tabs>
        <w:ind w:left="284" w:hanging="284"/>
        <w:jc w:val="both"/>
      </w:pPr>
      <w:r w:rsidRPr="00C3478A">
        <w:rPr>
          <w:b/>
          <w:i/>
        </w:rPr>
        <w:t>Werk en Sociale Economie</w:t>
      </w:r>
    </w:p>
    <w:p w:rsidR="00C3478A" w:rsidRDefault="00C3478A" w:rsidP="00A07EEC">
      <w:pPr>
        <w:ind w:left="284"/>
        <w:jc w:val="both"/>
      </w:pPr>
    </w:p>
    <w:p w:rsidR="00941D59" w:rsidRPr="00500C51" w:rsidRDefault="00941D59" w:rsidP="00A07EEC">
      <w:pPr>
        <w:ind w:left="284"/>
        <w:jc w:val="both"/>
      </w:pPr>
      <w:r w:rsidRPr="00500C51">
        <w:t>De bevolkingsvooruitzichten en de daarvan afgeleide werkzaamheidsprognoses zijn in het arbeidsmarktbeleid vooral macro-indicatoren. In het Pact 2020 heeft de Vlaamse Regering zich geëngageerd om tegen het jaar 2020 een werkzaamheidsgraad van minstens 76</w:t>
      </w:r>
      <w:r w:rsidR="00BD6C31">
        <w:t xml:space="preserve"> </w:t>
      </w:r>
      <w:r w:rsidRPr="00500C51">
        <w:t>% te behalen bij 20- tot 64-jarigen. Uit de prognoses van het Steunpunt WSE blijkt dat we daar bij ongewijzigd beleid niet zullen komen maar mogelijk op 73,3</w:t>
      </w:r>
      <w:r w:rsidR="00067D6F">
        <w:t xml:space="preserve"> </w:t>
      </w:r>
      <w:r w:rsidRPr="00500C51">
        <w:t xml:space="preserve">% zullen landen. De voornaamste reden hiervoor is de bijzonder lage werkzaamheidsgraad bij 55-plussers. Uit de jaarlijkse actualisaties van deze </w:t>
      </w:r>
      <w:r w:rsidRPr="00500C51">
        <w:lastRenderedPageBreak/>
        <w:t>prognoses zal moeten blijken of onze beleidsingrepen zorgen voor een verkleining van de kloof met het doelwit van 76</w:t>
      </w:r>
      <w:r w:rsidR="00067D6F">
        <w:t xml:space="preserve"> </w:t>
      </w:r>
      <w:r w:rsidRPr="00500C51">
        <w:t>%. Voorlopige cijfers voor 2012 geven aan dat de werkzaamheidsgraad van 55-plussers reeds hoger is dan in de prognoses werd voorspeld.</w:t>
      </w:r>
    </w:p>
    <w:p w:rsidR="00941D59" w:rsidRPr="00500C51" w:rsidRDefault="00941D59" w:rsidP="00A07EEC">
      <w:pPr>
        <w:ind w:left="284"/>
        <w:jc w:val="both"/>
      </w:pPr>
      <w:r w:rsidRPr="00500C51">
        <w:t xml:space="preserve">De doelstelling uit het Pact 2020 is een leidraad voor het algemene arbeidsmarktbeleid en vormt tevens het kader voor het Werk- en Investeringsplan dat de Vlaamse Regering opstelde naar aanleiding van het uitbreken van de economische crisis in 2009 alsook voor het Loopbaanakkoord dat de </w:t>
      </w:r>
      <w:r w:rsidR="00067D6F">
        <w:t xml:space="preserve">bevoegde </w:t>
      </w:r>
      <w:r w:rsidRPr="00500C51">
        <w:t>minister begin 2012 samen met de sociale partners afsloot. De minister zet maximaal in op de activering van werkzoekenden en het uitbouwen van een loopbaanbeleid, zodat we in Vlaanderen met meer mensen langer werken in meer werkbare jobs.</w:t>
      </w:r>
    </w:p>
    <w:p w:rsidR="00941D59" w:rsidRPr="00500C51" w:rsidRDefault="00941D59" w:rsidP="00A07EEC">
      <w:pPr>
        <w:ind w:left="284"/>
        <w:jc w:val="both"/>
      </w:pPr>
      <w:r w:rsidRPr="00500C51">
        <w:t xml:space="preserve">De evolutie van de Vlaamse werkzaamheidsgraad wordt jaarlijks aan het </w:t>
      </w:r>
      <w:r w:rsidR="00067D6F">
        <w:t>Vlaams P</w:t>
      </w:r>
      <w:r w:rsidRPr="00500C51">
        <w:t xml:space="preserve">arlement gerapporteerd in de beleidsbrieven van de minister en wordt continu gemonitord op </w:t>
      </w:r>
      <w:hyperlink r:id="rId8" w:history="1">
        <w:r w:rsidR="00067D6F" w:rsidRPr="000C4101">
          <w:rPr>
            <w:rStyle w:val="Hyperlink"/>
          </w:rPr>
          <w:t>www.werk.be</w:t>
        </w:r>
      </w:hyperlink>
      <w:r w:rsidRPr="00500C51">
        <w:t>.</w:t>
      </w:r>
    </w:p>
    <w:p w:rsidR="00941D59" w:rsidRPr="00500C51" w:rsidRDefault="00941D59" w:rsidP="00A07EEC">
      <w:pPr>
        <w:ind w:left="284"/>
        <w:jc w:val="both"/>
      </w:pPr>
    </w:p>
    <w:p w:rsidR="00941D59" w:rsidRPr="00C3478A" w:rsidRDefault="00941D59" w:rsidP="00A07EEC">
      <w:pPr>
        <w:ind w:left="284"/>
        <w:jc w:val="both"/>
        <w:rPr>
          <w:b/>
          <w:i/>
        </w:rPr>
      </w:pPr>
      <w:r w:rsidRPr="00C3478A">
        <w:rPr>
          <w:b/>
          <w:i/>
        </w:rPr>
        <w:t>Mobiliteit</w:t>
      </w:r>
      <w:r w:rsidR="00C3478A">
        <w:rPr>
          <w:b/>
          <w:i/>
        </w:rPr>
        <w:t xml:space="preserve"> en </w:t>
      </w:r>
      <w:r w:rsidRPr="00C3478A">
        <w:rPr>
          <w:b/>
          <w:i/>
        </w:rPr>
        <w:t>Openbare Werken</w:t>
      </w:r>
    </w:p>
    <w:p w:rsidR="00C3478A" w:rsidRDefault="00C3478A" w:rsidP="00A07EEC">
      <w:pPr>
        <w:ind w:left="284"/>
        <w:jc w:val="both"/>
      </w:pPr>
    </w:p>
    <w:p w:rsidR="00941D59" w:rsidRPr="00500C51" w:rsidRDefault="00941D59" w:rsidP="00A07EEC">
      <w:pPr>
        <w:ind w:left="284"/>
        <w:jc w:val="both"/>
      </w:pPr>
      <w:r w:rsidRPr="00500C51">
        <w:t>Binnen het Mobiliteitsplan Vlaanderen zullen doelstellingen worden geformuleerd die rekening houden met de demografische ontwikkelingen en zullen de gepaste maatregelen worden ontwikkeld, waarbij specifiek aandacht zal uitgaan naar de situatie in de steden.</w:t>
      </w:r>
    </w:p>
    <w:p w:rsidR="00941D59" w:rsidRPr="00500C51" w:rsidRDefault="00941D59" w:rsidP="00A07EEC">
      <w:pPr>
        <w:ind w:left="284"/>
        <w:jc w:val="both"/>
      </w:pPr>
      <w:r w:rsidRPr="00500C51">
        <w:t xml:space="preserve">Inzake openbaar vervoer worden, in overeenstemming met het regeerakkoord en de doelstellingen van het Pact 2020, de nodige accenten gelegd op het vraagvolgende karakter van de verdere netuitbouw van het geregeld stads- en streekvervoer. </w:t>
      </w:r>
      <w:r w:rsidR="00067D6F">
        <w:t>H</w:t>
      </w:r>
      <w:r w:rsidRPr="00500C51">
        <w:t xml:space="preserve">iervoor </w:t>
      </w:r>
      <w:r w:rsidR="00067D6F">
        <w:t xml:space="preserve">kan </w:t>
      </w:r>
      <w:r w:rsidRPr="00500C51">
        <w:t xml:space="preserve">ook </w:t>
      </w:r>
      <w:r w:rsidR="00067D6F">
        <w:t xml:space="preserve">verwezen worden </w:t>
      </w:r>
      <w:r w:rsidRPr="00500C51">
        <w:t>naar de goedgekeurde beheersovereenkomst 2011-2015 van De Lijn en de besprekingen in de Commissie voor Mobiliteit en Openbare Werken van 13 januari 2011 (Stuk 878 (2010-2011) – Nr. 1).</w:t>
      </w:r>
    </w:p>
    <w:p w:rsidR="00941D59" w:rsidRPr="00500C51" w:rsidRDefault="00941D59" w:rsidP="00A07EEC">
      <w:pPr>
        <w:ind w:left="284"/>
        <w:jc w:val="both"/>
      </w:pPr>
      <w:r w:rsidRPr="00500C51">
        <w:t>Hierover zal in de bevoegde commissie van het Vlaams Parlement worden gerapporteerd bij de bespreking van het Mobiliteitsplan Vlaanderen.</w:t>
      </w:r>
    </w:p>
    <w:p w:rsidR="00941D59" w:rsidRPr="00500C51" w:rsidRDefault="00941D59" w:rsidP="00A07EEC">
      <w:pPr>
        <w:ind w:left="284"/>
        <w:jc w:val="both"/>
      </w:pPr>
    </w:p>
    <w:p w:rsidR="00941D59" w:rsidRPr="00C3478A" w:rsidRDefault="00941D59" w:rsidP="00A07EEC">
      <w:pPr>
        <w:ind w:left="284"/>
        <w:jc w:val="both"/>
        <w:rPr>
          <w:b/>
          <w:i/>
        </w:rPr>
      </w:pPr>
      <w:r w:rsidRPr="00C3478A">
        <w:rPr>
          <w:b/>
          <w:i/>
        </w:rPr>
        <w:t>Onderwijs en Vorming</w:t>
      </w:r>
    </w:p>
    <w:p w:rsidR="00C3478A" w:rsidRDefault="00C3478A" w:rsidP="00A07EEC">
      <w:pPr>
        <w:ind w:left="284"/>
        <w:jc w:val="both"/>
      </w:pPr>
    </w:p>
    <w:p w:rsidR="00941D59" w:rsidRPr="00500C51" w:rsidRDefault="00941D59" w:rsidP="00A07EEC">
      <w:pPr>
        <w:ind w:left="284"/>
        <w:jc w:val="both"/>
      </w:pPr>
      <w:r w:rsidRPr="00500C51">
        <w:t xml:space="preserve">Door de recente demografische evoluties ontstond er vanaf 2010 </w:t>
      </w:r>
      <w:r w:rsidRPr="0088729E">
        <w:t xml:space="preserve">een </w:t>
      </w:r>
      <w:r w:rsidR="001271AB" w:rsidRPr="0088729E">
        <w:t>dreigend</w:t>
      </w:r>
      <w:r w:rsidR="001271AB">
        <w:t xml:space="preserve"> </w:t>
      </w:r>
      <w:r w:rsidRPr="00500C51">
        <w:t>tekort aan onderwijsinfrastructuur in Antwerpen</w:t>
      </w:r>
      <w:r w:rsidR="009E73D5">
        <w:t>,</w:t>
      </w:r>
      <w:r w:rsidRPr="00500C51">
        <w:t xml:space="preserve"> en het begin van ernstige problemen in een aantal andere steden.</w:t>
      </w:r>
    </w:p>
    <w:p w:rsidR="00941D59" w:rsidRPr="00500C51" w:rsidRDefault="00941D59" w:rsidP="00A07EEC">
      <w:pPr>
        <w:ind w:left="284"/>
        <w:jc w:val="both"/>
      </w:pPr>
      <w:r w:rsidRPr="00500C51">
        <w:t>Er werd dadelijk een taskforce opgestart om de problematiek en de noden van de school</w:t>
      </w:r>
      <w:r w:rsidR="009E73D5">
        <w:t>-</w:t>
      </w:r>
      <w:r w:rsidRPr="00500C51">
        <w:t>infrastructuur in kaart te brengen, op korte en lange termijn, en om samen met de lokale besturen oplossingen uit te werken. Op deze manier werden met succes de meest acute problemen opgelost.</w:t>
      </w:r>
      <w:r w:rsidR="009E73D5">
        <w:t xml:space="preserve"> </w:t>
      </w:r>
      <w:r w:rsidRPr="00500C51">
        <w:t>Tegelijk</w:t>
      </w:r>
      <w:r w:rsidR="009E73D5">
        <w:t>ertijd</w:t>
      </w:r>
      <w:r w:rsidRPr="00500C51">
        <w:t xml:space="preserve"> werden er wetgevende initiatieven genomen om in dichtbevolkte gebieden de passende maatregelen te kunnen nemen en werd het nodige budget vrijgemaakt.</w:t>
      </w:r>
    </w:p>
    <w:p w:rsidR="00941D59" w:rsidRPr="00500C51" w:rsidRDefault="00941D59" w:rsidP="00A07EEC">
      <w:pPr>
        <w:ind w:left="284"/>
        <w:jc w:val="both"/>
      </w:pPr>
      <w:r w:rsidRPr="00500C51">
        <w:t>Sinds 2010 werd proactief gewerkt om eventuele capaciteitsproblemen in andere steden op te sporen vooraleer ze zich daadwerkelijk stellen. Op basis van een aantal parameters (gebaseerd op een stijgend aantal kleuters) werden 24 steden en gemeenten aangeschreven en werd hen gevraagd om een door het departement Onderwijs</w:t>
      </w:r>
      <w:r w:rsidR="009E73D5">
        <w:t xml:space="preserve"> en Vorming </w:t>
      </w:r>
      <w:r w:rsidRPr="00500C51">
        <w:t>ontwikkelde sleuteldataset verder aan te vullen</w:t>
      </w:r>
      <w:r w:rsidR="009E73D5">
        <w:t>,</w:t>
      </w:r>
      <w:r w:rsidRPr="00500C51">
        <w:t xml:space="preserve"> om te kunnen oordelen of de oprichting van een taskforce met alle lokale onderwijs</w:t>
      </w:r>
      <w:r w:rsidR="009E73D5">
        <w:t>-</w:t>
      </w:r>
      <w:r w:rsidRPr="00500C51">
        <w:t>verstrekkers noodzakelijk, wenselijk, dan wel voorbarig zou zijn.</w:t>
      </w:r>
    </w:p>
    <w:p w:rsidR="009E73D5" w:rsidRDefault="009E73D5" w:rsidP="00A07EEC">
      <w:pPr>
        <w:ind w:left="284"/>
        <w:jc w:val="both"/>
      </w:pPr>
    </w:p>
    <w:p w:rsidR="00941D59" w:rsidRPr="00500C51" w:rsidRDefault="00941D59" w:rsidP="00A07EEC">
      <w:pPr>
        <w:ind w:left="284"/>
        <w:jc w:val="both"/>
      </w:pPr>
      <w:r w:rsidRPr="00500C51">
        <w:t>Van al deze initiatieven werd reeds meermaals verslag uitgebracht in de Commissie Onderwijs.</w:t>
      </w:r>
      <w:r w:rsidR="009E73D5">
        <w:t xml:space="preserve"> </w:t>
      </w:r>
      <w:r w:rsidRPr="00500C51">
        <w:t xml:space="preserve">Zoals de </w:t>
      </w:r>
      <w:r w:rsidR="009E73D5">
        <w:t xml:space="preserve">bevoegde </w:t>
      </w:r>
      <w:r w:rsidRPr="00500C51">
        <w:t>minister recent nog naar aanleiding van de Conceptnota Capaciteitsmiddelen 2013 uitgebreid toelichtte, is het niet evident om een objectieve vergelijking te maken tussen de capaciteitsbehoeften in verschillende gemeenten, ge</w:t>
      </w:r>
      <w:r w:rsidR="009E73D5">
        <w:t xml:space="preserve">let op </w:t>
      </w:r>
      <w:r w:rsidRPr="00500C51">
        <w:t>de veelheid aan factoren die een rol spelen in de capaciteitsproblematiek.</w:t>
      </w:r>
      <w:r w:rsidR="009E73D5">
        <w:t xml:space="preserve"> </w:t>
      </w:r>
      <w:r w:rsidRPr="00500C51">
        <w:t xml:space="preserve">Toch heeft de Vlaamse Regering deze oefening gemaakt en heeft de </w:t>
      </w:r>
      <w:r w:rsidR="009E73D5">
        <w:t xml:space="preserve">bevoegde </w:t>
      </w:r>
      <w:r w:rsidRPr="00500C51">
        <w:t>minister daarbij opnieuw gebruik gemaakt van de bevolkingsprognoses van de Studiedienst van de Vlaamse Regering. Daarnaast werden de inschrijvingsgegevens van de leerlingendatabank van het beleidsdomein Onderwijs en Vorming, de lokaal verzamelde en centraal aangeleverde capaciteitsramingen en de capaciteitsdossiers 2010, 2011 en 2012 in rekening gebracht.</w:t>
      </w:r>
      <w:r w:rsidR="009E73D5">
        <w:t xml:space="preserve"> </w:t>
      </w:r>
      <w:r w:rsidRPr="00500C51">
        <w:t>Op basis van deze gegevens werd de actuele ratio inschrijvingen/capaciteit</w:t>
      </w:r>
      <w:r w:rsidR="009E73D5">
        <w:t xml:space="preserve"> berekend</w:t>
      </w:r>
      <w:r w:rsidRPr="00500C51">
        <w:t xml:space="preserve"> (inschrijvingen dd. 1 februari 2012) en de marge tussen de beschikbare capaciteit en de ingeschreven leerlingen in de toekomst, de zgn. capaciteitsindicator, geraamd. Bovendien werd bij </w:t>
      </w:r>
      <w:r w:rsidRPr="00500C51">
        <w:lastRenderedPageBreak/>
        <w:t>het toekennen van middelen rekening gehouden met de effectieve uitvoering van de capaciteitsdossiers 2010, 2011 en 2012.</w:t>
      </w:r>
    </w:p>
    <w:p w:rsidR="001271AB" w:rsidRPr="00500C51" w:rsidRDefault="001271AB" w:rsidP="00A07EEC">
      <w:pPr>
        <w:ind w:left="284"/>
        <w:jc w:val="both"/>
      </w:pPr>
    </w:p>
    <w:p w:rsidR="00941D59" w:rsidRPr="00500C51" w:rsidRDefault="00941D59" w:rsidP="00A07EEC">
      <w:pPr>
        <w:ind w:left="284"/>
        <w:jc w:val="both"/>
      </w:pPr>
      <w:r w:rsidRPr="00500C51">
        <w:t xml:space="preserve">De wachtlijst in </w:t>
      </w:r>
      <w:r w:rsidRPr="0088729E">
        <w:t>scholenbouw is</w:t>
      </w:r>
      <w:r w:rsidR="001271AB" w:rsidRPr="0088729E">
        <w:t xml:space="preserve"> eveneens</w:t>
      </w:r>
      <w:r w:rsidRPr="0088729E">
        <w:t xml:space="preserve"> niet</w:t>
      </w:r>
      <w:r w:rsidRPr="00500C51">
        <w:t xml:space="preserve"> langer een performant instrument en een meer planmatig beheer dringt zich sowieso op. Masterplanning en een geïntegreerd voorzieningenbeleid zijn kernbegrippen in de zoektocht naar een antwoord op wachtlijsten.</w:t>
      </w:r>
    </w:p>
    <w:p w:rsidR="00941D59" w:rsidRPr="00500C51" w:rsidRDefault="00941D59" w:rsidP="00A07EEC">
      <w:pPr>
        <w:ind w:left="284"/>
        <w:jc w:val="both"/>
      </w:pPr>
      <w:r w:rsidRPr="00500C51">
        <w:t>Voor de reguliere scholenbouwfinanciering lijkt het onontbeerlijk geworden om de schaarse middelen voor scholenbouw zo efficiënt en effectief mogelijk in te zetten. Op basis van lokale lange termijn (master)plannen zou de subsidiërende overheid beter de noden op het terrein kunnen inschatten en zo de middelen voor scholenbouw beter begroten en beter prioriteiten stellen. Dit kan gebeuren volgens de appreciatie van de scholen zelf, maar ook de koepels/netten kunnen hierin ondersteunend optreden.</w:t>
      </w:r>
    </w:p>
    <w:p w:rsidR="00941D59" w:rsidRPr="00500C51" w:rsidRDefault="00941D59" w:rsidP="00A07EEC">
      <w:pPr>
        <w:ind w:left="284"/>
        <w:jc w:val="both"/>
      </w:pPr>
      <w:r w:rsidRPr="00500C51">
        <w:t>Onder meer in het groenboek in het traject naar een Beleidsplan Ruimte Vlaanderen wordt gedacht aan een lokaal voorzieningenbeleid waarbij gebouwen multifunctioneel en flexibel worden ingezet.</w:t>
      </w:r>
      <w:r w:rsidR="00F8295E">
        <w:t xml:space="preserve"> </w:t>
      </w:r>
      <w:r w:rsidRPr="0088729E">
        <w:t xml:space="preserve">Los van </w:t>
      </w:r>
      <w:r w:rsidR="001271AB" w:rsidRPr="0088729E">
        <w:t xml:space="preserve">een eventueel </w:t>
      </w:r>
      <w:r w:rsidRPr="0088729E">
        <w:t xml:space="preserve"> </w:t>
      </w:r>
      <w:proofErr w:type="spellStart"/>
      <w:r w:rsidRPr="0088729E">
        <w:t>recurrente</w:t>
      </w:r>
      <w:proofErr w:type="spellEnd"/>
      <w:r w:rsidRPr="0088729E">
        <w:t xml:space="preserve"> financieringspijler voor de capaciteit en een planmatige aanpak</w:t>
      </w:r>
      <w:r w:rsidRPr="00500C51">
        <w:t xml:space="preserve"> van de wachtlijstproblematiek moet er nagedacht worden </w:t>
      </w:r>
      <w:r w:rsidR="00F8295E">
        <w:t xml:space="preserve">over </w:t>
      </w:r>
      <w:r w:rsidRPr="00500C51">
        <w:t>een aanvullend, ander soort financierings-/ realisatiesysteem voor het onderwijspatrimonium</w:t>
      </w:r>
      <w:r w:rsidR="00F8295E">
        <w:t>, e</w:t>
      </w:r>
      <w:r w:rsidRPr="00500C51">
        <w:t>en systeem dat structureel de mogelijkheid biedt om op een andere manier te werken en de onderwijssector in staat stelt om op korte termijn en op een flexibele manier een aanvullend investeringsprogramma uit te rollen.</w:t>
      </w:r>
    </w:p>
    <w:p w:rsidR="00941D59" w:rsidRPr="00500C51" w:rsidRDefault="00941D59" w:rsidP="00A07EEC">
      <w:pPr>
        <w:ind w:left="284"/>
        <w:jc w:val="both"/>
      </w:pPr>
    </w:p>
    <w:p w:rsidR="00941D59" w:rsidRPr="00C3478A" w:rsidRDefault="00941D59" w:rsidP="00A07EEC">
      <w:pPr>
        <w:ind w:left="284"/>
        <w:jc w:val="both"/>
        <w:rPr>
          <w:b/>
          <w:i/>
        </w:rPr>
      </w:pPr>
      <w:r w:rsidRPr="00C3478A">
        <w:rPr>
          <w:b/>
          <w:i/>
        </w:rPr>
        <w:t>Wonen</w:t>
      </w:r>
    </w:p>
    <w:p w:rsidR="00C3478A" w:rsidRDefault="00C3478A" w:rsidP="00A07EEC">
      <w:pPr>
        <w:ind w:left="284"/>
        <w:jc w:val="both"/>
      </w:pPr>
    </w:p>
    <w:p w:rsidR="00F8295E" w:rsidRDefault="00941D59" w:rsidP="00A07EEC">
      <w:pPr>
        <w:ind w:left="284"/>
        <w:jc w:val="both"/>
      </w:pPr>
      <w:r w:rsidRPr="00500C51">
        <w:t>De woningmarkt verschilt in een aantal opzichten van andere markten waar het prijsmechanisme ervoor zorgt dat vraag en aanbod zich snel en soepel aanpassen totdat er een nieuw evenwicht tot stand komt. Op de woningmarkt verloopt dit aanpassingsproces heel moeizaam en traag omwille van meerdere redenen. Onevenwicht kan daardoor lange tijd blijven voortbestaan.</w:t>
      </w:r>
    </w:p>
    <w:p w:rsidR="00941D59" w:rsidRPr="00500C51" w:rsidRDefault="00941D59" w:rsidP="00A07EEC">
      <w:pPr>
        <w:ind w:left="284"/>
        <w:jc w:val="both"/>
      </w:pPr>
      <w:r w:rsidRPr="00500C51">
        <w:t>Een van de redenen is dat de woningmarkt over het algemeen een voorraadmarkt is: het aantal nieuwbouwwoningen als aandeel van de vrijkomende woningen is beperkt (al is hierin een zekere regionale variatie mogelijk) omdat woningen een relatief lange levensduur hebben. Het kost bovendien veel tijd om nieuwe woningen te plannen en te bouwen (lange ontwikkeltijd). Dit heeft een belangrijke invloed op de wijze waarop het aanbod kan reageren op een verandering in de vraag (eerder onelastisch woningaanbod). Als de vraag naar woningen door demografische veranderingen of gewijzigde woonwensen verschuift, duurt het jaren voordat vraag en aanbod weer in evenwicht zijn. Snelle ingrepen zijn dus niet evident.</w:t>
      </w:r>
    </w:p>
    <w:p w:rsidR="00941D59" w:rsidRPr="00500C51" w:rsidRDefault="00941D59" w:rsidP="00A07EEC">
      <w:pPr>
        <w:ind w:left="284"/>
        <w:jc w:val="both"/>
      </w:pPr>
    </w:p>
    <w:p w:rsidR="00941D59" w:rsidRPr="00500C51" w:rsidRDefault="00941D59" w:rsidP="00A07EEC">
      <w:pPr>
        <w:ind w:left="284"/>
        <w:jc w:val="both"/>
      </w:pPr>
      <w:r w:rsidRPr="00500C51">
        <w:t xml:space="preserve">Er is momenteel geen rapportering over lopende onderzoeken aan de commissie </w:t>
      </w:r>
      <w:r w:rsidR="00F8295E">
        <w:t xml:space="preserve">van het Vlaams Parlement </w:t>
      </w:r>
      <w:r w:rsidRPr="00500C51">
        <w:t>gepland</w:t>
      </w:r>
      <w:r w:rsidR="00F8295E">
        <w:t xml:space="preserve"> ; d</w:t>
      </w:r>
      <w:r w:rsidRPr="00500C51">
        <w:t>e onderzoeksrapporten zijn beschikbaar op de website van het Steunpunt Wonen</w:t>
      </w:r>
      <w:r w:rsidR="00F8295E">
        <w:t xml:space="preserve"> </w:t>
      </w:r>
      <w:r w:rsidRPr="00500C51">
        <w:t>(</w:t>
      </w:r>
      <w:hyperlink r:id="rId9" w:history="1">
        <w:r w:rsidR="00F8295E" w:rsidRPr="000C4101">
          <w:rPr>
            <w:rStyle w:val="Hyperlink"/>
          </w:rPr>
          <w:t>www.steunpuntwonen.be/publicaties</w:t>
        </w:r>
      </w:hyperlink>
      <w:r w:rsidRPr="00500C51">
        <w:t>).</w:t>
      </w:r>
    </w:p>
    <w:p w:rsidR="00F8295E" w:rsidRDefault="00F8295E" w:rsidP="00A07EEC">
      <w:pPr>
        <w:ind w:left="284"/>
        <w:jc w:val="both"/>
      </w:pPr>
    </w:p>
    <w:p w:rsidR="00941D59" w:rsidRPr="00500C51" w:rsidRDefault="00941D59" w:rsidP="00A07EEC">
      <w:pPr>
        <w:ind w:left="284"/>
        <w:jc w:val="both"/>
      </w:pPr>
      <w:r w:rsidRPr="00500C51">
        <w:t>De onderzoeksresultaten zijn verwerkt bij de ontwikkeling van het Woonbeleidsplan Vlaanderen. Een doortastend woonbeleid vergt inderdaad onderbouwing door een langetermijnvisie, die de richting aangeeft waarin het Vlaamse woonbeleid zal gaan om het recht op goed en betaalbaar wonen waar te maken. Net daarom is in de beleidsnota 2009-2014 de opmaak van het Woonbeleidsplan Vlaanderen aangekondigd. Dit plan, met tijdshorizon 2020-2050, bepaalt de visie en doelstellingen voor het langetermijnbeleid en operationaliseert deze door middel van instrumenten en maatregelen.</w:t>
      </w:r>
    </w:p>
    <w:p w:rsidR="00941D59" w:rsidRPr="00500C51" w:rsidRDefault="00941D59" w:rsidP="00A07EEC">
      <w:pPr>
        <w:ind w:left="284"/>
        <w:jc w:val="both"/>
      </w:pPr>
      <w:r w:rsidRPr="00500C51">
        <w:t xml:space="preserve">Het Woonbeleidsplan Vlaanderen is inmiddels in volle opmaak. In het najaar 2011 werd een eerste publieksmoment georganiseerd waarop verslag werd uitgebracht </w:t>
      </w:r>
      <w:r w:rsidR="00F8295E">
        <w:t>van de eerste vorderingen. Het a</w:t>
      </w:r>
      <w:r w:rsidRPr="00500C51">
        <w:t>gentschap Wonen-Vlaanderen maakte in een omvangrijke voorstudie een grondige analyse van het wonen in Vlaanderen: op basis van onderzoeksresultaten werden de situatie van de woningen en bewoners en de algemene maatschappelijke ontwikkelingen met impact op het wonen, waaronder demografische ontwikkelingen en verwachte evoluties, in beeld gebracht. Ook het Steunpunt Wonen en de Vlaamse Woonraad leverden een bijdrage in deze eerste fase.</w:t>
      </w:r>
    </w:p>
    <w:p w:rsidR="00941D59" w:rsidRPr="00500C51" w:rsidRDefault="00941D59" w:rsidP="00A07EEC">
      <w:pPr>
        <w:ind w:left="284"/>
        <w:jc w:val="both"/>
      </w:pPr>
      <w:r w:rsidRPr="00500C51">
        <w:t xml:space="preserve">Aan de hand van een debatnota, met een overzicht van vaststellingen, verwachtingen, knelpunten en uitdagingen, werd het debat op gang gebracht, en gevoerd tijdens werkgroepen en rondetafels </w:t>
      </w:r>
      <w:r w:rsidRPr="00500C51">
        <w:lastRenderedPageBreak/>
        <w:t xml:space="preserve">met actoren en experten. Uit dit alles werd in 2012 een visienota gedistilleerd met de krijtlijnen voor het langetermijnbeleid. De </w:t>
      </w:r>
      <w:r w:rsidR="00F8295E">
        <w:t xml:space="preserve">bevoegde </w:t>
      </w:r>
      <w:r w:rsidRPr="00500C51">
        <w:t>minister stelde deze visie in het najaar van 2012 voor tijdens een tweede publieksmoment.</w:t>
      </w:r>
    </w:p>
    <w:p w:rsidR="00F8295E" w:rsidRDefault="00F8295E" w:rsidP="00A07EEC">
      <w:pPr>
        <w:ind w:left="284"/>
        <w:jc w:val="both"/>
      </w:pPr>
    </w:p>
    <w:p w:rsidR="00941D59" w:rsidRPr="00500C51" w:rsidRDefault="00941D59" w:rsidP="00A07EEC">
      <w:pPr>
        <w:ind w:left="284"/>
        <w:jc w:val="both"/>
      </w:pPr>
      <w:r w:rsidRPr="00500C51">
        <w:t>Dit alles zal in het najaar van 2013 uitmonden in het Woonbeleidsplan Vlaanderen. De langetermijnvisie wordt daarin vertaald in strategische en operationele doelstellingen, met voorstel van instrumenten, met hun respectievelijke financiële implicaties. Voor de uitwerking van specifieke aspecten worden daartoe nog bijkomende rondetafels en bilaterale overlegmomenten georganiseerd. Het Woonbeleidsplan Vlaanderen zal eind 2013 aan de Vlaamse Regering worden voorgelegd.</w:t>
      </w:r>
    </w:p>
    <w:p w:rsidR="00941D59" w:rsidRPr="00500C51" w:rsidRDefault="00941D59" w:rsidP="00A07EEC">
      <w:pPr>
        <w:ind w:left="284"/>
        <w:jc w:val="both"/>
      </w:pPr>
    </w:p>
    <w:p w:rsidR="00941D59" w:rsidRPr="00C3478A" w:rsidRDefault="00941D59" w:rsidP="00A07EEC">
      <w:pPr>
        <w:ind w:left="284"/>
        <w:jc w:val="both"/>
        <w:rPr>
          <w:b/>
          <w:i/>
        </w:rPr>
      </w:pPr>
      <w:r w:rsidRPr="00C3478A">
        <w:rPr>
          <w:b/>
          <w:i/>
        </w:rPr>
        <w:t xml:space="preserve">Welzijn, </w:t>
      </w:r>
      <w:r w:rsidR="00C3478A">
        <w:rPr>
          <w:b/>
          <w:i/>
        </w:rPr>
        <w:t>V</w:t>
      </w:r>
      <w:r w:rsidRPr="00C3478A">
        <w:rPr>
          <w:b/>
          <w:i/>
        </w:rPr>
        <w:t xml:space="preserve">olksgezondheid en </w:t>
      </w:r>
      <w:r w:rsidR="00C3478A">
        <w:rPr>
          <w:b/>
          <w:i/>
        </w:rPr>
        <w:t>G</w:t>
      </w:r>
      <w:r w:rsidRPr="00C3478A">
        <w:rPr>
          <w:b/>
          <w:i/>
        </w:rPr>
        <w:t>ezin</w:t>
      </w:r>
    </w:p>
    <w:p w:rsidR="00C3478A" w:rsidRDefault="00C3478A" w:rsidP="00A07EEC">
      <w:pPr>
        <w:ind w:left="284"/>
        <w:jc w:val="both"/>
      </w:pPr>
    </w:p>
    <w:p w:rsidR="00941D59" w:rsidRPr="00500C51" w:rsidRDefault="00941D59" w:rsidP="00A07EEC">
      <w:pPr>
        <w:ind w:left="284"/>
        <w:jc w:val="both"/>
      </w:pPr>
      <w:r w:rsidRPr="00500C51">
        <w:t xml:space="preserve">Tijdens deze legislatuur heeft de </w:t>
      </w:r>
      <w:r w:rsidR="00F8295E">
        <w:t xml:space="preserve">bevoegde </w:t>
      </w:r>
      <w:r w:rsidRPr="00500C51">
        <w:t xml:space="preserve">minister reeds verschillende initiatieven genomen om in uitvoering van het regeerakkoord de gepaste maatregelen te nemen om de gevolgen van de prognoses op te vangen en het Vlaams Parlement hierover te informeren. Kind en Gezin gebruikt de resultaten van de bevolkingsprojecties en de constante monitoring voor het bepalen van de nodige uitbreidingen in de kinderopvang alsook voor de </w:t>
      </w:r>
      <w:proofErr w:type="spellStart"/>
      <w:r w:rsidRPr="00500C51">
        <w:t>contingentberekening</w:t>
      </w:r>
      <w:proofErr w:type="spellEnd"/>
      <w:r w:rsidRPr="00500C51">
        <w:t xml:space="preserve"> van de veld</w:t>
      </w:r>
      <w:r w:rsidR="00F8295E">
        <w:t>-</w:t>
      </w:r>
      <w:r w:rsidRPr="00500C51">
        <w:t>medewerkers in de preventieve gezinsondersteuning.</w:t>
      </w:r>
    </w:p>
    <w:p w:rsidR="00941D59" w:rsidRPr="00500C51" w:rsidRDefault="00941D59" w:rsidP="00A07EEC">
      <w:pPr>
        <w:ind w:left="284"/>
        <w:jc w:val="both"/>
      </w:pPr>
      <w:r w:rsidRPr="00500C51">
        <w:t>In het Vlaams ouderenbeleidsplan 2010-2014 wordt uiteengezet welke de intenties en maatregelen zijn die in het regeerakkoord werden aangegaan, en die hun concretisering vonden in de onderscheiden beleidsbrieven en -nota’s. Het bundelt de op stapel staande beleidsacties op een consistente manier, thematisch geclusterd, en dat tegen de achtergrond van een duidende omgevingsanalyse.</w:t>
      </w:r>
    </w:p>
    <w:p w:rsidR="00941D59" w:rsidRPr="00941D59" w:rsidRDefault="00941D59" w:rsidP="00A07EEC">
      <w:pPr>
        <w:ind w:left="284"/>
        <w:jc w:val="both"/>
      </w:pPr>
      <w:r w:rsidRPr="00500C51">
        <w:t xml:space="preserve">Om tegemoet te komen aan een stijgende vraag van personen met een handicap, die ook reeds naar voor kwam in de vorige </w:t>
      </w:r>
      <w:proofErr w:type="spellStart"/>
      <w:r w:rsidRPr="00500C51">
        <w:t>meerjarenanalyse</w:t>
      </w:r>
      <w:proofErr w:type="spellEnd"/>
      <w:r w:rsidRPr="00500C51">
        <w:t xml:space="preserve"> van het VAPH en bevestigd wordt door een groeiend aantal personen dat wordt aangemeld op de Centrale Registratie van Zorgvragen, he</w:t>
      </w:r>
      <w:r w:rsidR="00F8295E">
        <w:t xml:space="preserve">eft de minister </w:t>
      </w:r>
      <w:r w:rsidRPr="00500C51">
        <w:t xml:space="preserve">een </w:t>
      </w:r>
      <w:proofErr w:type="spellStart"/>
      <w:r w:rsidRPr="00500C51">
        <w:t>meerjarenvisie</w:t>
      </w:r>
      <w:proofErr w:type="spellEnd"/>
      <w:r w:rsidRPr="00500C51">
        <w:t xml:space="preserve"> uitgewerkt binnen de beleidsnota "Perspectief 2020". Binnen dit beleidsplan worden een aantal beleidskeuzes naar voor geschoven zoals verder uitbreidingsbeleid, </w:t>
      </w:r>
      <w:proofErr w:type="spellStart"/>
      <w:r w:rsidRPr="00500C51">
        <w:t>vermaat</w:t>
      </w:r>
      <w:r w:rsidR="008401B5">
        <w:t>-</w:t>
      </w:r>
      <w:r w:rsidRPr="00500C51">
        <w:t>schappelijking</w:t>
      </w:r>
      <w:proofErr w:type="spellEnd"/>
      <w:r w:rsidRPr="00500C51">
        <w:t xml:space="preserve"> van de zorg, ondersteuning van natuurlijke netwerken, ... die een antwoord moeten bieden op de stijgende vraag, niet alleen door verder uitbreidingsbeleid, maar ook door fundamentele heroriëntaties.</w:t>
      </w:r>
    </w:p>
    <w:sectPr w:rsidR="00941D59" w:rsidRPr="00941D5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05DC"/>
    <w:multiLevelType w:val="hybridMultilevel"/>
    <w:tmpl w:val="025CC3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7CD663BA"/>
    <w:multiLevelType w:val="hybridMultilevel"/>
    <w:tmpl w:val="6FD245F4"/>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23CCC"/>
    <w:rsid w:val="00067D6F"/>
    <w:rsid w:val="00076D92"/>
    <w:rsid w:val="000865DB"/>
    <w:rsid w:val="000976E9"/>
    <w:rsid w:val="000C4E8C"/>
    <w:rsid w:val="000F2B34"/>
    <w:rsid w:val="000F3532"/>
    <w:rsid w:val="001271AB"/>
    <w:rsid w:val="00134D41"/>
    <w:rsid w:val="001620FD"/>
    <w:rsid w:val="001B6E48"/>
    <w:rsid w:val="001C6D58"/>
    <w:rsid w:val="001F7390"/>
    <w:rsid w:val="00203D35"/>
    <w:rsid w:val="00210C07"/>
    <w:rsid w:val="00266E3B"/>
    <w:rsid w:val="002C377F"/>
    <w:rsid w:val="002C7A6C"/>
    <w:rsid w:val="002E7CFF"/>
    <w:rsid w:val="00326A58"/>
    <w:rsid w:val="00383836"/>
    <w:rsid w:val="0039398F"/>
    <w:rsid w:val="00407570"/>
    <w:rsid w:val="00410C45"/>
    <w:rsid w:val="0041623A"/>
    <w:rsid w:val="004E2833"/>
    <w:rsid w:val="004E68A0"/>
    <w:rsid w:val="00500C51"/>
    <w:rsid w:val="00511652"/>
    <w:rsid w:val="00547BAD"/>
    <w:rsid w:val="00566C53"/>
    <w:rsid w:val="005900AD"/>
    <w:rsid w:val="005B5BC5"/>
    <w:rsid w:val="005C29F9"/>
    <w:rsid w:val="005E38CA"/>
    <w:rsid w:val="006151B1"/>
    <w:rsid w:val="0063138E"/>
    <w:rsid w:val="00642CAF"/>
    <w:rsid w:val="006548DD"/>
    <w:rsid w:val="006775BF"/>
    <w:rsid w:val="006A09A8"/>
    <w:rsid w:val="006C7C89"/>
    <w:rsid w:val="0071248C"/>
    <w:rsid w:val="007252C7"/>
    <w:rsid w:val="007304D7"/>
    <w:rsid w:val="007346F2"/>
    <w:rsid w:val="00737567"/>
    <w:rsid w:val="00741C55"/>
    <w:rsid w:val="007474BA"/>
    <w:rsid w:val="007829B0"/>
    <w:rsid w:val="00785A0D"/>
    <w:rsid w:val="007B177C"/>
    <w:rsid w:val="007F3FB8"/>
    <w:rsid w:val="007F60A8"/>
    <w:rsid w:val="008346AE"/>
    <w:rsid w:val="008401B5"/>
    <w:rsid w:val="00847469"/>
    <w:rsid w:val="0088729E"/>
    <w:rsid w:val="00894185"/>
    <w:rsid w:val="008A713D"/>
    <w:rsid w:val="008D5DB4"/>
    <w:rsid w:val="009045AA"/>
    <w:rsid w:val="00922B73"/>
    <w:rsid w:val="009260EE"/>
    <w:rsid w:val="009347E0"/>
    <w:rsid w:val="00941D59"/>
    <w:rsid w:val="00983321"/>
    <w:rsid w:val="009904C7"/>
    <w:rsid w:val="009919E9"/>
    <w:rsid w:val="009D0315"/>
    <w:rsid w:val="009D7043"/>
    <w:rsid w:val="009E613C"/>
    <w:rsid w:val="009E73D5"/>
    <w:rsid w:val="00A07EEC"/>
    <w:rsid w:val="00A3106D"/>
    <w:rsid w:val="00A42280"/>
    <w:rsid w:val="00A45417"/>
    <w:rsid w:val="00A62780"/>
    <w:rsid w:val="00A76EC9"/>
    <w:rsid w:val="00A804C0"/>
    <w:rsid w:val="00AA5C57"/>
    <w:rsid w:val="00AF476E"/>
    <w:rsid w:val="00B02503"/>
    <w:rsid w:val="00B05220"/>
    <w:rsid w:val="00B45EB2"/>
    <w:rsid w:val="00B60F0E"/>
    <w:rsid w:val="00BA41C9"/>
    <w:rsid w:val="00BD6C31"/>
    <w:rsid w:val="00BE425A"/>
    <w:rsid w:val="00C0707D"/>
    <w:rsid w:val="00C3478A"/>
    <w:rsid w:val="00C8162E"/>
    <w:rsid w:val="00C874F0"/>
    <w:rsid w:val="00C97CEB"/>
    <w:rsid w:val="00CE006E"/>
    <w:rsid w:val="00D30AED"/>
    <w:rsid w:val="00D71D99"/>
    <w:rsid w:val="00D754F2"/>
    <w:rsid w:val="00DA07FA"/>
    <w:rsid w:val="00DA5DF3"/>
    <w:rsid w:val="00DA5E75"/>
    <w:rsid w:val="00DB41C0"/>
    <w:rsid w:val="00DC4DB6"/>
    <w:rsid w:val="00DD19EF"/>
    <w:rsid w:val="00E12C5D"/>
    <w:rsid w:val="00E55200"/>
    <w:rsid w:val="00E7364A"/>
    <w:rsid w:val="00E75830"/>
    <w:rsid w:val="00EE3E1A"/>
    <w:rsid w:val="00F3386E"/>
    <w:rsid w:val="00F369E3"/>
    <w:rsid w:val="00F55D7C"/>
    <w:rsid w:val="00F8295E"/>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941D59"/>
    <w:pPr>
      <w:jc w:val="both"/>
    </w:pPr>
    <w:rPr>
      <w:i/>
      <w:szCs w:val="20"/>
    </w:rPr>
  </w:style>
  <w:style w:type="paragraph" w:styleId="Lijstalinea">
    <w:name w:val="List Paragraph"/>
    <w:basedOn w:val="Standaard"/>
    <w:uiPriority w:val="34"/>
    <w:qFormat/>
    <w:rsid w:val="00941D59"/>
    <w:pPr>
      <w:ind w:left="708"/>
    </w:pPr>
    <w:rPr>
      <w:sz w:val="24"/>
    </w:rPr>
  </w:style>
  <w:style w:type="character" w:styleId="Hyperlink">
    <w:name w:val="Hyperlink"/>
    <w:basedOn w:val="Standaardalinea-lettertype"/>
    <w:rsid w:val="00F3386E"/>
    <w:rPr>
      <w:color w:val="0000FF" w:themeColor="hyperlink"/>
      <w:u w:val="single"/>
    </w:rPr>
  </w:style>
  <w:style w:type="character" w:styleId="GevolgdeHyperlink">
    <w:name w:val="FollowedHyperlink"/>
    <w:basedOn w:val="Standaardalinea-lettertype"/>
    <w:rsid w:val="00BD6C31"/>
    <w:rPr>
      <w:color w:val="800080" w:themeColor="followedHyperlink"/>
      <w:u w:val="single"/>
    </w:rPr>
  </w:style>
  <w:style w:type="paragraph" w:styleId="Ballontekst">
    <w:name w:val="Balloon Text"/>
    <w:basedOn w:val="Standaard"/>
    <w:link w:val="BallontekstChar"/>
    <w:rsid w:val="00AF476E"/>
    <w:rPr>
      <w:rFonts w:ascii="Tahoma" w:hAnsi="Tahoma" w:cs="Tahoma"/>
      <w:sz w:val="16"/>
      <w:szCs w:val="16"/>
    </w:rPr>
  </w:style>
  <w:style w:type="character" w:customStyle="1" w:styleId="BallontekstChar">
    <w:name w:val="Ballontekst Char"/>
    <w:basedOn w:val="Standaardalinea-lettertype"/>
    <w:link w:val="Ballontekst"/>
    <w:rsid w:val="00AF476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941D59"/>
    <w:pPr>
      <w:jc w:val="both"/>
    </w:pPr>
    <w:rPr>
      <w:i/>
      <w:szCs w:val="20"/>
    </w:rPr>
  </w:style>
  <w:style w:type="paragraph" w:styleId="Lijstalinea">
    <w:name w:val="List Paragraph"/>
    <w:basedOn w:val="Standaard"/>
    <w:uiPriority w:val="34"/>
    <w:qFormat/>
    <w:rsid w:val="00941D59"/>
    <w:pPr>
      <w:ind w:left="708"/>
    </w:pPr>
    <w:rPr>
      <w:sz w:val="24"/>
    </w:rPr>
  </w:style>
  <w:style w:type="character" w:styleId="Hyperlink">
    <w:name w:val="Hyperlink"/>
    <w:basedOn w:val="Standaardalinea-lettertype"/>
    <w:rsid w:val="00F3386E"/>
    <w:rPr>
      <w:color w:val="0000FF" w:themeColor="hyperlink"/>
      <w:u w:val="single"/>
    </w:rPr>
  </w:style>
  <w:style w:type="character" w:styleId="GevolgdeHyperlink">
    <w:name w:val="FollowedHyperlink"/>
    <w:basedOn w:val="Standaardalinea-lettertype"/>
    <w:rsid w:val="00BD6C31"/>
    <w:rPr>
      <w:color w:val="800080" w:themeColor="followedHyperlink"/>
      <w:u w:val="single"/>
    </w:rPr>
  </w:style>
  <w:style w:type="paragraph" w:styleId="Ballontekst">
    <w:name w:val="Balloon Text"/>
    <w:basedOn w:val="Standaard"/>
    <w:link w:val="BallontekstChar"/>
    <w:rsid w:val="00AF476E"/>
    <w:rPr>
      <w:rFonts w:ascii="Tahoma" w:hAnsi="Tahoma" w:cs="Tahoma"/>
      <w:sz w:val="16"/>
      <w:szCs w:val="16"/>
    </w:rPr>
  </w:style>
  <w:style w:type="character" w:customStyle="1" w:styleId="BallontekstChar">
    <w:name w:val="Ballontekst Char"/>
    <w:basedOn w:val="Standaardalinea-lettertype"/>
    <w:link w:val="Ballontekst"/>
    <w:rsid w:val="00AF476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 TargetMode="External"/><Relationship Id="rId3" Type="http://schemas.microsoft.com/office/2007/relationships/stylesWithEffects" Target="stylesWithEffects.xml"/><Relationship Id="rId7" Type="http://schemas.openxmlformats.org/officeDocument/2006/relationships/hyperlink" Target="http://www.zorg-en-gezondheid.be/Cijf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kalestatistieken.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unpuntwonen.be/publica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7</Pages>
  <Words>3681</Words>
  <Characters>22775</Characters>
  <Application>Microsoft Office Word</Application>
  <DocSecurity>4</DocSecurity>
  <Lines>189</Lines>
  <Paragraphs>52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2013-03-01T14:26:00Z</cp:lastPrinted>
  <dcterms:created xsi:type="dcterms:W3CDTF">2013-03-01T14:26:00Z</dcterms:created>
  <dcterms:modified xsi:type="dcterms:W3CDTF">2013-03-01T14:26:00Z</dcterms:modified>
</cp:coreProperties>
</file>