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47" w:rsidRPr="00A8473D" w:rsidRDefault="004F0B47" w:rsidP="00A03A76">
      <w:pPr>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4F0B47" w:rsidRDefault="004F0B47" w:rsidP="00A03A76">
      <w:pPr>
        <w:pStyle w:val="StandaardSV"/>
        <w:jc w:val="left"/>
        <w:rPr>
          <w:smallCaps/>
        </w:rPr>
      </w:pPr>
      <w:r w:rsidRPr="00A8473D">
        <w:rPr>
          <w:smallCaps/>
          <w:szCs w:val="22"/>
          <w:lang w:val="nl-BE"/>
        </w:rPr>
        <w:t>minister-president van de vlaamse regering, vlaams minister van economie, buitenlands beleid, landbouw en plattelandsbeleid</w:t>
      </w:r>
    </w:p>
    <w:p w:rsidR="004F0B47" w:rsidRDefault="004F0B47" w:rsidP="00A03A76">
      <w:pPr>
        <w:pBdr>
          <w:bottom w:val="single" w:sz="4" w:space="1" w:color="auto"/>
        </w:pBdr>
        <w:rPr>
          <w:sz w:val="22"/>
        </w:rPr>
      </w:pPr>
    </w:p>
    <w:p w:rsidR="004F0B47" w:rsidRDefault="004F0B47" w:rsidP="00A03A76">
      <w:pPr>
        <w:rPr>
          <w:sz w:val="22"/>
        </w:rPr>
      </w:pPr>
    </w:p>
    <w:p w:rsidR="004F0B47" w:rsidRPr="00EB78CA" w:rsidRDefault="004F0B47" w:rsidP="00A03A76">
      <w:pPr>
        <w:rPr>
          <w:b/>
          <w:smallCaps/>
          <w:sz w:val="22"/>
          <w:szCs w:val="22"/>
        </w:rPr>
      </w:pPr>
      <w:r w:rsidRPr="00EB78CA">
        <w:rPr>
          <w:b/>
          <w:smallCaps/>
          <w:sz w:val="22"/>
          <w:szCs w:val="22"/>
        </w:rPr>
        <w:t>antwoord</w:t>
      </w:r>
    </w:p>
    <w:p w:rsidR="004F0B47" w:rsidRPr="00EB78CA" w:rsidRDefault="004F0B47" w:rsidP="00A03A76">
      <w:pPr>
        <w:rPr>
          <w:sz w:val="22"/>
          <w:szCs w:val="22"/>
        </w:rPr>
      </w:pPr>
      <w:r w:rsidRPr="00EB78CA">
        <w:rPr>
          <w:sz w:val="22"/>
          <w:szCs w:val="22"/>
        </w:rPr>
        <w:t xml:space="preserve">op vraag nr. </w:t>
      </w:r>
      <w:r>
        <w:rPr>
          <w:sz w:val="22"/>
        </w:rPr>
        <w:t>251</w:t>
      </w:r>
      <w:r w:rsidRPr="00EB78CA">
        <w:rPr>
          <w:sz w:val="22"/>
          <w:szCs w:val="22"/>
        </w:rPr>
        <w:t xml:space="preserve"> van </w:t>
      </w:r>
      <w:r>
        <w:rPr>
          <w:sz w:val="22"/>
        </w:rPr>
        <w:t>30 januari 2013</w:t>
      </w:r>
    </w:p>
    <w:p w:rsidR="004F0B47" w:rsidRDefault="004F0B47" w:rsidP="00A03A76">
      <w:pPr>
        <w:rPr>
          <w:sz w:val="22"/>
        </w:rPr>
      </w:pPr>
      <w:r w:rsidRPr="00EB78CA">
        <w:rPr>
          <w:sz w:val="22"/>
          <w:szCs w:val="22"/>
        </w:rPr>
        <w:t xml:space="preserve">van </w:t>
      </w:r>
      <w:r>
        <w:rPr>
          <w:b/>
          <w:smallCaps/>
          <w:sz w:val="22"/>
        </w:rPr>
        <w:t>matthias diependaele</w:t>
      </w:r>
    </w:p>
    <w:p w:rsidR="004F0B47" w:rsidRDefault="004F0B47" w:rsidP="00A03A76">
      <w:pPr>
        <w:pBdr>
          <w:bottom w:val="single" w:sz="4" w:space="1" w:color="auto"/>
        </w:pBdr>
        <w:rPr>
          <w:sz w:val="22"/>
        </w:rPr>
      </w:pPr>
    </w:p>
    <w:p w:rsidR="004F0B47" w:rsidRDefault="004F0B47" w:rsidP="00A03A76">
      <w:pPr>
        <w:pStyle w:val="SVVlaamsParlement"/>
        <w:jc w:val="left"/>
        <w:outlineLvl w:val="0"/>
      </w:pPr>
    </w:p>
    <w:p w:rsidR="004F0B47" w:rsidRDefault="004F0B47" w:rsidP="00A03A76">
      <w:pPr>
        <w:pStyle w:val="SVTitel"/>
        <w:jc w:val="left"/>
        <w:rPr>
          <w:i w:val="0"/>
        </w:rPr>
      </w:pPr>
    </w:p>
    <w:p w:rsidR="0076329B" w:rsidRDefault="004F0B47" w:rsidP="00A03A76">
      <w:pPr>
        <w:pStyle w:val="SVTitel"/>
        <w:ind w:left="366" w:hanging="366"/>
        <w:jc w:val="left"/>
        <w:rPr>
          <w:i w:val="0"/>
        </w:rPr>
      </w:pPr>
      <w:r>
        <w:rPr>
          <w:i w:val="0"/>
        </w:rPr>
        <w:t>1a.</w:t>
      </w:r>
      <w:r>
        <w:rPr>
          <w:i w:val="0"/>
        </w:rPr>
        <w:tab/>
      </w:r>
      <w:r w:rsidR="001377B2">
        <w:rPr>
          <w:i w:val="0"/>
        </w:rPr>
        <w:t xml:space="preserve">Voor het aantal en bedrag van de ontvangen, geregistreerde en geweigerde Winwinleningen wordt verwezen naar de antwoorden op </w:t>
      </w:r>
      <w:r>
        <w:rPr>
          <w:i w:val="0"/>
        </w:rPr>
        <w:t>de deel</w:t>
      </w:r>
      <w:r w:rsidR="001377B2">
        <w:rPr>
          <w:i w:val="0"/>
        </w:rPr>
        <w:t xml:space="preserve">vragen 1 t.e.m. 4 van de </w:t>
      </w:r>
      <w:r>
        <w:rPr>
          <w:i w:val="0"/>
        </w:rPr>
        <w:t xml:space="preserve">schriftelijke vraag nr. 253 van 30 januari 2013 van </w:t>
      </w:r>
      <w:r w:rsidRPr="004F0B47">
        <w:rPr>
          <w:i w:val="0"/>
        </w:rPr>
        <w:t>Robrecht Bothuyne</w:t>
      </w:r>
      <w:r>
        <w:rPr>
          <w:i w:val="0"/>
        </w:rPr>
        <w:t>.</w:t>
      </w:r>
    </w:p>
    <w:p w:rsidR="004F0B47" w:rsidRDefault="004F0B47" w:rsidP="00A03A76">
      <w:pPr>
        <w:pStyle w:val="SVTitel"/>
        <w:ind w:left="732" w:hanging="366"/>
        <w:jc w:val="left"/>
        <w:rPr>
          <w:i w:val="0"/>
        </w:rPr>
      </w:pPr>
    </w:p>
    <w:p w:rsidR="004F0B47" w:rsidRDefault="004F0B47" w:rsidP="00A03A76">
      <w:pPr>
        <w:pStyle w:val="SVTitel"/>
        <w:ind w:left="366" w:hanging="366"/>
        <w:jc w:val="left"/>
        <w:rPr>
          <w:i w:val="0"/>
        </w:rPr>
      </w:pPr>
      <w:r>
        <w:rPr>
          <w:i w:val="0"/>
        </w:rPr>
        <w:t>1b.</w:t>
      </w:r>
      <w:r>
        <w:rPr>
          <w:i w:val="0"/>
        </w:rPr>
        <w:tab/>
        <w:t>Zie onderstaande tabel (bedragen in euro).</w:t>
      </w:r>
    </w:p>
    <w:p w:rsidR="00A26B76" w:rsidRDefault="00A26B76" w:rsidP="00A03A76">
      <w:pPr>
        <w:pStyle w:val="SVTitel"/>
        <w:tabs>
          <w:tab w:val="left" w:pos="426"/>
          <w:tab w:val="left" w:pos="709"/>
        </w:tabs>
        <w:ind w:left="366" w:firstLine="6"/>
        <w:jc w:val="left"/>
        <w:rPr>
          <w:i w:val="0"/>
        </w:rPr>
      </w:pPr>
    </w:p>
    <w:tbl>
      <w:tblPr>
        <w:tblW w:w="4888" w:type="pct"/>
        <w:tblInd w:w="496" w:type="dxa"/>
        <w:tblCellMar>
          <w:left w:w="70" w:type="dxa"/>
          <w:right w:w="70" w:type="dxa"/>
        </w:tblCellMar>
        <w:tblLook w:val="04A0" w:firstRow="1" w:lastRow="0" w:firstColumn="1" w:lastColumn="0" w:noHBand="0" w:noVBand="1"/>
      </w:tblPr>
      <w:tblGrid>
        <w:gridCol w:w="1725"/>
        <w:gridCol w:w="1042"/>
        <w:gridCol w:w="1042"/>
        <w:gridCol w:w="1040"/>
        <w:gridCol w:w="1040"/>
        <w:gridCol w:w="1039"/>
        <w:gridCol w:w="1039"/>
        <w:gridCol w:w="1039"/>
      </w:tblGrid>
      <w:tr w:rsidR="004F0B47" w:rsidRPr="004F0B47" w:rsidTr="008B154E">
        <w:trPr>
          <w:trHeight w:val="70"/>
        </w:trPr>
        <w:tc>
          <w:tcPr>
            <w:tcW w:w="957"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374367" w:rsidRPr="004F0B47" w:rsidRDefault="00374367" w:rsidP="00374367">
            <w:pPr>
              <w:rPr>
                <w:b/>
                <w:color w:val="000000"/>
                <w:sz w:val="20"/>
                <w:lang w:val="nl-BE" w:eastAsia="nl-BE"/>
              </w:rPr>
            </w:pPr>
            <w:r w:rsidRPr="004F0B47">
              <w:rPr>
                <w:b/>
                <w:color w:val="000000"/>
                <w:sz w:val="20"/>
                <w:lang w:val="nl-BE" w:eastAsia="nl-BE"/>
              </w:rPr>
              <w:t> </w:t>
            </w:r>
          </w:p>
        </w:tc>
        <w:tc>
          <w:tcPr>
            <w:tcW w:w="578"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2006</w:t>
            </w:r>
          </w:p>
        </w:tc>
        <w:tc>
          <w:tcPr>
            <w:tcW w:w="578"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2007</w:t>
            </w:r>
          </w:p>
        </w:tc>
        <w:tc>
          <w:tcPr>
            <w:tcW w:w="577"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2008</w:t>
            </w:r>
          </w:p>
        </w:tc>
        <w:tc>
          <w:tcPr>
            <w:tcW w:w="577"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2009</w:t>
            </w:r>
          </w:p>
        </w:tc>
        <w:tc>
          <w:tcPr>
            <w:tcW w:w="577"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2010</w:t>
            </w:r>
          </w:p>
        </w:tc>
        <w:tc>
          <w:tcPr>
            <w:tcW w:w="577"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2011</w:t>
            </w:r>
          </w:p>
        </w:tc>
        <w:tc>
          <w:tcPr>
            <w:tcW w:w="577"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374367" w:rsidRPr="004F0B47" w:rsidRDefault="00374367" w:rsidP="00374367">
            <w:pPr>
              <w:jc w:val="right"/>
              <w:rPr>
                <w:b/>
                <w:color w:val="000000"/>
                <w:sz w:val="20"/>
                <w:lang w:val="nl-BE" w:eastAsia="nl-BE"/>
              </w:rPr>
            </w:pPr>
            <w:r w:rsidRPr="004F0B47">
              <w:rPr>
                <w:b/>
                <w:color w:val="000000"/>
                <w:sz w:val="20"/>
                <w:lang w:val="nl-BE" w:eastAsia="nl-BE"/>
              </w:rPr>
              <w:t>2012</w:t>
            </w:r>
          </w:p>
        </w:tc>
      </w:tr>
      <w:tr w:rsidR="004F0B47" w:rsidRPr="004F0B47" w:rsidTr="008B154E">
        <w:trPr>
          <w:trHeight w:val="70"/>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374367" w:rsidRPr="004F0B47" w:rsidRDefault="00374367" w:rsidP="00374367">
            <w:pPr>
              <w:rPr>
                <w:color w:val="000000"/>
                <w:sz w:val="20"/>
                <w:lang w:val="nl-BE" w:eastAsia="nl-BE"/>
              </w:rPr>
            </w:pPr>
            <w:r w:rsidRPr="004F0B47">
              <w:rPr>
                <w:color w:val="000000"/>
                <w:sz w:val="20"/>
                <w:lang w:val="nl-BE" w:eastAsia="nl-BE"/>
              </w:rPr>
              <w:t>Gemiddeld bedrag</w:t>
            </w:r>
          </w:p>
        </w:tc>
        <w:tc>
          <w:tcPr>
            <w:tcW w:w="578"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25.325,20</w:t>
            </w:r>
          </w:p>
        </w:tc>
        <w:tc>
          <w:tcPr>
            <w:tcW w:w="578"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26.575,08</w:t>
            </w:r>
          </w:p>
        </w:tc>
        <w:tc>
          <w:tcPr>
            <w:tcW w:w="577"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26.404,30</w:t>
            </w:r>
          </w:p>
        </w:tc>
        <w:tc>
          <w:tcPr>
            <w:tcW w:w="577"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26.075,62</w:t>
            </w:r>
          </w:p>
        </w:tc>
        <w:tc>
          <w:tcPr>
            <w:tcW w:w="577"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24.858,88</w:t>
            </w:r>
          </w:p>
        </w:tc>
        <w:tc>
          <w:tcPr>
            <w:tcW w:w="577"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28.483,57</w:t>
            </w:r>
          </w:p>
        </w:tc>
        <w:tc>
          <w:tcPr>
            <w:tcW w:w="577" w:type="pct"/>
            <w:tcBorders>
              <w:top w:val="nil"/>
              <w:left w:val="nil"/>
              <w:bottom w:val="single" w:sz="4" w:space="0" w:color="auto"/>
              <w:right w:val="single" w:sz="4" w:space="0" w:color="auto"/>
            </w:tcBorders>
            <w:shd w:val="clear" w:color="auto" w:fill="auto"/>
            <w:noWrap/>
            <w:vAlign w:val="bottom"/>
            <w:hideMark/>
          </w:tcPr>
          <w:p w:rsidR="00374367" w:rsidRPr="004F0B47" w:rsidRDefault="00374367" w:rsidP="00374367">
            <w:pPr>
              <w:jc w:val="right"/>
              <w:rPr>
                <w:color w:val="000000"/>
                <w:sz w:val="20"/>
                <w:lang w:val="nl-BE" w:eastAsia="nl-BE"/>
              </w:rPr>
            </w:pPr>
            <w:r w:rsidRPr="004F0B47">
              <w:rPr>
                <w:color w:val="000000"/>
                <w:sz w:val="20"/>
                <w:lang w:val="nl-BE" w:eastAsia="nl-BE"/>
              </w:rPr>
              <w:t>27.446,97</w:t>
            </w:r>
          </w:p>
        </w:tc>
      </w:tr>
    </w:tbl>
    <w:p w:rsidR="00A26B76" w:rsidRDefault="00A26B76" w:rsidP="004F0B47">
      <w:pPr>
        <w:pStyle w:val="SVTitel"/>
        <w:tabs>
          <w:tab w:val="left" w:pos="426"/>
          <w:tab w:val="left" w:pos="709"/>
        </w:tabs>
        <w:ind w:left="360" w:firstLine="6"/>
        <w:jc w:val="left"/>
        <w:rPr>
          <w:i w:val="0"/>
        </w:rPr>
      </w:pPr>
    </w:p>
    <w:p w:rsidR="00BB5D62" w:rsidRDefault="00BB5D62" w:rsidP="004F0B47">
      <w:pPr>
        <w:pStyle w:val="SVTitel"/>
        <w:tabs>
          <w:tab w:val="left" w:pos="426"/>
          <w:tab w:val="left" w:pos="709"/>
        </w:tabs>
        <w:ind w:left="360" w:firstLine="6"/>
        <w:jc w:val="left"/>
        <w:rPr>
          <w:i w:val="0"/>
        </w:rPr>
      </w:pPr>
    </w:p>
    <w:p w:rsidR="000B13CA" w:rsidRDefault="004F0B47" w:rsidP="00272FD3">
      <w:pPr>
        <w:pStyle w:val="SVTitel"/>
        <w:ind w:left="360" w:hanging="360"/>
        <w:rPr>
          <w:i w:val="0"/>
        </w:rPr>
      </w:pPr>
      <w:r>
        <w:rPr>
          <w:i w:val="0"/>
        </w:rPr>
        <w:t>2a.</w:t>
      </w:r>
      <w:r>
        <w:rPr>
          <w:i w:val="0"/>
        </w:rPr>
        <w:tab/>
      </w:r>
      <w:r w:rsidR="000B13CA">
        <w:rPr>
          <w:i w:val="0"/>
        </w:rPr>
        <w:t>Op basis van de gegevens die door de kredietgever ter beschikking zijn gesteld aan Waarborgb</w:t>
      </w:r>
      <w:r w:rsidR="000B13CA">
        <w:rPr>
          <w:i w:val="0"/>
        </w:rPr>
        <w:t>e</w:t>
      </w:r>
      <w:r w:rsidR="000B13CA">
        <w:rPr>
          <w:i w:val="0"/>
        </w:rPr>
        <w:t>heer nv kan onderstaande tabel worden opgemaakt. Voor een aantal Winwinleningen (van voor 2011) is er geen KBO-n</w:t>
      </w:r>
      <w:r>
        <w:rPr>
          <w:i w:val="0"/>
        </w:rPr>
        <w:t>ummer</w:t>
      </w:r>
      <w:r w:rsidR="000B13CA">
        <w:rPr>
          <w:i w:val="0"/>
        </w:rPr>
        <w:t xml:space="preserve"> beschikbaar (vrije beroepen of zaakvoerders die het KBO-nummer niet hebben doorgegeven). </w:t>
      </w:r>
      <w:r w:rsidR="00F81714">
        <w:rPr>
          <w:i w:val="0"/>
        </w:rPr>
        <w:t>Met de Winwinleningen waarvoor onvoldoende gegevens beschikbaar zijn</w:t>
      </w:r>
      <w:r>
        <w:rPr>
          <w:i w:val="0"/>
        </w:rPr>
        <w:t>,</w:t>
      </w:r>
      <w:r w:rsidR="00F81714">
        <w:rPr>
          <w:i w:val="0"/>
        </w:rPr>
        <w:t xml:space="preserve"> wordt geen rekening gehouden in onderstaande tabel. Het totaal aantal Winwinleningen in onderstaande tabel verschilt dan ook van het totaal aantal effectief geregistreerde Winwinleningen sinds de start van de regeling in 2006.</w:t>
      </w:r>
    </w:p>
    <w:p w:rsidR="000B13CA" w:rsidRDefault="000B13CA" w:rsidP="004F0B47">
      <w:pPr>
        <w:pStyle w:val="SVTitel"/>
        <w:ind w:left="360"/>
        <w:jc w:val="left"/>
        <w:rPr>
          <w:i w:val="0"/>
        </w:rPr>
      </w:pPr>
    </w:p>
    <w:tbl>
      <w:tblPr>
        <w:tblW w:w="3217" w:type="pct"/>
        <w:tblInd w:w="496" w:type="dxa"/>
        <w:tblCellMar>
          <w:left w:w="70" w:type="dxa"/>
          <w:right w:w="70" w:type="dxa"/>
        </w:tblCellMar>
        <w:tblLook w:val="04A0" w:firstRow="1" w:lastRow="0" w:firstColumn="1" w:lastColumn="0" w:noHBand="0" w:noVBand="1"/>
      </w:tblPr>
      <w:tblGrid>
        <w:gridCol w:w="1373"/>
        <w:gridCol w:w="2385"/>
        <w:gridCol w:w="2169"/>
      </w:tblGrid>
      <w:tr w:rsidR="000B13CA" w:rsidRPr="004F0B47" w:rsidTr="008B154E">
        <w:trPr>
          <w:trHeight w:val="70"/>
        </w:trPr>
        <w:tc>
          <w:tcPr>
            <w:tcW w:w="1188"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0B13CA" w:rsidRPr="004F0B47" w:rsidRDefault="000B13CA" w:rsidP="000B13CA">
            <w:pPr>
              <w:rPr>
                <w:b/>
                <w:color w:val="000000"/>
                <w:sz w:val="20"/>
                <w:lang w:val="nl-BE" w:eastAsia="nl-BE"/>
              </w:rPr>
            </w:pPr>
            <w:r w:rsidRPr="004F0B47">
              <w:rPr>
                <w:b/>
                <w:color w:val="000000"/>
                <w:sz w:val="20"/>
                <w:lang w:val="nl-BE" w:eastAsia="nl-BE"/>
              </w:rPr>
              <w:t> </w:t>
            </w:r>
          </w:p>
        </w:tc>
        <w:tc>
          <w:tcPr>
            <w:tcW w:w="1993"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0B13CA" w:rsidRPr="004F0B47" w:rsidRDefault="000B13CA" w:rsidP="000B13CA">
            <w:pPr>
              <w:rPr>
                <w:b/>
                <w:color w:val="000000"/>
                <w:sz w:val="20"/>
                <w:lang w:val="nl-BE" w:eastAsia="nl-BE"/>
              </w:rPr>
            </w:pPr>
            <w:r w:rsidRPr="004F0B47">
              <w:rPr>
                <w:b/>
                <w:color w:val="000000"/>
                <w:sz w:val="20"/>
                <w:lang w:val="nl-BE" w:eastAsia="nl-BE"/>
              </w:rPr>
              <w:t>Aantal verschillende KBO</w:t>
            </w:r>
          </w:p>
        </w:tc>
        <w:tc>
          <w:tcPr>
            <w:tcW w:w="1820"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0B13CA" w:rsidRPr="004F0B47" w:rsidRDefault="000B13CA" w:rsidP="000B13CA">
            <w:pPr>
              <w:rPr>
                <w:b/>
                <w:color w:val="000000"/>
                <w:sz w:val="20"/>
                <w:lang w:val="nl-BE" w:eastAsia="nl-BE"/>
              </w:rPr>
            </w:pPr>
            <w:r w:rsidRPr="004F0B47">
              <w:rPr>
                <w:b/>
                <w:color w:val="000000"/>
                <w:sz w:val="20"/>
                <w:lang w:val="nl-BE" w:eastAsia="nl-BE"/>
              </w:rPr>
              <w:t>Aantal Winwin</w:t>
            </w:r>
            <w:r w:rsidR="00374367" w:rsidRPr="004F0B47">
              <w:rPr>
                <w:b/>
                <w:color w:val="000000"/>
                <w:sz w:val="20"/>
                <w:lang w:val="nl-BE" w:eastAsia="nl-BE"/>
              </w:rPr>
              <w:t>leningen</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0-10000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366</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396</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10000-20000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504</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606</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20000-30000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460</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545</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30000-40000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182</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249</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40000-50000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828</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1064</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50000-60000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33</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87</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60000-70000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33</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83</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70000-80000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33</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83</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80000-90000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21</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66</w:t>
            </w:r>
          </w:p>
        </w:tc>
      </w:tr>
      <w:tr w:rsidR="000B13CA" w:rsidRPr="004F0B47" w:rsidTr="008B154E">
        <w:trPr>
          <w:trHeight w:val="7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B13CA" w:rsidRPr="004F0B47" w:rsidRDefault="000B13CA" w:rsidP="000B13CA">
            <w:pPr>
              <w:rPr>
                <w:color w:val="000000"/>
                <w:sz w:val="20"/>
                <w:lang w:val="nl-BE" w:eastAsia="nl-BE"/>
              </w:rPr>
            </w:pPr>
            <w:r w:rsidRPr="004F0B47">
              <w:rPr>
                <w:color w:val="000000"/>
                <w:sz w:val="20"/>
                <w:lang w:val="nl-BE" w:eastAsia="nl-BE"/>
              </w:rPr>
              <w:t>90000-100000</w:t>
            </w:r>
          </w:p>
        </w:tc>
        <w:tc>
          <w:tcPr>
            <w:tcW w:w="1993"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149</w:t>
            </w:r>
          </w:p>
        </w:tc>
        <w:tc>
          <w:tcPr>
            <w:tcW w:w="1820" w:type="pct"/>
            <w:tcBorders>
              <w:top w:val="nil"/>
              <w:left w:val="nil"/>
              <w:bottom w:val="single" w:sz="4" w:space="0" w:color="auto"/>
              <w:right w:val="single" w:sz="4" w:space="0" w:color="auto"/>
            </w:tcBorders>
            <w:shd w:val="clear" w:color="auto" w:fill="auto"/>
            <w:noWrap/>
            <w:vAlign w:val="bottom"/>
            <w:hideMark/>
          </w:tcPr>
          <w:p w:rsidR="000B13CA" w:rsidRPr="004F0B47" w:rsidRDefault="000B13CA" w:rsidP="000B13CA">
            <w:pPr>
              <w:jc w:val="right"/>
              <w:rPr>
                <w:color w:val="000000"/>
                <w:sz w:val="20"/>
                <w:lang w:val="nl-BE" w:eastAsia="nl-BE"/>
              </w:rPr>
            </w:pPr>
            <w:r w:rsidRPr="004F0B47">
              <w:rPr>
                <w:color w:val="000000"/>
                <w:sz w:val="20"/>
                <w:lang w:val="nl-BE" w:eastAsia="nl-BE"/>
              </w:rPr>
              <w:t>496</w:t>
            </w:r>
          </w:p>
        </w:tc>
      </w:tr>
    </w:tbl>
    <w:p w:rsidR="000B13CA" w:rsidRDefault="000B13CA" w:rsidP="004F0B47">
      <w:pPr>
        <w:pStyle w:val="SVTitel"/>
        <w:ind w:left="420"/>
        <w:jc w:val="left"/>
        <w:rPr>
          <w:i w:val="0"/>
        </w:rPr>
      </w:pPr>
    </w:p>
    <w:p w:rsidR="004F0B47" w:rsidRDefault="004F0B47" w:rsidP="00272FD3">
      <w:pPr>
        <w:pStyle w:val="SVTitel"/>
        <w:ind w:left="420" w:hanging="420"/>
        <w:rPr>
          <w:i w:val="0"/>
        </w:rPr>
      </w:pPr>
      <w:r>
        <w:rPr>
          <w:i w:val="0"/>
        </w:rPr>
        <w:t>2b.</w:t>
      </w:r>
      <w:r>
        <w:rPr>
          <w:i w:val="0"/>
        </w:rPr>
        <w:tab/>
      </w:r>
      <w:r w:rsidRPr="004F0B47">
        <w:rPr>
          <w:i w:val="0"/>
        </w:rPr>
        <w:t>Op basis van de informatie die door de kredietgever ter beschikking werd gesteld aan Waarbor</w:t>
      </w:r>
      <w:r w:rsidRPr="004F0B47">
        <w:rPr>
          <w:i w:val="0"/>
        </w:rPr>
        <w:t>g</w:t>
      </w:r>
      <w:r w:rsidRPr="004F0B47">
        <w:rPr>
          <w:i w:val="0"/>
        </w:rPr>
        <w:t>beheer nv kan onderstaande tabel worden opgemaakt. Er wordt rekening gehouden met alle ger</w:t>
      </w:r>
      <w:r w:rsidRPr="004F0B47">
        <w:rPr>
          <w:i w:val="0"/>
        </w:rPr>
        <w:t>e</w:t>
      </w:r>
      <w:r w:rsidRPr="004F0B47">
        <w:rPr>
          <w:i w:val="0"/>
        </w:rPr>
        <w:t>gistreerde Winwinleningen tot heden. Het is mogelijk dat een Winwinlening geschrapt wordt en dat dezelfde kredietgever nadien een nieuwe Winwinlening toekent. Dit verklaart dat er op dit moment kredietgevers zijn die in totaal reeds meer dan 50.000 euro in hoofdsom hebben toeg</w:t>
      </w:r>
      <w:r w:rsidRPr="004F0B47">
        <w:rPr>
          <w:i w:val="0"/>
        </w:rPr>
        <w:t>e</w:t>
      </w:r>
      <w:r w:rsidRPr="004F0B47">
        <w:rPr>
          <w:i w:val="0"/>
        </w:rPr>
        <w:t>staan, verspreid over meerdere Winwinleningen.</w:t>
      </w:r>
    </w:p>
    <w:p w:rsidR="004F0B47" w:rsidRDefault="004F0B47">
      <w:pPr>
        <w:rPr>
          <w:sz w:val="22"/>
        </w:rPr>
      </w:pPr>
      <w:r>
        <w:rPr>
          <w:i/>
        </w:rPr>
        <w:br w:type="page"/>
      </w:r>
    </w:p>
    <w:p w:rsidR="000B13CA" w:rsidRDefault="000B13CA" w:rsidP="004F0B47">
      <w:pPr>
        <w:pStyle w:val="SVTitel"/>
        <w:ind w:left="420"/>
        <w:jc w:val="left"/>
        <w:rPr>
          <w:i w:val="0"/>
        </w:rPr>
      </w:pPr>
    </w:p>
    <w:tbl>
      <w:tblPr>
        <w:tblW w:w="2876" w:type="pct"/>
        <w:tblInd w:w="496" w:type="dxa"/>
        <w:tblCellMar>
          <w:left w:w="70" w:type="dxa"/>
          <w:right w:w="70" w:type="dxa"/>
        </w:tblCellMar>
        <w:tblLook w:val="04A0" w:firstRow="1" w:lastRow="0" w:firstColumn="1" w:lastColumn="0" w:noHBand="0" w:noVBand="1"/>
      </w:tblPr>
      <w:tblGrid>
        <w:gridCol w:w="1251"/>
        <w:gridCol w:w="1879"/>
        <w:gridCol w:w="2169"/>
      </w:tblGrid>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pct10" w:color="auto" w:fill="FFFFFF" w:themeFill="background1"/>
            <w:noWrap/>
            <w:vAlign w:val="bottom"/>
            <w:hideMark/>
          </w:tcPr>
          <w:p w:rsidR="008B154E" w:rsidRPr="004F0B47" w:rsidRDefault="008B154E" w:rsidP="00F05121">
            <w:pPr>
              <w:rPr>
                <w:b/>
                <w:color w:val="000000"/>
                <w:sz w:val="20"/>
                <w:lang w:val="nl-BE" w:eastAsia="nl-BE"/>
              </w:rPr>
            </w:pPr>
            <w:r w:rsidRPr="004F0B47">
              <w:rPr>
                <w:b/>
                <w:color w:val="000000"/>
                <w:sz w:val="20"/>
                <w:lang w:val="nl-BE" w:eastAsia="nl-BE"/>
              </w:rPr>
              <w:t> </w:t>
            </w:r>
          </w:p>
        </w:tc>
        <w:tc>
          <w:tcPr>
            <w:tcW w:w="1731"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8B154E" w:rsidRPr="004F0B47" w:rsidRDefault="008B154E" w:rsidP="00F05121">
            <w:pPr>
              <w:rPr>
                <w:b/>
                <w:color w:val="000000"/>
                <w:sz w:val="20"/>
                <w:lang w:val="nl-BE" w:eastAsia="nl-BE"/>
              </w:rPr>
            </w:pPr>
            <w:r w:rsidRPr="004F0B47">
              <w:rPr>
                <w:b/>
                <w:color w:val="000000"/>
                <w:sz w:val="20"/>
                <w:lang w:val="nl-BE" w:eastAsia="nl-BE"/>
              </w:rPr>
              <w:t>Aantal particulieren</w:t>
            </w:r>
          </w:p>
        </w:tc>
        <w:tc>
          <w:tcPr>
            <w:tcW w:w="2036" w:type="pct"/>
            <w:tcBorders>
              <w:top w:val="single" w:sz="4" w:space="0" w:color="auto"/>
              <w:left w:val="nil"/>
              <w:bottom w:val="single" w:sz="4" w:space="0" w:color="auto"/>
              <w:right w:val="single" w:sz="4" w:space="0" w:color="auto"/>
            </w:tcBorders>
            <w:shd w:val="pct10" w:color="auto" w:fill="FFFFFF" w:themeFill="background1"/>
            <w:noWrap/>
            <w:vAlign w:val="bottom"/>
            <w:hideMark/>
          </w:tcPr>
          <w:p w:rsidR="008B154E" w:rsidRPr="004F0B47" w:rsidRDefault="008B154E" w:rsidP="00F05121">
            <w:pPr>
              <w:rPr>
                <w:b/>
                <w:color w:val="000000"/>
                <w:sz w:val="20"/>
                <w:lang w:val="nl-BE" w:eastAsia="nl-BE"/>
              </w:rPr>
            </w:pPr>
            <w:r w:rsidRPr="004F0B47">
              <w:rPr>
                <w:b/>
                <w:color w:val="000000"/>
                <w:sz w:val="20"/>
                <w:lang w:val="nl-BE" w:eastAsia="nl-BE"/>
              </w:rPr>
              <w:t>Aantal Winwinleningen</w:t>
            </w:r>
          </w:p>
        </w:tc>
      </w:tr>
      <w:tr w:rsidR="008B154E" w:rsidRPr="004F0B47" w:rsidTr="008B154E">
        <w:trPr>
          <w:trHeight w:val="7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8B154E" w:rsidRPr="004F0B47" w:rsidRDefault="008B154E" w:rsidP="00F05121">
            <w:pPr>
              <w:rPr>
                <w:color w:val="000000"/>
                <w:sz w:val="20"/>
                <w:lang w:val="nl-BE" w:eastAsia="nl-BE"/>
              </w:rPr>
            </w:pPr>
            <w:r w:rsidRPr="004F0B47">
              <w:rPr>
                <w:color w:val="000000"/>
                <w:sz w:val="20"/>
                <w:lang w:val="nl-BE" w:eastAsia="nl-BE"/>
              </w:rPr>
              <w:t>0-10000</w:t>
            </w:r>
          </w:p>
        </w:tc>
        <w:tc>
          <w:tcPr>
            <w:tcW w:w="1731"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719</w:t>
            </w:r>
          </w:p>
        </w:tc>
        <w:tc>
          <w:tcPr>
            <w:tcW w:w="2036"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735</w:t>
            </w:r>
          </w:p>
        </w:tc>
      </w:tr>
      <w:tr w:rsidR="008B154E" w:rsidRPr="004F0B47" w:rsidTr="008B154E">
        <w:trPr>
          <w:trHeight w:val="7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8B154E" w:rsidRPr="004F0B47" w:rsidRDefault="008B154E" w:rsidP="00F05121">
            <w:pPr>
              <w:rPr>
                <w:color w:val="000000"/>
                <w:sz w:val="20"/>
                <w:lang w:val="nl-BE" w:eastAsia="nl-BE"/>
              </w:rPr>
            </w:pPr>
            <w:r w:rsidRPr="004F0B47">
              <w:rPr>
                <w:color w:val="000000"/>
                <w:sz w:val="20"/>
                <w:lang w:val="nl-BE" w:eastAsia="nl-BE"/>
              </w:rPr>
              <w:t>10000-20000</w:t>
            </w:r>
          </w:p>
        </w:tc>
        <w:tc>
          <w:tcPr>
            <w:tcW w:w="1731"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612</w:t>
            </w:r>
          </w:p>
        </w:tc>
        <w:tc>
          <w:tcPr>
            <w:tcW w:w="2036"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735</w:t>
            </w:r>
          </w:p>
        </w:tc>
      </w:tr>
      <w:tr w:rsidR="008B154E" w:rsidRPr="004F0B47" w:rsidTr="008B154E">
        <w:trPr>
          <w:trHeight w:val="7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8B154E" w:rsidRPr="004F0B47" w:rsidRDefault="008B154E" w:rsidP="00F05121">
            <w:pPr>
              <w:rPr>
                <w:color w:val="000000"/>
                <w:sz w:val="20"/>
                <w:lang w:val="nl-BE" w:eastAsia="nl-BE"/>
              </w:rPr>
            </w:pPr>
            <w:r w:rsidRPr="004F0B47">
              <w:rPr>
                <w:color w:val="000000"/>
                <w:sz w:val="20"/>
                <w:lang w:val="nl-BE" w:eastAsia="nl-BE"/>
              </w:rPr>
              <w:t>20000-30000</w:t>
            </w:r>
          </w:p>
        </w:tc>
        <w:tc>
          <w:tcPr>
            <w:tcW w:w="1731"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716</w:t>
            </w:r>
          </w:p>
        </w:tc>
        <w:tc>
          <w:tcPr>
            <w:tcW w:w="2036"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744</w:t>
            </w:r>
          </w:p>
        </w:tc>
      </w:tr>
      <w:tr w:rsidR="008B154E" w:rsidRPr="004F0B47" w:rsidTr="008B154E">
        <w:trPr>
          <w:trHeight w:val="7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8B154E" w:rsidRPr="004F0B47" w:rsidRDefault="008B154E" w:rsidP="00F05121">
            <w:pPr>
              <w:rPr>
                <w:color w:val="000000"/>
                <w:sz w:val="20"/>
                <w:lang w:val="nl-BE" w:eastAsia="nl-BE"/>
              </w:rPr>
            </w:pPr>
            <w:r w:rsidRPr="004F0B47">
              <w:rPr>
                <w:color w:val="000000"/>
                <w:sz w:val="20"/>
                <w:lang w:val="nl-BE" w:eastAsia="nl-BE"/>
              </w:rPr>
              <w:t>30000-40000</w:t>
            </w:r>
          </w:p>
        </w:tc>
        <w:tc>
          <w:tcPr>
            <w:tcW w:w="1731"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228</w:t>
            </w:r>
          </w:p>
        </w:tc>
        <w:tc>
          <w:tcPr>
            <w:tcW w:w="2036"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274</w:t>
            </w:r>
          </w:p>
        </w:tc>
      </w:tr>
      <w:tr w:rsidR="008B154E" w:rsidRPr="004F0B47" w:rsidTr="008B154E">
        <w:trPr>
          <w:trHeight w:val="7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8B154E" w:rsidRPr="004F0B47" w:rsidRDefault="008B154E" w:rsidP="00F05121">
            <w:pPr>
              <w:rPr>
                <w:color w:val="000000"/>
                <w:sz w:val="20"/>
                <w:lang w:val="nl-BE" w:eastAsia="nl-BE"/>
              </w:rPr>
            </w:pPr>
            <w:r w:rsidRPr="004F0B47">
              <w:rPr>
                <w:color w:val="000000"/>
                <w:sz w:val="20"/>
                <w:lang w:val="nl-BE" w:eastAsia="nl-BE"/>
              </w:rPr>
              <w:t>40000-50000</w:t>
            </w:r>
          </w:p>
        </w:tc>
        <w:tc>
          <w:tcPr>
            <w:tcW w:w="1731"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1161</w:t>
            </w:r>
          </w:p>
        </w:tc>
        <w:tc>
          <w:tcPr>
            <w:tcW w:w="2036" w:type="pct"/>
            <w:tcBorders>
              <w:top w:val="nil"/>
              <w:left w:val="nil"/>
              <w:bottom w:val="single" w:sz="4" w:space="0" w:color="auto"/>
              <w:right w:val="single" w:sz="4" w:space="0" w:color="auto"/>
            </w:tcBorders>
            <w:shd w:val="clear" w:color="auto" w:fill="auto"/>
            <w:noWrap/>
            <w:vAlign w:val="bottom"/>
            <w:hideMark/>
          </w:tcPr>
          <w:p w:rsidR="008B154E" w:rsidRPr="004F0B47" w:rsidRDefault="008B154E" w:rsidP="00F05121">
            <w:pPr>
              <w:jc w:val="right"/>
              <w:rPr>
                <w:color w:val="000000"/>
                <w:sz w:val="20"/>
                <w:lang w:val="nl-BE" w:eastAsia="nl-BE"/>
              </w:rPr>
            </w:pPr>
            <w:r w:rsidRPr="004F0B47">
              <w:rPr>
                <w:color w:val="000000"/>
                <w:sz w:val="20"/>
                <w:lang w:val="nl-BE" w:eastAsia="nl-BE"/>
              </w:rPr>
              <w:t>1251</w:t>
            </w:r>
          </w:p>
        </w:tc>
      </w:tr>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154E" w:rsidRPr="004F0B47" w:rsidRDefault="008B154E" w:rsidP="00F05121">
            <w:pPr>
              <w:rPr>
                <w:color w:val="000000"/>
                <w:sz w:val="20"/>
                <w:lang w:val="nl-BE" w:eastAsia="nl-BE"/>
              </w:rPr>
            </w:pPr>
            <w:r w:rsidRPr="004F0B47">
              <w:rPr>
                <w:color w:val="000000"/>
                <w:sz w:val="20"/>
                <w:lang w:val="nl-BE" w:eastAsia="nl-BE"/>
              </w:rPr>
              <w:t>50000-60000</w:t>
            </w:r>
          </w:p>
        </w:tc>
        <w:tc>
          <w:tcPr>
            <w:tcW w:w="1731"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3</w:t>
            </w:r>
          </w:p>
        </w:tc>
        <w:tc>
          <w:tcPr>
            <w:tcW w:w="2036"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7</w:t>
            </w:r>
          </w:p>
        </w:tc>
      </w:tr>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154E" w:rsidRPr="004F0B47" w:rsidRDefault="008B154E" w:rsidP="00F05121">
            <w:pPr>
              <w:rPr>
                <w:color w:val="000000"/>
                <w:sz w:val="20"/>
                <w:lang w:val="nl-BE" w:eastAsia="nl-BE"/>
              </w:rPr>
            </w:pPr>
            <w:r w:rsidRPr="004F0B47">
              <w:rPr>
                <w:color w:val="000000"/>
                <w:sz w:val="20"/>
                <w:lang w:val="nl-BE" w:eastAsia="nl-BE"/>
              </w:rPr>
              <w:t>60000-70000</w:t>
            </w:r>
          </w:p>
        </w:tc>
        <w:tc>
          <w:tcPr>
            <w:tcW w:w="1731"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0</w:t>
            </w:r>
          </w:p>
        </w:tc>
        <w:tc>
          <w:tcPr>
            <w:tcW w:w="2036"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0</w:t>
            </w:r>
          </w:p>
        </w:tc>
      </w:tr>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154E" w:rsidRPr="004F0B47" w:rsidRDefault="008B154E" w:rsidP="00F05121">
            <w:pPr>
              <w:rPr>
                <w:color w:val="000000"/>
                <w:sz w:val="20"/>
                <w:lang w:val="nl-BE" w:eastAsia="nl-BE"/>
              </w:rPr>
            </w:pPr>
            <w:r w:rsidRPr="004F0B47">
              <w:rPr>
                <w:color w:val="000000"/>
                <w:sz w:val="20"/>
                <w:lang w:val="nl-BE" w:eastAsia="nl-BE"/>
              </w:rPr>
              <w:t>70000-80000</w:t>
            </w:r>
          </w:p>
        </w:tc>
        <w:tc>
          <w:tcPr>
            <w:tcW w:w="1731"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2</w:t>
            </w:r>
          </w:p>
        </w:tc>
        <w:tc>
          <w:tcPr>
            <w:tcW w:w="2036"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4</w:t>
            </w:r>
          </w:p>
        </w:tc>
      </w:tr>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154E" w:rsidRPr="004F0B47" w:rsidRDefault="008B154E" w:rsidP="00F05121">
            <w:pPr>
              <w:rPr>
                <w:color w:val="000000"/>
                <w:sz w:val="20"/>
                <w:lang w:val="nl-BE" w:eastAsia="nl-BE"/>
              </w:rPr>
            </w:pPr>
            <w:r w:rsidRPr="004F0B47">
              <w:rPr>
                <w:color w:val="000000"/>
                <w:sz w:val="20"/>
                <w:lang w:val="nl-BE" w:eastAsia="nl-BE"/>
              </w:rPr>
              <w:t>80000-90000</w:t>
            </w:r>
          </w:p>
        </w:tc>
        <w:tc>
          <w:tcPr>
            <w:tcW w:w="1731"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2</w:t>
            </w:r>
          </w:p>
        </w:tc>
        <w:tc>
          <w:tcPr>
            <w:tcW w:w="2036"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4</w:t>
            </w:r>
          </w:p>
        </w:tc>
      </w:tr>
      <w:tr w:rsidR="008B154E" w:rsidRPr="004F0B47" w:rsidTr="008B154E">
        <w:trPr>
          <w:trHeight w:val="70"/>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154E" w:rsidRPr="004F0B47" w:rsidRDefault="008B154E" w:rsidP="00F05121">
            <w:pPr>
              <w:rPr>
                <w:color w:val="000000"/>
                <w:sz w:val="20"/>
                <w:lang w:val="nl-BE" w:eastAsia="nl-BE"/>
              </w:rPr>
            </w:pPr>
            <w:r w:rsidRPr="004F0B47">
              <w:rPr>
                <w:color w:val="000000"/>
                <w:sz w:val="20"/>
                <w:lang w:val="nl-BE" w:eastAsia="nl-BE"/>
              </w:rPr>
              <w:t>90000-10000</w:t>
            </w:r>
          </w:p>
        </w:tc>
        <w:tc>
          <w:tcPr>
            <w:tcW w:w="1731"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3</w:t>
            </w:r>
          </w:p>
        </w:tc>
        <w:tc>
          <w:tcPr>
            <w:tcW w:w="2036" w:type="pct"/>
            <w:tcBorders>
              <w:top w:val="single" w:sz="4" w:space="0" w:color="auto"/>
              <w:left w:val="nil"/>
              <w:bottom w:val="single" w:sz="4" w:space="0" w:color="auto"/>
              <w:right w:val="single" w:sz="4" w:space="0" w:color="auto"/>
            </w:tcBorders>
            <w:shd w:val="clear" w:color="auto" w:fill="auto"/>
            <w:noWrap/>
            <w:vAlign w:val="bottom"/>
          </w:tcPr>
          <w:p w:rsidR="008B154E" w:rsidRPr="004F0B47" w:rsidRDefault="008B154E" w:rsidP="00F05121">
            <w:pPr>
              <w:jc w:val="right"/>
              <w:rPr>
                <w:color w:val="000000"/>
                <w:sz w:val="20"/>
                <w:lang w:val="nl-BE" w:eastAsia="nl-BE"/>
              </w:rPr>
            </w:pPr>
            <w:r w:rsidRPr="004F0B47">
              <w:rPr>
                <w:color w:val="000000"/>
                <w:sz w:val="20"/>
                <w:lang w:val="nl-BE" w:eastAsia="nl-BE"/>
              </w:rPr>
              <w:t>6</w:t>
            </w:r>
          </w:p>
        </w:tc>
      </w:tr>
    </w:tbl>
    <w:p w:rsidR="008B154E" w:rsidRPr="00A03A76" w:rsidRDefault="008B154E" w:rsidP="004F0B47">
      <w:pPr>
        <w:pStyle w:val="SVTitel"/>
        <w:ind w:left="420"/>
        <w:jc w:val="left"/>
        <w:rPr>
          <w:i w:val="0"/>
          <w:szCs w:val="22"/>
        </w:rPr>
      </w:pPr>
    </w:p>
    <w:p w:rsidR="00A26B76" w:rsidRPr="00A03A76" w:rsidRDefault="008B154E" w:rsidP="008B154E">
      <w:pPr>
        <w:pStyle w:val="SVTitel"/>
        <w:ind w:left="420" w:hanging="420"/>
        <w:jc w:val="left"/>
        <w:rPr>
          <w:i w:val="0"/>
          <w:szCs w:val="22"/>
        </w:rPr>
      </w:pPr>
      <w:r w:rsidRPr="00A03A76">
        <w:rPr>
          <w:i w:val="0"/>
          <w:szCs w:val="22"/>
        </w:rPr>
        <w:t>2c.</w:t>
      </w:r>
      <w:r w:rsidRPr="00A03A76">
        <w:rPr>
          <w:i w:val="0"/>
          <w:szCs w:val="22"/>
        </w:rPr>
        <w:tab/>
        <w:t>Hiervoor w</w:t>
      </w:r>
      <w:r w:rsidR="00A26B76" w:rsidRPr="00A03A76">
        <w:rPr>
          <w:i w:val="0"/>
          <w:szCs w:val="22"/>
        </w:rPr>
        <w:t xml:space="preserve">ordt verwezen naar </w:t>
      </w:r>
      <w:r w:rsidRPr="00A03A76">
        <w:rPr>
          <w:i w:val="0"/>
          <w:szCs w:val="22"/>
        </w:rPr>
        <w:t xml:space="preserve">het antwoord op </w:t>
      </w:r>
      <w:r w:rsidR="00A26B76" w:rsidRPr="00A03A76">
        <w:rPr>
          <w:i w:val="0"/>
          <w:szCs w:val="22"/>
        </w:rPr>
        <w:t xml:space="preserve">deelvraag 4 van de </w:t>
      </w:r>
      <w:r w:rsidRPr="00A03A76">
        <w:rPr>
          <w:i w:val="0"/>
          <w:szCs w:val="22"/>
        </w:rPr>
        <w:t>schriftelijke vraag nr. 253 van 30 januari 2013 van Robrecht Bothuyne.</w:t>
      </w:r>
    </w:p>
    <w:p w:rsidR="0076329B" w:rsidRDefault="0076329B" w:rsidP="008B154E">
      <w:pPr>
        <w:pStyle w:val="SVTitel"/>
        <w:ind w:left="420"/>
        <w:rPr>
          <w:i w:val="0"/>
          <w:szCs w:val="22"/>
        </w:rPr>
      </w:pPr>
    </w:p>
    <w:p w:rsidR="00BB5D62" w:rsidRPr="00A03A76" w:rsidRDefault="00BB5D62" w:rsidP="008B154E">
      <w:pPr>
        <w:pStyle w:val="SVTitel"/>
        <w:ind w:left="420"/>
        <w:rPr>
          <w:i w:val="0"/>
          <w:szCs w:val="22"/>
        </w:rPr>
      </w:pPr>
    </w:p>
    <w:p w:rsidR="008B154E" w:rsidRPr="00A03A76" w:rsidRDefault="008B154E" w:rsidP="008B154E">
      <w:pPr>
        <w:pStyle w:val="SVTitel"/>
        <w:ind w:left="420" w:hanging="420"/>
        <w:jc w:val="left"/>
        <w:rPr>
          <w:i w:val="0"/>
          <w:szCs w:val="22"/>
        </w:rPr>
      </w:pPr>
      <w:r w:rsidRPr="00A03A76">
        <w:rPr>
          <w:i w:val="0"/>
          <w:szCs w:val="22"/>
        </w:rPr>
        <w:t>3a.</w:t>
      </w:r>
      <w:r w:rsidRPr="00A03A76">
        <w:rPr>
          <w:i w:val="0"/>
          <w:szCs w:val="22"/>
        </w:rPr>
        <w:tab/>
        <w:t>Zie onderstaande tabel.</w:t>
      </w:r>
    </w:p>
    <w:p w:rsidR="008B154E" w:rsidRPr="00A03A76" w:rsidRDefault="008B154E" w:rsidP="008B154E">
      <w:pPr>
        <w:pStyle w:val="SVTitel"/>
        <w:ind w:left="420"/>
        <w:rPr>
          <w:i w:val="0"/>
          <w:szCs w:val="22"/>
        </w:rPr>
      </w:pPr>
    </w:p>
    <w:tbl>
      <w:tblPr>
        <w:tblW w:w="2499"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2270"/>
        <w:gridCol w:w="1540"/>
      </w:tblGrid>
      <w:tr w:rsidR="00374367" w:rsidRPr="008B154E" w:rsidTr="008B154E">
        <w:trPr>
          <w:trHeight w:val="70"/>
        </w:trPr>
        <w:tc>
          <w:tcPr>
            <w:tcW w:w="863" w:type="pct"/>
            <w:shd w:val="pct10" w:color="auto" w:fill="FFFFFF" w:themeFill="background1"/>
            <w:noWrap/>
            <w:vAlign w:val="bottom"/>
            <w:hideMark/>
          </w:tcPr>
          <w:p w:rsidR="00374367" w:rsidRPr="008B154E" w:rsidRDefault="00374367" w:rsidP="00374367">
            <w:pPr>
              <w:rPr>
                <w:b/>
                <w:color w:val="000000"/>
                <w:sz w:val="20"/>
                <w:lang w:val="nl-BE" w:eastAsia="nl-BE"/>
              </w:rPr>
            </w:pPr>
            <w:r w:rsidRPr="008B154E">
              <w:rPr>
                <w:b/>
                <w:color w:val="000000"/>
                <w:sz w:val="20"/>
                <w:lang w:val="nl-BE" w:eastAsia="nl-BE"/>
              </w:rPr>
              <w:t>Jaar</w:t>
            </w:r>
          </w:p>
        </w:tc>
        <w:tc>
          <w:tcPr>
            <w:tcW w:w="2465" w:type="pct"/>
            <w:shd w:val="pct10" w:color="auto" w:fill="FFFFFF" w:themeFill="background1"/>
            <w:noWrap/>
            <w:vAlign w:val="bottom"/>
            <w:hideMark/>
          </w:tcPr>
          <w:p w:rsidR="00374367" w:rsidRPr="008B154E" w:rsidRDefault="00374367" w:rsidP="00374367">
            <w:pPr>
              <w:jc w:val="right"/>
              <w:rPr>
                <w:b/>
                <w:color w:val="000000"/>
                <w:sz w:val="20"/>
                <w:lang w:val="nl-BE" w:eastAsia="nl-BE"/>
              </w:rPr>
            </w:pPr>
            <w:r w:rsidRPr="008B154E">
              <w:rPr>
                <w:b/>
                <w:color w:val="000000"/>
                <w:sz w:val="20"/>
                <w:lang w:val="nl-BE" w:eastAsia="nl-BE"/>
              </w:rPr>
              <w:t>Aantal Winwinleningen</w:t>
            </w:r>
          </w:p>
        </w:tc>
        <w:tc>
          <w:tcPr>
            <w:tcW w:w="1672" w:type="pct"/>
            <w:shd w:val="pct10" w:color="auto" w:fill="FFFFFF" w:themeFill="background1"/>
            <w:noWrap/>
            <w:vAlign w:val="bottom"/>
            <w:hideMark/>
          </w:tcPr>
          <w:p w:rsidR="00374367" w:rsidRPr="008B154E" w:rsidRDefault="00374367" w:rsidP="00374367">
            <w:pPr>
              <w:jc w:val="right"/>
              <w:rPr>
                <w:b/>
                <w:color w:val="000000"/>
                <w:sz w:val="20"/>
                <w:lang w:val="nl-BE" w:eastAsia="nl-BE"/>
              </w:rPr>
            </w:pPr>
            <w:r w:rsidRPr="008B154E">
              <w:rPr>
                <w:b/>
                <w:color w:val="000000"/>
                <w:sz w:val="20"/>
                <w:lang w:val="nl-BE" w:eastAsia="nl-BE"/>
              </w:rPr>
              <w:t xml:space="preserve">Bedrag </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2006</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123</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€ 3.115.000,00</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2007</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337</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€ 8.955.803,00</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2008</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308</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€ 8.132.523,29</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2009</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370</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€ 9.647.980,00</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2010</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331</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€ 8.228.288,36</w:t>
            </w:r>
          </w:p>
        </w:tc>
      </w:tr>
      <w:tr w:rsidR="00374367" w:rsidRPr="008B154E" w:rsidTr="008B154E">
        <w:trPr>
          <w:trHeight w:val="70"/>
        </w:trPr>
        <w:tc>
          <w:tcPr>
            <w:tcW w:w="863" w:type="pct"/>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2011</w:t>
            </w:r>
          </w:p>
        </w:tc>
        <w:tc>
          <w:tcPr>
            <w:tcW w:w="2465"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851</w:t>
            </w:r>
          </w:p>
        </w:tc>
        <w:tc>
          <w:tcPr>
            <w:tcW w:w="1672" w:type="pct"/>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€ 24.239.518,86</w:t>
            </w:r>
          </w:p>
        </w:tc>
      </w:tr>
      <w:tr w:rsidR="00374367" w:rsidRPr="008B154E" w:rsidTr="008B154E">
        <w:trPr>
          <w:trHeight w:val="70"/>
        </w:trPr>
        <w:tc>
          <w:tcPr>
            <w:tcW w:w="863" w:type="pct"/>
            <w:tcBorders>
              <w:bottom w:val="single" w:sz="4" w:space="0" w:color="auto"/>
            </w:tcBorders>
            <w:shd w:val="clear" w:color="auto" w:fill="auto"/>
            <w:noWrap/>
            <w:vAlign w:val="bottom"/>
            <w:hideMark/>
          </w:tcPr>
          <w:p w:rsidR="00374367" w:rsidRPr="008B154E" w:rsidRDefault="00374367" w:rsidP="00374367">
            <w:pPr>
              <w:rPr>
                <w:color w:val="000000"/>
                <w:sz w:val="20"/>
                <w:lang w:val="nl-BE" w:eastAsia="nl-BE"/>
              </w:rPr>
            </w:pPr>
            <w:r w:rsidRPr="008B154E">
              <w:rPr>
                <w:color w:val="000000"/>
                <w:sz w:val="20"/>
                <w:lang w:val="nl-BE" w:eastAsia="nl-BE"/>
              </w:rPr>
              <w:t>2012</w:t>
            </w:r>
          </w:p>
        </w:tc>
        <w:tc>
          <w:tcPr>
            <w:tcW w:w="2465" w:type="pct"/>
            <w:tcBorders>
              <w:bottom w:val="single" w:sz="4" w:space="0" w:color="auto"/>
            </w:tcBorders>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1314</w:t>
            </w:r>
          </w:p>
        </w:tc>
        <w:tc>
          <w:tcPr>
            <w:tcW w:w="1672" w:type="pct"/>
            <w:tcBorders>
              <w:bottom w:val="single" w:sz="4" w:space="0" w:color="auto"/>
            </w:tcBorders>
            <w:shd w:val="clear" w:color="auto" w:fill="auto"/>
            <w:noWrap/>
            <w:vAlign w:val="bottom"/>
            <w:hideMark/>
          </w:tcPr>
          <w:p w:rsidR="00374367" w:rsidRPr="008B154E" w:rsidRDefault="00374367" w:rsidP="00374367">
            <w:pPr>
              <w:jc w:val="right"/>
              <w:rPr>
                <w:color w:val="000000"/>
                <w:sz w:val="20"/>
                <w:lang w:val="nl-BE" w:eastAsia="nl-BE"/>
              </w:rPr>
            </w:pPr>
            <w:r w:rsidRPr="008B154E">
              <w:rPr>
                <w:color w:val="000000"/>
                <w:sz w:val="20"/>
                <w:lang w:val="nl-BE" w:eastAsia="nl-BE"/>
              </w:rPr>
              <w:t>€ 36.065.312,80</w:t>
            </w:r>
          </w:p>
        </w:tc>
      </w:tr>
      <w:tr w:rsidR="00374367" w:rsidRPr="008B154E" w:rsidTr="008B154E">
        <w:trPr>
          <w:trHeight w:val="70"/>
        </w:trPr>
        <w:tc>
          <w:tcPr>
            <w:tcW w:w="863" w:type="pct"/>
            <w:shd w:val="pct10" w:color="auto" w:fill="FFFFFF" w:themeFill="background1"/>
            <w:noWrap/>
            <w:vAlign w:val="bottom"/>
            <w:hideMark/>
          </w:tcPr>
          <w:p w:rsidR="00374367" w:rsidRPr="008B154E" w:rsidRDefault="00374367" w:rsidP="00374367">
            <w:pPr>
              <w:rPr>
                <w:b/>
                <w:color w:val="000000"/>
                <w:sz w:val="20"/>
                <w:lang w:val="nl-BE" w:eastAsia="nl-BE"/>
              </w:rPr>
            </w:pPr>
            <w:r w:rsidRPr="008B154E">
              <w:rPr>
                <w:b/>
                <w:color w:val="000000"/>
                <w:sz w:val="20"/>
                <w:lang w:val="nl-BE" w:eastAsia="nl-BE"/>
              </w:rPr>
              <w:t>Totaal</w:t>
            </w:r>
          </w:p>
        </w:tc>
        <w:tc>
          <w:tcPr>
            <w:tcW w:w="2465" w:type="pct"/>
            <w:shd w:val="pct10" w:color="auto" w:fill="FFFFFF" w:themeFill="background1"/>
            <w:noWrap/>
            <w:vAlign w:val="bottom"/>
            <w:hideMark/>
          </w:tcPr>
          <w:p w:rsidR="00374367" w:rsidRPr="008B154E" w:rsidRDefault="00855A75" w:rsidP="00374367">
            <w:pPr>
              <w:jc w:val="right"/>
              <w:rPr>
                <w:b/>
                <w:color w:val="000000"/>
                <w:sz w:val="20"/>
                <w:lang w:val="nl-BE" w:eastAsia="nl-BE"/>
              </w:rPr>
            </w:pPr>
            <w:r w:rsidRPr="008B154E">
              <w:rPr>
                <w:b/>
                <w:color w:val="000000"/>
                <w:sz w:val="20"/>
                <w:lang w:val="nl-BE" w:eastAsia="nl-BE"/>
              </w:rPr>
              <w:t>3634</w:t>
            </w:r>
          </w:p>
        </w:tc>
        <w:tc>
          <w:tcPr>
            <w:tcW w:w="1672" w:type="pct"/>
            <w:shd w:val="pct10" w:color="auto" w:fill="FFFFFF" w:themeFill="background1"/>
            <w:noWrap/>
            <w:vAlign w:val="bottom"/>
            <w:hideMark/>
          </w:tcPr>
          <w:p w:rsidR="00374367" w:rsidRPr="008B154E" w:rsidRDefault="00855A75" w:rsidP="00374367">
            <w:pPr>
              <w:jc w:val="right"/>
              <w:rPr>
                <w:b/>
                <w:color w:val="000000"/>
                <w:sz w:val="20"/>
                <w:lang w:val="nl-BE" w:eastAsia="nl-BE"/>
              </w:rPr>
            </w:pPr>
            <w:r w:rsidRPr="008B154E">
              <w:rPr>
                <w:b/>
                <w:color w:val="000000"/>
                <w:sz w:val="20"/>
                <w:lang w:val="nl-BE" w:eastAsia="nl-BE"/>
              </w:rPr>
              <w:t>€ 98.384.426,31</w:t>
            </w:r>
          </w:p>
        </w:tc>
      </w:tr>
    </w:tbl>
    <w:p w:rsidR="00374367" w:rsidRPr="00A03A76" w:rsidRDefault="00374367" w:rsidP="008B154E">
      <w:pPr>
        <w:pStyle w:val="SVTitel"/>
        <w:ind w:left="426"/>
        <w:jc w:val="left"/>
        <w:rPr>
          <w:i w:val="0"/>
          <w:szCs w:val="22"/>
        </w:rPr>
      </w:pPr>
    </w:p>
    <w:p w:rsidR="00374367" w:rsidRPr="00A03A76" w:rsidRDefault="008B154E" w:rsidP="008B154E">
      <w:pPr>
        <w:pStyle w:val="SVTitel"/>
        <w:ind w:left="420" w:hanging="420"/>
        <w:jc w:val="left"/>
        <w:rPr>
          <w:i w:val="0"/>
          <w:szCs w:val="22"/>
        </w:rPr>
      </w:pPr>
      <w:r w:rsidRPr="00A03A76">
        <w:rPr>
          <w:i w:val="0"/>
          <w:szCs w:val="22"/>
        </w:rPr>
        <w:t>3b.</w:t>
      </w:r>
      <w:r w:rsidRPr="00A03A76">
        <w:rPr>
          <w:i w:val="0"/>
          <w:szCs w:val="22"/>
        </w:rPr>
        <w:tab/>
        <w:t>Zie</w:t>
      </w:r>
      <w:r w:rsidR="00374367" w:rsidRPr="00A03A76">
        <w:rPr>
          <w:i w:val="0"/>
          <w:szCs w:val="22"/>
        </w:rPr>
        <w:t xml:space="preserve"> het antwoord </w:t>
      </w:r>
      <w:r w:rsidRPr="00A03A76">
        <w:rPr>
          <w:i w:val="0"/>
          <w:szCs w:val="22"/>
        </w:rPr>
        <w:t>op</w:t>
      </w:r>
      <w:r w:rsidR="00374367" w:rsidRPr="00A03A76">
        <w:rPr>
          <w:i w:val="0"/>
          <w:szCs w:val="22"/>
        </w:rPr>
        <w:t xml:space="preserve"> deelvraag 1b.</w:t>
      </w:r>
    </w:p>
    <w:p w:rsidR="00602406" w:rsidRPr="00A03A76" w:rsidRDefault="00602406" w:rsidP="008B154E">
      <w:pPr>
        <w:pStyle w:val="SVTitel"/>
        <w:ind w:left="420"/>
        <w:jc w:val="left"/>
        <w:rPr>
          <w:i w:val="0"/>
          <w:szCs w:val="22"/>
        </w:rPr>
      </w:pPr>
    </w:p>
    <w:p w:rsidR="003139C7" w:rsidRPr="00A03A76" w:rsidRDefault="008B154E" w:rsidP="00272FD3">
      <w:pPr>
        <w:pStyle w:val="SVTitel"/>
        <w:ind w:left="420" w:hanging="420"/>
        <w:rPr>
          <w:i w:val="0"/>
          <w:szCs w:val="22"/>
        </w:rPr>
      </w:pPr>
      <w:r w:rsidRPr="00A03A76">
        <w:rPr>
          <w:i w:val="0"/>
          <w:szCs w:val="22"/>
        </w:rPr>
        <w:t>3c.</w:t>
      </w:r>
      <w:r w:rsidRPr="00A03A76">
        <w:rPr>
          <w:i w:val="0"/>
          <w:szCs w:val="22"/>
        </w:rPr>
        <w:tab/>
      </w:r>
      <w:r w:rsidR="003139C7" w:rsidRPr="00A03A76">
        <w:rPr>
          <w:i w:val="0"/>
          <w:szCs w:val="22"/>
        </w:rPr>
        <w:t xml:space="preserve">Pas sinds </w:t>
      </w:r>
      <w:r w:rsidRPr="00A03A76">
        <w:rPr>
          <w:i w:val="0"/>
          <w:szCs w:val="22"/>
        </w:rPr>
        <w:t>0</w:t>
      </w:r>
      <w:r w:rsidR="003139C7" w:rsidRPr="00A03A76">
        <w:rPr>
          <w:i w:val="0"/>
          <w:szCs w:val="22"/>
        </w:rPr>
        <w:t>1/01/2011 is de kredietgever verplicht om Waarborgbeheer nv de opzegging van de Winwinlening te melden en dient de Winwinlening geschrapt te worden. De gegevens van voor 2011 zijn bijgevolg vermoedelijk niet volledig.</w:t>
      </w:r>
    </w:p>
    <w:p w:rsidR="00B61E51" w:rsidRPr="00A03A76" w:rsidRDefault="00B61E51" w:rsidP="008B154E">
      <w:pPr>
        <w:pStyle w:val="SVTitel"/>
        <w:ind w:left="420"/>
        <w:jc w:val="left"/>
        <w:rPr>
          <w:i w:val="0"/>
          <w:szCs w:val="22"/>
        </w:rPr>
      </w:pPr>
    </w:p>
    <w:tbl>
      <w:tblPr>
        <w:tblW w:w="3278"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6"/>
        <w:gridCol w:w="3000"/>
        <w:gridCol w:w="718"/>
        <w:gridCol w:w="1340"/>
      </w:tblGrid>
      <w:tr w:rsidR="008B154E" w:rsidRPr="008B154E" w:rsidTr="008B154E">
        <w:trPr>
          <w:trHeight w:val="70"/>
        </w:trPr>
        <w:tc>
          <w:tcPr>
            <w:tcW w:w="994" w:type="pct"/>
            <w:shd w:val="pct10" w:color="auto" w:fill="FFFFFF" w:themeFill="background1"/>
            <w:noWrap/>
            <w:vAlign w:val="bottom"/>
            <w:hideMark/>
          </w:tcPr>
          <w:p w:rsidR="00855A75" w:rsidRPr="008B154E" w:rsidRDefault="00855A75" w:rsidP="00855A75">
            <w:pPr>
              <w:rPr>
                <w:b/>
                <w:color w:val="000000"/>
                <w:sz w:val="20"/>
                <w:lang w:val="nl-BE" w:eastAsia="nl-BE"/>
              </w:rPr>
            </w:pPr>
            <w:r w:rsidRPr="008B154E">
              <w:rPr>
                <w:b/>
                <w:color w:val="000000"/>
                <w:sz w:val="20"/>
                <w:lang w:val="nl-BE" w:eastAsia="nl-BE"/>
              </w:rPr>
              <w:t>Stopdatum</w:t>
            </w:r>
          </w:p>
        </w:tc>
        <w:tc>
          <w:tcPr>
            <w:tcW w:w="2173" w:type="pct"/>
            <w:shd w:val="pct10" w:color="auto" w:fill="FFFFFF" w:themeFill="background1"/>
            <w:noWrap/>
            <w:vAlign w:val="bottom"/>
            <w:hideMark/>
          </w:tcPr>
          <w:p w:rsidR="00855A75" w:rsidRPr="008B154E" w:rsidRDefault="00855A75" w:rsidP="00855A75">
            <w:pPr>
              <w:rPr>
                <w:b/>
                <w:color w:val="000000"/>
                <w:sz w:val="20"/>
                <w:lang w:val="nl-BE" w:eastAsia="nl-BE"/>
              </w:rPr>
            </w:pPr>
            <w:r w:rsidRPr="008B154E">
              <w:rPr>
                <w:b/>
                <w:color w:val="000000"/>
                <w:sz w:val="20"/>
                <w:lang w:val="nl-BE" w:eastAsia="nl-BE"/>
              </w:rPr>
              <w:t>Status</w:t>
            </w:r>
          </w:p>
        </w:tc>
        <w:tc>
          <w:tcPr>
            <w:tcW w:w="641" w:type="pct"/>
            <w:shd w:val="pct10" w:color="auto" w:fill="FFFFFF" w:themeFill="background1"/>
            <w:noWrap/>
            <w:vAlign w:val="bottom"/>
            <w:hideMark/>
          </w:tcPr>
          <w:p w:rsidR="00855A75" w:rsidRPr="008B154E" w:rsidRDefault="00B61E51" w:rsidP="00B61E51">
            <w:pPr>
              <w:jc w:val="right"/>
              <w:rPr>
                <w:b/>
                <w:color w:val="000000"/>
                <w:sz w:val="20"/>
                <w:lang w:val="nl-BE" w:eastAsia="nl-BE"/>
              </w:rPr>
            </w:pPr>
            <w:r w:rsidRPr="008B154E">
              <w:rPr>
                <w:b/>
                <w:color w:val="000000"/>
                <w:sz w:val="20"/>
                <w:lang w:val="nl-BE" w:eastAsia="nl-BE"/>
              </w:rPr>
              <w:t>Aantal</w:t>
            </w:r>
          </w:p>
        </w:tc>
        <w:tc>
          <w:tcPr>
            <w:tcW w:w="1192" w:type="pct"/>
            <w:shd w:val="pct10" w:color="auto" w:fill="FFFFFF" w:themeFill="background1"/>
            <w:noWrap/>
            <w:vAlign w:val="bottom"/>
            <w:hideMark/>
          </w:tcPr>
          <w:p w:rsidR="00855A75" w:rsidRPr="008B154E" w:rsidRDefault="00B61E51" w:rsidP="00B61E51">
            <w:pPr>
              <w:jc w:val="right"/>
              <w:rPr>
                <w:b/>
                <w:color w:val="000000"/>
                <w:sz w:val="20"/>
                <w:lang w:val="nl-BE" w:eastAsia="nl-BE"/>
              </w:rPr>
            </w:pPr>
            <w:r w:rsidRPr="008B154E">
              <w:rPr>
                <w:b/>
                <w:color w:val="000000"/>
                <w:sz w:val="20"/>
                <w:lang w:val="nl-BE" w:eastAsia="nl-BE"/>
              </w:rPr>
              <w:t>Bedrag</w:t>
            </w:r>
          </w:p>
        </w:tc>
      </w:tr>
      <w:tr w:rsidR="008B154E" w:rsidRPr="008B154E" w:rsidTr="008B154E">
        <w:trPr>
          <w:trHeight w:val="70"/>
        </w:trPr>
        <w:tc>
          <w:tcPr>
            <w:tcW w:w="994"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2007</w:t>
            </w:r>
          </w:p>
        </w:tc>
        <w:tc>
          <w:tcPr>
            <w:tcW w:w="2173"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Schrapping van ambtswege</w:t>
            </w:r>
          </w:p>
        </w:tc>
        <w:tc>
          <w:tcPr>
            <w:tcW w:w="641"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w:t>
            </w:r>
          </w:p>
        </w:tc>
        <w:tc>
          <w:tcPr>
            <w:tcW w:w="1192"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€ 15.000,00</w:t>
            </w:r>
          </w:p>
        </w:tc>
      </w:tr>
      <w:tr w:rsidR="008B154E" w:rsidRPr="008B154E" w:rsidTr="008B154E">
        <w:trPr>
          <w:trHeight w:val="70"/>
        </w:trPr>
        <w:tc>
          <w:tcPr>
            <w:tcW w:w="994" w:type="pct"/>
            <w:shd w:val="pct10" w:color="auto" w:fill="FFFFFF" w:themeFill="background1"/>
            <w:noWrap/>
            <w:vAlign w:val="bottom"/>
            <w:hideMark/>
          </w:tcPr>
          <w:p w:rsidR="00855A75" w:rsidRPr="008B154E" w:rsidRDefault="00B61E51" w:rsidP="00855A75">
            <w:pPr>
              <w:rPr>
                <w:b/>
                <w:color w:val="000000"/>
                <w:sz w:val="20"/>
                <w:lang w:val="nl-BE" w:eastAsia="nl-BE"/>
              </w:rPr>
            </w:pPr>
            <w:r w:rsidRPr="008B154E">
              <w:rPr>
                <w:b/>
                <w:color w:val="000000"/>
                <w:sz w:val="20"/>
                <w:lang w:val="nl-BE" w:eastAsia="nl-BE"/>
              </w:rPr>
              <w:t>Totaal 2007</w:t>
            </w:r>
          </w:p>
        </w:tc>
        <w:tc>
          <w:tcPr>
            <w:tcW w:w="2173" w:type="pct"/>
            <w:shd w:val="pct10" w:color="auto" w:fill="FFFFFF" w:themeFill="background1"/>
            <w:noWrap/>
            <w:vAlign w:val="bottom"/>
            <w:hideMark/>
          </w:tcPr>
          <w:p w:rsidR="00855A75" w:rsidRPr="008B154E" w:rsidRDefault="00855A75" w:rsidP="00855A75">
            <w:pPr>
              <w:rPr>
                <w:b/>
                <w:color w:val="000000"/>
                <w:sz w:val="20"/>
                <w:lang w:val="nl-BE" w:eastAsia="nl-BE"/>
              </w:rPr>
            </w:pPr>
            <w:r w:rsidRPr="008B154E">
              <w:rPr>
                <w:b/>
                <w:color w:val="000000"/>
                <w:sz w:val="20"/>
                <w:lang w:val="nl-BE" w:eastAsia="nl-BE"/>
              </w:rPr>
              <w:t> </w:t>
            </w:r>
          </w:p>
        </w:tc>
        <w:tc>
          <w:tcPr>
            <w:tcW w:w="641" w:type="pct"/>
            <w:shd w:val="pct10" w:color="auto" w:fill="FFFFFF" w:themeFill="background1"/>
            <w:noWrap/>
            <w:vAlign w:val="bottom"/>
            <w:hideMark/>
          </w:tcPr>
          <w:p w:rsidR="00855A75" w:rsidRPr="008B154E" w:rsidRDefault="00855A75" w:rsidP="00855A75">
            <w:pPr>
              <w:jc w:val="right"/>
              <w:rPr>
                <w:b/>
                <w:color w:val="000000"/>
                <w:sz w:val="20"/>
                <w:lang w:val="nl-BE" w:eastAsia="nl-BE"/>
              </w:rPr>
            </w:pPr>
            <w:r w:rsidRPr="008B154E">
              <w:rPr>
                <w:b/>
                <w:color w:val="000000"/>
                <w:sz w:val="20"/>
                <w:lang w:val="nl-BE" w:eastAsia="nl-BE"/>
              </w:rPr>
              <w:t>1</w:t>
            </w:r>
          </w:p>
        </w:tc>
        <w:tc>
          <w:tcPr>
            <w:tcW w:w="1192" w:type="pct"/>
            <w:shd w:val="pct10" w:color="auto" w:fill="FFFFFF" w:themeFill="background1"/>
            <w:noWrap/>
            <w:vAlign w:val="bottom"/>
            <w:hideMark/>
          </w:tcPr>
          <w:p w:rsidR="00855A75" w:rsidRPr="008B154E" w:rsidRDefault="00855A75" w:rsidP="00855A75">
            <w:pPr>
              <w:jc w:val="right"/>
              <w:rPr>
                <w:b/>
                <w:color w:val="000000"/>
                <w:sz w:val="20"/>
                <w:lang w:val="nl-BE" w:eastAsia="nl-BE"/>
              </w:rPr>
            </w:pPr>
            <w:r w:rsidRPr="008B154E">
              <w:rPr>
                <w:b/>
                <w:color w:val="000000"/>
                <w:sz w:val="20"/>
                <w:lang w:val="nl-BE" w:eastAsia="nl-BE"/>
              </w:rPr>
              <w:t>€ 15.000,00</w:t>
            </w:r>
          </w:p>
        </w:tc>
      </w:tr>
      <w:tr w:rsidR="008B154E" w:rsidRPr="008B154E" w:rsidTr="008B154E">
        <w:trPr>
          <w:trHeight w:val="70"/>
        </w:trPr>
        <w:tc>
          <w:tcPr>
            <w:tcW w:w="994" w:type="pct"/>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2009</w:t>
            </w:r>
          </w:p>
        </w:tc>
        <w:tc>
          <w:tcPr>
            <w:tcW w:w="2173" w:type="pct"/>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z</w:t>
            </w:r>
            <w:r w:rsidR="008B154E">
              <w:rPr>
                <w:color w:val="000000"/>
                <w:sz w:val="20"/>
                <w:lang w:val="nl-BE" w:eastAsia="nl-BE"/>
              </w:rPr>
              <w:t>onder fiscaal</w:t>
            </w:r>
            <w:r w:rsidRPr="008B154E">
              <w:rPr>
                <w:color w:val="000000"/>
                <w:sz w:val="20"/>
                <w:lang w:val="nl-BE" w:eastAsia="nl-BE"/>
              </w:rPr>
              <w:t xml:space="preserve"> voordeel</w:t>
            </w:r>
          </w:p>
        </w:tc>
        <w:tc>
          <w:tcPr>
            <w:tcW w:w="641"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w:t>
            </w:r>
          </w:p>
        </w:tc>
        <w:tc>
          <w:tcPr>
            <w:tcW w:w="1192"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€ 25.000,00</w:t>
            </w:r>
          </w:p>
        </w:tc>
      </w:tr>
      <w:tr w:rsidR="008B154E" w:rsidRPr="008B154E" w:rsidTr="008B154E">
        <w:trPr>
          <w:trHeight w:val="70"/>
        </w:trPr>
        <w:tc>
          <w:tcPr>
            <w:tcW w:w="994"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 </w:t>
            </w:r>
          </w:p>
        </w:tc>
        <w:tc>
          <w:tcPr>
            <w:tcW w:w="2173"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Schrapping van ambtswege</w:t>
            </w:r>
          </w:p>
        </w:tc>
        <w:tc>
          <w:tcPr>
            <w:tcW w:w="641"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8</w:t>
            </w:r>
          </w:p>
        </w:tc>
        <w:tc>
          <w:tcPr>
            <w:tcW w:w="1192"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€ 281.000,00</w:t>
            </w:r>
          </w:p>
        </w:tc>
      </w:tr>
      <w:tr w:rsidR="008B154E" w:rsidRPr="00A11A73" w:rsidTr="008B154E">
        <w:trPr>
          <w:trHeight w:val="70"/>
        </w:trPr>
        <w:tc>
          <w:tcPr>
            <w:tcW w:w="994" w:type="pct"/>
            <w:shd w:val="pct10" w:color="auto" w:fill="FFFFFF" w:themeFill="background1"/>
            <w:noWrap/>
            <w:vAlign w:val="bottom"/>
            <w:hideMark/>
          </w:tcPr>
          <w:p w:rsidR="00855A75" w:rsidRPr="00A11A73" w:rsidRDefault="00B61E51" w:rsidP="00855A75">
            <w:pPr>
              <w:rPr>
                <w:b/>
                <w:color w:val="000000"/>
                <w:sz w:val="20"/>
                <w:lang w:val="nl-BE" w:eastAsia="nl-BE"/>
              </w:rPr>
            </w:pPr>
            <w:r w:rsidRPr="00A11A73">
              <w:rPr>
                <w:b/>
                <w:color w:val="000000"/>
                <w:sz w:val="20"/>
                <w:lang w:val="nl-BE" w:eastAsia="nl-BE"/>
              </w:rPr>
              <w:t>Totaal 2009</w:t>
            </w:r>
          </w:p>
        </w:tc>
        <w:tc>
          <w:tcPr>
            <w:tcW w:w="2173" w:type="pct"/>
            <w:shd w:val="pct10" w:color="auto" w:fill="FFFFFF" w:themeFill="background1"/>
            <w:noWrap/>
            <w:vAlign w:val="bottom"/>
            <w:hideMark/>
          </w:tcPr>
          <w:p w:rsidR="00855A75" w:rsidRPr="00A11A73" w:rsidRDefault="00855A75" w:rsidP="00855A75">
            <w:pPr>
              <w:rPr>
                <w:b/>
                <w:color w:val="000000"/>
                <w:sz w:val="20"/>
                <w:lang w:val="nl-BE" w:eastAsia="nl-BE"/>
              </w:rPr>
            </w:pPr>
            <w:r w:rsidRPr="00A11A73">
              <w:rPr>
                <w:b/>
                <w:color w:val="000000"/>
                <w:sz w:val="20"/>
                <w:lang w:val="nl-BE" w:eastAsia="nl-BE"/>
              </w:rPr>
              <w:t> </w:t>
            </w:r>
          </w:p>
        </w:tc>
        <w:tc>
          <w:tcPr>
            <w:tcW w:w="641"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9</w:t>
            </w:r>
          </w:p>
        </w:tc>
        <w:tc>
          <w:tcPr>
            <w:tcW w:w="1192"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€ 306.000,00</w:t>
            </w:r>
          </w:p>
        </w:tc>
      </w:tr>
      <w:tr w:rsidR="008B154E" w:rsidRPr="008B154E" w:rsidTr="008B154E">
        <w:trPr>
          <w:trHeight w:val="70"/>
        </w:trPr>
        <w:tc>
          <w:tcPr>
            <w:tcW w:w="994" w:type="pct"/>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2010</w:t>
            </w:r>
          </w:p>
        </w:tc>
        <w:tc>
          <w:tcPr>
            <w:tcW w:w="2173" w:type="pct"/>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met fisc</w:t>
            </w:r>
            <w:r w:rsidR="008B154E">
              <w:rPr>
                <w:color w:val="000000"/>
                <w:sz w:val="20"/>
                <w:lang w:val="nl-BE" w:eastAsia="nl-BE"/>
              </w:rPr>
              <w:t>aal v</w:t>
            </w:r>
            <w:r w:rsidRPr="008B154E">
              <w:rPr>
                <w:color w:val="000000"/>
                <w:sz w:val="20"/>
                <w:lang w:val="nl-BE" w:eastAsia="nl-BE"/>
              </w:rPr>
              <w:t>oordeel</w:t>
            </w:r>
          </w:p>
        </w:tc>
        <w:tc>
          <w:tcPr>
            <w:tcW w:w="641"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4</w:t>
            </w:r>
          </w:p>
        </w:tc>
        <w:tc>
          <w:tcPr>
            <w:tcW w:w="1192"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€ 90.000,00</w:t>
            </w:r>
          </w:p>
        </w:tc>
      </w:tr>
      <w:tr w:rsidR="008B154E" w:rsidRPr="008B154E" w:rsidTr="008B154E">
        <w:trPr>
          <w:trHeight w:val="70"/>
        </w:trPr>
        <w:tc>
          <w:tcPr>
            <w:tcW w:w="994"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 </w:t>
            </w:r>
          </w:p>
        </w:tc>
        <w:tc>
          <w:tcPr>
            <w:tcW w:w="2173"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Schrapping van ambtswege</w:t>
            </w:r>
          </w:p>
        </w:tc>
        <w:tc>
          <w:tcPr>
            <w:tcW w:w="641"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19</w:t>
            </w:r>
          </w:p>
        </w:tc>
        <w:tc>
          <w:tcPr>
            <w:tcW w:w="1192"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€ 334.125,00</w:t>
            </w:r>
          </w:p>
        </w:tc>
      </w:tr>
      <w:tr w:rsidR="008B154E" w:rsidRPr="00A11A73" w:rsidTr="008B154E">
        <w:trPr>
          <w:trHeight w:val="70"/>
        </w:trPr>
        <w:tc>
          <w:tcPr>
            <w:tcW w:w="994" w:type="pct"/>
            <w:shd w:val="pct10" w:color="auto" w:fill="FFFFFF" w:themeFill="background1"/>
            <w:noWrap/>
            <w:vAlign w:val="bottom"/>
            <w:hideMark/>
          </w:tcPr>
          <w:p w:rsidR="00855A75" w:rsidRPr="00A11A73" w:rsidRDefault="00B61E51" w:rsidP="00855A75">
            <w:pPr>
              <w:rPr>
                <w:b/>
                <w:color w:val="000000"/>
                <w:sz w:val="20"/>
                <w:lang w:val="nl-BE" w:eastAsia="nl-BE"/>
              </w:rPr>
            </w:pPr>
            <w:r w:rsidRPr="00A11A73">
              <w:rPr>
                <w:b/>
                <w:color w:val="000000"/>
                <w:sz w:val="20"/>
                <w:lang w:val="nl-BE" w:eastAsia="nl-BE"/>
              </w:rPr>
              <w:t>Totaal 2010</w:t>
            </w:r>
          </w:p>
        </w:tc>
        <w:tc>
          <w:tcPr>
            <w:tcW w:w="2173" w:type="pct"/>
            <w:shd w:val="pct10" w:color="auto" w:fill="FFFFFF" w:themeFill="background1"/>
            <w:noWrap/>
            <w:vAlign w:val="bottom"/>
            <w:hideMark/>
          </w:tcPr>
          <w:p w:rsidR="00855A75" w:rsidRPr="00A11A73" w:rsidRDefault="00855A75" w:rsidP="00855A75">
            <w:pPr>
              <w:rPr>
                <w:b/>
                <w:color w:val="000000"/>
                <w:sz w:val="20"/>
                <w:lang w:val="nl-BE" w:eastAsia="nl-BE"/>
              </w:rPr>
            </w:pPr>
            <w:r w:rsidRPr="00A11A73">
              <w:rPr>
                <w:b/>
                <w:color w:val="000000"/>
                <w:sz w:val="20"/>
                <w:lang w:val="nl-BE" w:eastAsia="nl-BE"/>
              </w:rPr>
              <w:t> </w:t>
            </w:r>
          </w:p>
        </w:tc>
        <w:tc>
          <w:tcPr>
            <w:tcW w:w="641"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23</w:t>
            </w:r>
          </w:p>
        </w:tc>
        <w:tc>
          <w:tcPr>
            <w:tcW w:w="1192"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€ 424.125,00</w:t>
            </w:r>
          </w:p>
        </w:tc>
      </w:tr>
      <w:tr w:rsidR="008B154E" w:rsidRPr="008B154E" w:rsidTr="008B154E">
        <w:trPr>
          <w:trHeight w:val="70"/>
        </w:trPr>
        <w:tc>
          <w:tcPr>
            <w:tcW w:w="994" w:type="pct"/>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2011</w:t>
            </w:r>
          </w:p>
        </w:tc>
        <w:tc>
          <w:tcPr>
            <w:tcW w:w="2173" w:type="pct"/>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met fisc</w:t>
            </w:r>
            <w:r w:rsidR="008B154E">
              <w:rPr>
                <w:color w:val="000000"/>
                <w:sz w:val="20"/>
                <w:lang w:val="nl-BE" w:eastAsia="nl-BE"/>
              </w:rPr>
              <w:t>aal v</w:t>
            </w:r>
            <w:r w:rsidRPr="008B154E">
              <w:rPr>
                <w:color w:val="000000"/>
                <w:sz w:val="20"/>
                <w:lang w:val="nl-BE" w:eastAsia="nl-BE"/>
              </w:rPr>
              <w:t>oordeel</w:t>
            </w:r>
          </w:p>
        </w:tc>
        <w:tc>
          <w:tcPr>
            <w:tcW w:w="641"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18</w:t>
            </w:r>
          </w:p>
        </w:tc>
        <w:tc>
          <w:tcPr>
            <w:tcW w:w="1192"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€ 313.250,00</w:t>
            </w:r>
          </w:p>
        </w:tc>
      </w:tr>
      <w:tr w:rsidR="008B154E" w:rsidRPr="008B154E" w:rsidTr="008B154E">
        <w:trPr>
          <w:trHeight w:val="70"/>
        </w:trPr>
        <w:tc>
          <w:tcPr>
            <w:tcW w:w="994"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 </w:t>
            </w:r>
          </w:p>
        </w:tc>
        <w:tc>
          <w:tcPr>
            <w:tcW w:w="2173" w:type="pct"/>
            <w:tcBorders>
              <w:bottom w:val="single" w:sz="4" w:space="0" w:color="auto"/>
            </w:tcBorders>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z</w:t>
            </w:r>
            <w:r w:rsidR="008B154E">
              <w:rPr>
                <w:color w:val="000000"/>
                <w:sz w:val="20"/>
                <w:lang w:val="nl-BE" w:eastAsia="nl-BE"/>
              </w:rPr>
              <w:t>onder fiscaal</w:t>
            </w:r>
            <w:r w:rsidRPr="008B154E">
              <w:rPr>
                <w:color w:val="000000"/>
                <w:sz w:val="20"/>
                <w:lang w:val="nl-BE" w:eastAsia="nl-BE"/>
              </w:rPr>
              <w:t xml:space="preserve"> voordeel</w:t>
            </w:r>
          </w:p>
        </w:tc>
        <w:tc>
          <w:tcPr>
            <w:tcW w:w="641"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17</w:t>
            </w:r>
          </w:p>
        </w:tc>
        <w:tc>
          <w:tcPr>
            <w:tcW w:w="1192"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€ 458.500,00</w:t>
            </w:r>
          </w:p>
        </w:tc>
      </w:tr>
      <w:tr w:rsidR="008B154E" w:rsidRPr="00A11A73" w:rsidTr="008B154E">
        <w:trPr>
          <w:trHeight w:val="70"/>
        </w:trPr>
        <w:tc>
          <w:tcPr>
            <w:tcW w:w="994" w:type="pct"/>
            <w:shd w:val="pct10" w:color="auto" w:fill="FFFFFF" w:themeFill="background1"/>
            <w:noWrap/>
            <w:vAlign w:val="bottom"/>
            <w:hideMark/>
          </w:tcPr>
          <w:p w:rsidR="00855A75" w:rsidRPr="00A11A73" w:rsidRDefault="00B61E51" w:rsidP="00855A75">
            <w:pPr>
              <w:rPr>
                <w:b/>
                <w:color w:val="000000"/>
                <w:sz w:val="20"/>
                <w:lang w:val="nl-BE" w:eastAsia="nl-BE"/>
              </w:rPr>
            </w:pPr>
            <w:r w:rsidRPr="00A11A73">
              <w:rPr>
                <w:b/>
                <w:color w:val="000000"/>
                <w:sz w:val="20"/>
                <w:lang w:val="nl-BE" w:eastAsia="nl-BE"/>
              </w:rPr>
              <w:t>Totaal 2011</w:t>
            </w:r>
          </w:p>
        </w:tc>
        <w:tc>
          <w:tcPr>
            <w:tcW w:w="2173" w:type="pct"/>
            <w:shd w:val="pct10" w:color="auto" w:fill="FFFFFF" w:themeFill="background1"/>
            <w:noWrap/>
            <w:vAlign w:val="bottom"/>
            <w:hideMark/>
          </w:tcPr>
          <w:p w:rsidR="00855A75" w:rsidRPr="00A11A73" w:rsidRDefault="00855A75" w:rsidP="00855A75">
            <w:pPr>
              <w:rPr>
                <w:b/>
                <w:color w:val="000000"/>
                <w:sz w:val="20"/>
                <w:lang w:val="nl-BE" w:eastAsia="nl-BE"/>
              </w:rPr>
            </w:pPr>
            <w:r w:rsidRPr="00A11A73">
              <w:rPr>
                <w:b/>
                <w:color w:val="000000"/>
                <w:sz w:val="20"/>
                <w:lang w:val="nl-BE" w:eastAsia="nl-BE"/>
              </w:rPr>
              <w:t> </w:t>
            </w:r>
          </w:p>
        </w:tc>
        <w:tc>
          <w:tcPr>
            <w:tcW w:w="641"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35</w:t>
            </w:r>
          </w:p>
        </w:tc>
        <w:tc>
          <w:tcPr>
            <w:tcW w:w="1192"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€ 771.750,00</w:t>
            </w:r>
          </w:p>
        </w:tc>
      </w:tr>
      <w:tr w:rsidR="008B154E" w:rsidRPr="008B154E" w:rsidTr="008B154E">
        <w:trPr>
          <w:trHeight w:val="70"/>
        </w:trPr>
        <w:tc>
          <w:tcPr>
            <w:tcW w:w="994" w:type="pct"/>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2012</w:t>
            </w:r>
          </w:p>
        </w:tc>
        <w:tc>
          <w:tcPr>
            <w:tcW w:w="2173" w:type="pct"/>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met fisc</w:t>
            </w:r>
            <w:r w:rsidR="008B154E">
              <w:rPr>
                <w:color w:val="000000"/>
                <w:sz w:val="20"/>
                <w:lang w:val="nl-BE" w:eastAsia="nl-BE"/>
              </w:rPr>
              <w:t>aal v</w:t>
            </w:r>
            <w:r w:rsidRPr="008B154E">
              <w:rPr>
                <w:color w:val="000000"/>
                <w:sz w:val="20"/>
                <w:lang w:val="nl-BE" w:eastAsia="nl-BE"/>
              </w:rPr>
              <w:t>oordeel</w:t>
            </w:r>
          </w:p>
        </w:tc>
        <w:tc>
          <w:tcPr>
            <w:tcW w:w="641"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14</w:t>
            </w:r>
          </w:p>
        </w:tc>
        <w:tc>
          <w:tcPr>
            <w:tcW w:w="1192" w:type="pct"/>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€ 444.380,00</w:t>
            </w:r>
          </w:p>
        </w:tc>
      </w:tr>
      <w:tr w:rsidR="008B154E" w:rsidRPr="008B154E" w:rsidTr="008B154E">
        <w:trPr>
          <w:trHeight w:val="70"/>
        </w:trPr>
        <w:tc>
          <w:tcPr>
            <w:tcW w:w="994" w:type="pct"/>
            <w:tcBorders>
              <w:bottom w:val="single" w:sz="4" w:space="0" w:color="auto"/>
            </w:tcBorders>
            <w:shd w:val="clear" w:color="auto" w:fill="auto"/>
            <w:noWrap/>
            <w:vAlign w:val="bottom"/>
            <w:hideMark/>
          </w:tcPr>
          <w:p w:rsidR="00855A75" w:rsidRPr="008B154E" w:rsidRDefault="00855A75" w:rsidP="00855A75">
            <w:pPr>
              <w:rPr>
                <w:color w:val="000000"/>
                <w:sz w:val="20"/>
                <w:lang w:val="nl-BE" w:eastAsia="nl-BE"/>
              </w:rPr>
            </w:pPr>
            <w:r w:rsidRPr="008B154E">
              <w:rPr>
                <w:color w:val="000000"/>
                <w:sz w:val="20"/>
                <w:lang w:val="nl-BE" w:eastAsia="nl-BE"/>
              </w:rPr>
              <w:t> </w:t>
            </w:r>
          </w:p>
        </w:tc>
        <w:tc>
          <w:tcPr>
            <w:tcW w:w="2173" w:type="pct"/>
            <w:tcBorders>
              <w:bottom w:val="single" w:sz="4" w:space="0" w:color="auto"/>
            </w:tcBorders>
            <w:shd w:val="clear" w:color="auto" w:fill="auto"/>
            <w:noWrap/>
            <w:vAlign w:val="bottom"/>
            <w:hideMark/>
          </w:tcPr>
          <w:p w:rsidR="00855A75" w:rsidRPr="008B154E" w:rsidRDefault="00855A75" w:rsidP="008B154E">
            <w:pPr>
              <w:rPr>
                <w:color w:val="000000"/>
                <w:sz w:val="20"/>
                <w:lang w:val="nl-BE" w:eastAsia="nl-BE"/>
              </w:rPr>
            </w:pPr>
            <w:r w:rsidRPr="008B154E">
              <w:rPr>
                <w:color w:val="000000"/>
                <w:sz w:val="20"/>
                <w:lang w:val="nl-BE" w:eastAsia="nl-BE"/>
              </w:rPr>
              <w:t>Afgeroepen z</w:t>
            </w:r>
            <w:r w:rsidR="008B154E">
              <w:rPr>
                <w:color w:val="000000"/>
                <w:sz w:val="20"/>
                <w:lang w:val="nl-BE" w:eastAsia="nl-BE"/>
              </w:rPr>
              <w:t>onder fiscaal</w:t>
            </w:r>
            <w:r w:rsidRPr="008B154E">
              <w:rPr>
                <w:color w:val="000000"/>
                <w:sz w:val="20"/>
                <w:lang w:val="nl-BE" w:eastAsia="nl-BE"/>
              </w:rPr>
              <w:t xml:space="preserve"> voordeel</w:t>
            </w:r>
          </w:p>
        </w:tc>
        <w:tc>
          <w:tcPr>
            <w:tcW w:w="641"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37</w:t>
            </w:r>
          </w:p>
        </w:tc>
        <w:tc>
          <w:tcPr>
            <w:tcW w:w="1192" w:type="pct"/>
            <w:tcBorders>
              <w:bottom w:val="single" w:sz="4" w:space="0" w:color="auto"/>
            </w:tcBorders>
            <w:shd w:val="clear" w:color="auto" w:fill="auto"/>
            <w:noWrap/>
            <w:vAlign w:val="bottom"/>
            <w:hideMark/>
          </w:tcPr>
          <w:p w:rsidR="00855A75" w:rsidRPr="008B154E" w:rsidRDefault="00855A75" w:rsidP="00855A75">
            <w:pPr>
              <w:jc w:val="right"/>
              <w:rPr>
                <w:color w:val="000000"/>
                <w:sz w:val="20"/>
                <w:lang w:val="nl-BE" w:eastAsia="nl-BE"/>
              </w:rPr>
            </w:pPr>
            <w:r w:rsidRPr="008B154E">
              <w:rPr>
                <w:color w:val="000000"/>
                <w:sz w:val="20"/>
                <w:lang w:val="nl-BE" w:eastAsia="nl-BE"/>
              </w:rPr>
              <w:t>€ 929.250,00</w:t>
            </w:r>
          </w:p>
        </w:tc>
      </w:tr>
      <w:tr w:rsidR="008B154E" w:rsidRPr="00A11A73" w:rsidTr="00A11A73">
        <w:trPr>
          <w:trHeight w:val="70"/>
        </w:trPr>
        <w:tc>
          <w:tcPr>
            <w:tcW w:w="994" w:type="pct"/>
            <w:shd w:val="pct10" w:color="auto" w:fill="FFFFFF" w:themeFill="background1"/>
            <w:noWrap/>
            <w:vAlign w:val="bottom"/>
            <w:hideMark/>
          </w:tcPr>
          <w:p w:rsidR="00855A75" w:rsidRPr="00A11A73" w:rsidRDefault="00B61E51" w:rsidP="00855A75">
            <w:pPr>
              <w:rPr>
                <w:b/>
                <w:color w:val="000000"/>
                <w:sz w:val="20"/>
                <w:lang w:val="nl-BE" w:eastAsia="nl-BE"/>
              </w:rPr>
            </w:pPr>
            <w:r w:rsidRPr="00A11A73">
              <w:rPr>
                <w:b/>
                <w:color w:val="000000"/>
                <w:sz w:val="20"/>
                <w:lang w:val="nl-BE" w:eastAsia="nl-BE"/>
              </w:rPr>
              <w:t>Totaal 2012</w:t>
            </w:r>
          </w:p>
        </w:tc>
        <w:tc>
          <w:tcPr>
            <w:tcW w:w="2173" w:type="pct"/>
            <w:shd w:val="pct10" w:color="auto" w:fill="FFFFFF" w:themeFill="background1"/>
            <w:noWrap/>
            <w:vAlign w:val="bottom"/>
            <w:hideMark/>
          </w:tcPr>
          <w:p w:rsidR="00855A75" w:rsidRPr="00A11A73" w:rsidRDefault="00855A75" w:rsidP="00855A75">
            <w:pPr>
              <w:rPr>
                <w:b/>
                <w:color w:val="000000"/>
                <w:sz w:val="20"/>
                <w:lang w:val="nl-BE" w:eastAsia="nl-BE"/>
              </w:rPr>
            </w:pPr>
            <w:r w:rsidRPr="00A11A73">
              <w:rPr>
                <w:b/>
                <w:color w:val="000000"/>
                <w:sz w:val="20"/>
                <w:lang w:val="nl-BE" w:eastAsia="nl-BE"/>
              </w:rPr>
              <w:t> </w:t>
            </w:r>
          </w:p>
        </w:tc>
        <w:tc>
          <w:tcPr>
            <w:tcW w:w="641"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51</w:t>
            </w:r>
          </w:p>
        </w:tc>
        <w:tc>
          <w:tcPr>
            <w:tcW w:w="1192" w:type="pct"/>
            <w:shd w:val="pct10" w:color="auto" w:fill="FFFFFF" w:themeFill="background1"/>
            <w:noWrap/>
            <w:vAlign w:val="bottom"/>
            <w:hideMark/>
          </w:tcPr>
          <w:p w:rsidR="00855A75" w:rsidRPr="00A11A73" w:rsidRDefault="00855A75" w:rsidP="00855A75">
            <w:pPr>
              <w:jc w:val="right"/>
              <w:rPr>
                <w:b/>
                <w:color w:val="000000"/>
                <w:sz w:val="20"/>
                <w:lang w:val="nl-BE" w:eastAsia="nl-BE"/>
              </w:rPr>
            </w:pPr>
            <w:r w:rsidRPr="00A11A73">
              <w:rPr>
                <w:b/>
                <w:color w:val="000000"/>
                <w:sz w:val="20"/>
                <w:lang w:val="nl-BE" w:eastAsia="nl-BE"/>
              </w:rPr>
              <w:t>€ 1.373.630,00</w:t>
            </w:r>
          </w:p>
        </w:tc>
      </w:tr>
    </w:tbl>
    <w:p w:rsidR="003139C7" w:rsidRDefault="003139C7" w:rsidP="0076329B">
      <w:pPr>
        <w:pStyle w:val="SVTitel"/>
        <w:rPr>
          <w:i w:val="0"/>
        </w:rPr>
      </w:pPr>
    </w:p>
    <w:p w:rsidR="00BB5D62" w:rsidRPr="0076329B" w:rsidRDefault="00BB5D62" w:rsidP="0076329B">
      <w:pPr>
        <w:pStyle w:val="SVTitel"/>
        <w:rPr>
          <w:i w:val="0"/>
        </w:rPr>
      </w:pPr>
    </w:p>
    <w:p w:rsidR="001E4E40" w:rsidRDefault="00602406" w:rsidP="001E4E40">
      <w:pPr>
        <w:pStyle w:val="SVTitel"/>
        <w:tabs>
          <w:tab w:val="left" w:pos="426"/>
        </w:tabs>
        <w:ind w:left="426" w:hanging="426"/>
        <w:rPr>
          <w:i w:val="0"/>
        </w:rPr>
      </w:pPr>
      <w:r>
        <w:rPr>
          <w:i w:val="0"/>
        </w:rPr>
        <w:t>4.</w:t>
      </w:r>
      <w:r>
        <w:rPr>
          <w:i w:val="0"/>
        </w:rPr>
        <w:tab/>
      </w:r>
      <w:r w:rsidR="001E4E40" w:rsidRPr="001E4E40">
        <w:rPr>
          <w:i w:val="0"/>
        </w:rPr>
        <w:t>De rentevoet van de Winwinlening mag niet hoger zijn dan de wettelijke rentevoet die van kracht is op de datum waarop de Winwinlening wordt gesloten. De rentevoet mag tevens niet lager zijn dan de helft van diezelfde wettelijke rentevoet.</w:t>
      </w:r>
    </w:p>
    <w:p w:rsidR="001E4E40" w:rsidRDefault="001E4E40">
      <w:pPr>
        <w:rPr>
          <w:sz w:val="22"/>
        </w:rPr>
      </w:pPr>
      <w:r>
        <w:rPr>
          <w:i/>
        </w:rPr>
        <w:br w:type="page"/>
      </w:r>
    </w:p>
    <w:p w:rsidR="001E4E40" w:rsidRDefault="001E4E40" w:rsidP="001E4E40">
      <w:pPr>
        <w:pStyle w:val="SVTitel"/>
        <w:tabs>
          <w:tab w:val="left" w:pos="426"/>
        </w:tabs>
        <w:ind w:left="852" w:hanging="426"/>
        <w:rPr>
          <w:i w:val="0"/>
        </w:rPr>
      </w:pPr>
    </w:p>
    <w:tbl>
      <w:tblPr>
        <w:tblW w:w="464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206"/>
        <w:gridCol w:w="1059"/>
        <w:gridCol w:w="1026"/>
        <w:gridCol w:w="1832"/>
        <w:gridCol w:w="1799"/>
      </w:tblGrid>
      <w:tr w:rsidR="001E4E40" w:rsidRPr="001E4E40" w:rsidTr="00F05121">
        <w:trPr>
          <w:trHeight w:val="70"/>
        </w:trPr>
        <w:tc>
          <w:tcPr>
            <w:tcW w:w="938" w:type="pct"/>
            <w:shd w:val="pct10" w:color="auto" w:fill="FFFFFF" w:themeFill="background1"/>
            <w:noWrap/>
            <w:hideMark/>
          </w:tcPr>
          <w:p w:rsidR="001E4E40" w:rsidRPr="001E4E40" w:rsidRDefault="001E4E40" w:rsidP="00F05121">
            <w:pPr>
              <w:rPr>
                <w:b/>
                <w:color w:val="000000"/>
                <w:sz w:val="20"/>
                <w:lang w:val="nl-BE" w:eastAsia="nl-BE"/>
              </w:rPr>
            </w:pPr>
            <w:r w:rsidRPr="001E4E40">
              <w:rPr>
                <w:b/>
                <w:color w:val="000000"/>
                <w:sz w:val="20"/>
                <w:lang w:val="nl-BE" w:eastAsia="nl-BE"/>
              </w:rPr>
              <w:t>Registratiedatum</w:t>
            </w:r>
          </w:p>
        </w:tc>
        <w:tc>
          <w:tcPr>
            <w:tcW w:w="708" w:type="pct"/>
            <w:shd w:val="pct10" w:color="auto" w:fill="FFFFFF" w:themeFill="background1"/>
            <w:noWrap/>
            <w:vAlign w:val="bottom"/>
            <w:hideMark/>
          </w:tcPr>
          <w:p w:rsidR="001E4E40" w:rsidRPr="001E4E40" w:rsidRDefault="001E4E40" w:rsidP="00F05121">
            <w:pPr>
              <w:rPr>
                <w:b/>
                <w:color w:val="000000"/>
                <w:sz w:val="20"/>
                <w:lang w:val="nl-BE" w:eastAsia="nl-BE"/>
              </w:rPr>
            </w:pPr>
            <w:r w:rsidRPr="001E4E40">
              <w:rPr>
                <w:b/>
                <w:color w:val="000000"/>
                <w:sz w:val="20"/>
                <w:lang w:val="nl-BE" w:eastAsia="nl-BE"/>
              </w:rPr>
              <w:t>Gemiddelde</w:t>
            </w:r>
          </w:p>
          <w:p w:rsidR="001E4E40" w:rsidRPr="001E4E40" w:rsidRDefault="001E4E40" w:rsidP="00F05121">
            <w:pPr>
              <w:rPr>
                <w:b/>
                <w:color w:val="000000"/>
                <w:sz w:val="20"/>
                <w:lang w:val="nl-BE" w:eastAsia="nl-BE"/>
              </w:rPr>
            </w:pPr>
            <w:r w:rsidRPr="001E4E40">
              <w:rPr>
                <w:b/>
                <w:color w:val="000000"/>
                <w:sz w:val="20"/>
                <w:lang w:val="nl-BE" w:eastAsia="nl-BE"/>
              </w:rPr>
              <w:t>rentevoet</w:t>
            </w:r>
          </w:p>
        </w:tc>
        <w:tc>
          <w:tcPr>
            <w:tcW w:w="622" w:type="pct"/>
            <w:shd w:val="pct10" w:color="auto" w:fill="FFFFFF" w:themeFill="background1"/>
            <w:noWrap/>
            <w:vAlign w:val="bottom"/>
            <w:hideMark/>
          </w:tcPr>
          <w:p w:rsidR="001E4E40" w:rsidRPr="001E4E40" w:rsidRDefault="001E4E40" w:rsidP="00F05121">
            <w:pPr>
              <w:rPr>
                <w:b/>
                <w:color w:val="000000"/>
                <w:sz w:val="20"/>
                <w:lang w:val="nl-BE" w:eastAsia="nl-BE"/>
              </w:rPr>
            </w:pPr>
            <w:r w:rsidRPr="001E4E40">
              <w:rPr>
                <w:b/>
                <w:color w:val="000000"/>
                <w:sz w:val="20"/>
                <w:lang w:val="nl-BE" w:eastAsia="nl-BE"/>
              </w:rPr>
              <w:t>Maximum</w:t>
            </w:r>
          </w:p>
          <w:p w:rsidR="001E4E40" w:rsidRPr="001E4E40" w:rsidRDefault="001E4E40" w:rsidP="00F05121">
            <w:pPr>
              <w:rPr>
                <w:b/>
                <w:color w:val="000000"/>
                <w:sz w:val="20"/>
                <w:lang w:val="nl-BE" w:eastAsia="nl-BE"/>
              </w:rPr>
            </w:pPr>
            <w:r w:rsidRPr="001E4E40">
              <w:rPr>
                <w:b/>
                <w:color w:val="000000"/>
                <w:sz w:val="20"/>
                <w:lang w:val="nl-BE" w:eastAsia="nl-BE"/>
              </w:rPr>
              <w:t>rentevoet</w:t>
            </w:r>
          </w:p>
        </w:tc>
        <w:tc>
          <w:tcPr>
            <w:tcW w:w="603" w:type="pct"/>
            <w:shd w:val="pct10" w:color="auto" w:fill="FFFFFF" w:themeFill="background1"/>
            <w:noWrap/>
            <w:vAlign w:val="bottom"/>
            <w:hideMark/>
          </w:tcPr>
          <w:p w:rsidR="001E4E40" w:rsidRPr="001E4E40" w:rsidRDefault="001E4E40" w:rsidP="00F05121">
            <w:pPr>
              <w:rPr>
                <w:b/>
                <w:color w:val="000000"/>
                <w:sz w:val="20"/>
                <w:lang w:val="nl-BE" w:eastAsia="nl-BE"/>
              </w:rPr>
            </w:pPr>
            <w:r w:rsidRPr="001E4E40">
              <w:rPr>
                <w:b/>
                <w:color w:val="000000"/>
                <w:sz w:val="20"/>
                <w:lang w:val="nl-BE" w:eastAsia="nl-BE"/>
              </w:rPr>
              <w:t>Minimum</w:t>
            </w:r>
          </w:p>
          <w:p w:rsidR="001E4E40" w:rsidRPr="001E4E40" w:rsidRDefault="001E4E40" w:rsidP="00F05121">
            <w:pPr>
              <w:rPr>
                <w:b/>
                <w:color w:val="000000"/>
                <w:sz w:val="20"/>
                <w:lang w:val="nl-BE" w:eastAsia="nl-BE"/>
              </w:rPr>
            </w:pPr>
            <w:r w:rsidRPr="001E4E40">
              <w:rPr>
                <w:b/>
                <w:color w:val="000000"/>
                <w:sz w:val="20"/>
                <w:lang w:val="nl-BE" w:eastAsia="nl-BE"/>
              </w:rPr>
              <w:t>rentevoet</w:t>
            </w:r>
          </w:p>
        </w:tc>
        <w:tc>
          <w:tcPr>
            <w:tcW w:w="1074" w:type="pct"/>
            <w:shd w:val="pct10" w:color="auto" w:fill="FFFFFF" w:themeFill="background1"/>
            <w:noWrap/>
            <w:vAlign w:val="bottom"/>
            <w:hideMark/>
          </w:tcPr>
          <w:p w:rsidR="001E4E40" w:rsidRPr="001E4E40" w:rsidRDefault="001E4E40" w:rsidP="00F05121">
            <w:pPr>
              <w:rPr>
                <w:b/>
                <w:color w:val="000000"/>
                <w:sz w:val="20"/>
                <w:lang w:val="nl-BE" w:eastAsia="nl-BE"/>
              </w:rPr>
            </w:pPr>
            <w:r w:rsidRPr="001E4E40">
              <w:rPr>
                <w:b/>
                <w:color w:val="000000"/>
                <w:sz w:val="20"/>
                <w:lang w:val="nl-BE" w:eastAsia="nl-BE"/>
              </w:rPr>
              <w:t>Afwijking van max.</w:t>
            </w:r>
          </w:p>
          <w:p w:rsidR="001E4E40" w:rsidRPr="001E4E40" w:rsidRDefault="001E4E40" w:rsidP="00F05121">
            <w:pPr>
              <w:rPr>
                <w:b/>
                <w:color w:val="000000"/>
                <w:sz w:val="20"/>
                <w:lang w:val="nl-BE" w:eastAsia="nl-BE"/>
              </w:rPr>
            </w:pPr>
            <w:r w:rsidRPr="001E4E40">
              <w:rPr>
                <w:b/>
                <w:color w:val="000000"/>
                <w:sz w:val="20"/>
                <w:lang w:val="nl-BE" w:eastAsia="nl-BE"/>
              </w:rPr>
              <w:t>rentevoet</w:t>
            </w:r>
          </w:p>
        </w:tc>
        <w:tc>
          <w:tcPr>
            <w:tcW w:w="1054" w:type="pct"/>
            <w:shd w:val="pct10" w:color="auto" w:fill="FFFFFF" w:themeFill="background1"/>
            <w:noWrap/>
            <w:vAlign w:val="bottom"/>
            <w:hideMark/>
          </w:tcPr>
          <w:p w:rsidR="001E4E40" w:rsidRPr="001E4E40" w:rsidRDefault="001E4E40" w:rsidP="00F05121">
            <w:pPr>
              <w:rPr>
                <w:b/>
                <w:color w:val="000000"/>
                <w:sz w:val="20"/>
                <w:lang w:val="nl-BE" w:eastAsia="nl-BE"/>
              </w:rPr>
            </w:pPr>
            <w:r w:rsidRPr="001E4E40">
              <w:rPr>
                <w:b/>
                <w:color w:val="000000"/>
                <w:sz w:val="20"/>
                <w:lang w:val="nl-BE" w:eastAsia="nl-BE"/>
              </w:rPr>
              <w:t>Afwijking van min.</w:t>
            </w:r>
          </w:p>
          <w:p w:rsidR="001E4E40" w:rsidRPr="001E4E40" w:rsidRDefault="001E4E40" w:rsidP="00F05121">
            <w:pPr>
              <w:rPr>
                <w:b/>
                <w:color w:val="000000"/>
                <w:sz w:val="20"/>
                <w:lang w:val="nl-BE" w:eastAsia="nl-BE"/>
              </w:rPr>
            </w:pPr>
            <w:r w:rsidRPr="001E4E40">
              <w:rPr>
                <w:b/>
                <w:color w:val="000000"/>
                <w:sz w:val="20"/>
                <w:lang w:val="nl-BE" w:eastAsia="nl-BE"/>
              </w:rPr>
              <w:t>rentevoet</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2006</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4,99</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7,00</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3,75</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2,01</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1,24</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2007</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4,47</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6,00</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3,00</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1,53</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1,47</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2008</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4,97</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7,00</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3,50</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2,03</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1,47</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2009</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4,33</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5,50</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2,75</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1,17</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1,58</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2010</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3,00</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3,25</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1,63</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0,25</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1,37</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2011</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3,09</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3,75</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1,88</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0,66</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1,21</w:t>
            </w:r>
          </w:p>
        </w:tc>
      </w:tr>
      <w:tr w:rsidR="001E4E40" w:rsidRPr="001E4E40" w:rsidTr="00F05121">
        <w:trPr>
          <w:trHeight w:val="70"/>
        </w:trPr>
        <w:tc>
          <w:tcPr>
            <w:tcW w:w="938" w:type="pct"/>
            <w:shd w:val="clear" w:color="auto" w:fill="auto"/>
            <w:noWrap/>
            <w:vAlign w:val="bottom"/>
            <w:hideMark/>
          </w:tcPr>
          <w:p w:rsidR="001E4E40" w:rsidRPr="001E4E40" w:rsidRDefault="001E4E40" w:rsidP="00F05121">
            <w:pPr>
              <w:rPr>
                <w:color w:val="000000"/>
                <w:sz w:val="20"/>
                <w:lang w:val="nl-BE" w:eastAsia="nl-BE"/>
              </w:rPr>
            </w:pPr>
            <w:r w:rsidRPr="001E4E40">
              <w:rPr>
                <w:color w:val="000000"/>
                <w:sz w:val="20"/>
                <w:lang w:val="nl-BE" w:eastAsia="nl-BE"/>
              </w:rPr>
              <w:t>2012</w:t>
            </w:r>
          </w:p>
        </w:tc>
        <w:tc>
          <w:tcPr>
            <w:tcW w:w="708"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3,33</w:t>
            </w:r>
          </w:p>
        </w:tc>
        <w:tc>
          <w:tcPr>
            <w:tcW w:w="622"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4,25</w:t>
            </w:r>
          </w:p>
        </w:tc>
        <w:tc>
          <w:tcPr>
            <w:tcW w:w="603"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2,13</w:t>
            </w:r>
          </w:p>
        </w:tc>
        <w:tc>
          <w:tcPr>
            <w:tcW w:w="107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0,92</w:t>
            </w:r>
          </w:p>
        </w:tc>
        <w:tc>
          <w:tcPr>
            <w:tcW w:w="1054" w:type="pct"/>
            <w:shd w:val="clear" w:color="auto" w:fill="auto"/>
            <w:noWrap/>
            <w:vAlign w:val="bottom"/>
            <w:hideMark/>
          </w:tcPr>
          <w:p w:rsidR="001E4E40" w:rsidRPr="001E4E40" w:rsidRDefault="001E4E40" w:rsidP="00F05121">
            <w:pPr>
              <w:jc w:val="right"/>
              <w:rPr>
                <w:color w:val="000000"/>
                <w:sz w:val="20"/>
                <w:lang w:val="nl-BE" w:eastAsia="nl-BE"/>
              </w:rPr>
            </w:pPr>
            <w:r w:rsidRPr="001E4E40">
              <w:rPr>
                <w:color w:val="000000"/>
                <w:sz w:val="20"/>
                <w:lang w:val="nl-BE" w:eastAsia="nl-BE"/>
              </w:rPr>
              <w:t>1,20</w:t>
            </w:r>
          </w:p>
        </w:tc>
      </w:tr>
    </w:tbl>
    <w:p w:rsidR="001E4E40" w:rsidRPr="001E4E40" w:rsidRDefault="001E4E40" w:rsidP="001E4E40">
      <w:pPr>
        <w:pStyle w:val="SVTitel"/>
        <w:tabs>
          <w:tab w:val="left" w:pos="426"/>
        </w:tabs>
        <w:ind w:left="852" w:hanging="426"/>
        <w:rPr>
          <w:i w:val="0"/>
        </w:rPr>
      </w:pPr>
    </w:p>
    <w:p w:rsidR="001E4E40" w:rsidRPr="001E4E40" w:rsidRDefault="001E4E40" w:rsidP="00272FD3">
      <w:pPr>
        <w:pStyle w:val="SVTitel"/>
        <w:tabs>
          <w:tab w:val="left" w:pos="426"/>
        </w:tabs>
        <w:ind w:left="426"/>
        <w:rPr>
          <w:i w:val="0"/>
        </w:rPr>
      </w:pPr>
      <w:r w:rsidRPr="001E4E40">
        <w:rPr>
          <w:i w:val="0"/>
        </w:rPr>
        <w:t xml:space="preserve">De gemiddelde rentevoet schommelt tussen de 3% en </w:t>
      </w:r>
      <w:r w:rsidR="00A03A76" w:rsidRPr="001E4E40">
        <w:rPr>
          <w:i w:val="0"/>
        </w:rPr>
        <w:t xml:space="preserve">5%. </w:t>
      </w:r>
      <w:r w:rsidRPr="001E4E40">
        <w:rPr>
          <w:i w:val="0"/>
        </w:rPr>
        <w:t>De afwijking t.o.v. de minimumgrens blijft de voorbije jaren constant. De afwijking t.o.v. de maximumgrens varieert naargelang de hoogte van deze maximumgrens. Hoe hoger de maximumgrens, hoe groter de afwijking van de gemiddelde rentevoet.</w:t>
      </w:r>
    </w:p>
    <w:p w:rsidR="001E4E40" w:rsidRDefault="001E4E40" w:rsidP="00A03A76">
      <w:pPr>
        <w:pStyle w:val="SVTitel"/>
        <w:tabs>
          <w:tab w:val="left" w:pos="426"/>
        </w:tabs>
        <w:ind w:left="852" w:hanging="426"/>
        <w:jc w:val="left"/>
        <w:rPr>
          <w:i w:val="0"/>
        </w:rPr>
      </w:pPr>
    </w:p>
    <w:p w:rsidR="00BB5D62" w:rsidRPr="001E4E40" w:rsidRDefault="00BB5D62" w:rsidP="00A03A76">
      <w:pPr>
        <w:pStyle w:val="SVTitel"/>
        <w:tabs>
          <w:tab w:val="left" w:pos="426"/>
        </w:tabs>
        <w:ind w:left="852" w:hanging="426"/>
        <w:jc w:val="left"/>
        <w:rPr>
          <w:i w:val="0"/>
        </w:rPr>
      </w:pPr>
    </w:p>
    <w:p w:rsidR="0076329B" w:rsidRDefault="00602406" w:rsidP="00272FD3">
      <w:pPr>
        <w:pStyle w:val="SVTitel"/>
        <w:tabs>
          <w:tab w:val="left" w:pos="426"/>
        </w:tabs>
        <w:ind w:left="426" w:hanging="426"/>
        <w:rPr>
          <w:i w:val="0"/>
        </w:rPr>
      </w:pPr>
      <w:r>
        <w:rPr>
          <w:i w:val="0"/>
        </w:rPr>
        <w:t>5.</w:t>
      </w:r>
      <w:r>
        <w:rPr>
          <w:i w:val="0"/>
        </w:rPr>
        <w:tab/>
      </w:r>
      <w:r w:rsidR="001E4E40" w:rsidRPr="001E4E40">
        <w:rPr>
          <w:i w:val="0"/>
        </w:rPr>
        <w:t xml:space="preserve">In de </w:t>
      </w:r>
      <w:r w:rsidR="001E4E40">
        <w:rPr>
          <w:i w:val="0"/>
        </w:rPr>
        <w:t>onderstaande</w:t>
      </w:r>
      <w:r w:rsidR="001E4E40" w:rsidRPr="001E4E40">
        <w:rPr>
          <w:i w:val="0"/>
        </w:rPr>
        <w:t xml:space="preserve"> tabel worden de opgezegde verbintenissen weergegeven per jaar waarin ze werden geregistreerd, samen met de gemiddelde rentevoet van de opgezegde verbintenissen en de gemiddelde rentevoet van het totaal aantal geregistreerde verbintenissen in dat jaar. Hieruit blijkt dat de gemiddelde rentevoet van de opgezegde verbintenissen geen grote afwijkingen vertoont t.o.v. de gemiddelde totale rentevoet. Bovendien is de dataset van de opgezegde verbintenissen op heden nog te klein om effectieve conclusies te kunnen trekken.</w:t>
      </w:r>
    </w:p>
    <w:p w:rsidR="008D3E6E" w:rsidRDefault="008D3E6E" w:rsidP="00A03A76">
      <w:pPr>
        <w:pStyle w:val="SVTitel"/>
        <w:tabs>
          <w:tab w:val="left" w:pos="426"/>
        </w:tabs>
        <w:ind w:left="852" w:hanging="426"/>
        <w:jc w:val="left"/>
        <w:rPr>
          <w:i w:val="0"/>
        </w:rPr>
      </w:pP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3000"/>
        <w:gridCol w:w="718"/>
        <w:gridCol w:w="1208"/>
        <w:gridCol w:w="1535"/>
        <w:gridCol w:w="2115"/>
      </w:tblGrid>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Jaar registratie</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Status</w:t>
            </w:r>
          </w:p>
        </w:tc>
        <w:tc>
          <w:tcPr>
            <w:tcW w:w="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Aantal</w:t>
            </w:r>
          </w:p>
        </w:tc>
        <w:tc>
          <w:tcPr>
            <w:tcW w:w="63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Bedrag</w:t>
            </w:r>
          </w:p>
        </w:tc>
        <w:tc>
          <w:tcPr>
            <w:tcW w:w="77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Gemiddelde</w:t>
            </w:r>
          </w:p>
          <w:p w:rsidR="008D3E6E" w:rsidRPr="001E4E40" w:rsidRDefault="008D3E6E" w:rsidP="008D3E6E">
            <w:pPr>
              <w:rPr>
                <w:b/>
                <w:color w:val="000000"/>
                <w:sz w:val="20"/>
                <w:lang w:val="nl-BE" w:eastAsia="nl-BE"/>
              </w:rPr>
            </w:pPr>
            <w:r w:rsidRPr="001E4E40">
              <w:rPr>
                <w:b/>
                <w:color w:val="000000"/>
                <w:sz w:val="20"/>
                <w:lang w:val="nl-BE" w:eastAsia="nl-BE"/>
              </w:rPr>
              <w:t>rentevoet (opz.)</w:t>
            </w:r>
          </w:p>
        </w:tc>
        <w:tc>
          <w:tcPr>
            <w:tcW w:w="1064"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Gem. rentevoet totaal</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2006</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€ 51.250,00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4,00</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Schrapping van ambtswege</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€ 85.000,00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5,50</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2006</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6</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€ 136.250,00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4,75</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4,99</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2007</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6</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€ 187.380,00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4,42</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10</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€ 270.000,00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5,20</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Schrapping van ambtswege</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7</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€ 126.000,00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4,43</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2007</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23</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€ 583.380,00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4,76</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4,47</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2008</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8</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€ 275.000,00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5,14</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€ 139.000,00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4,58</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Schrapping van ambtswege</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12</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€ 291.125,00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5,04</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2008</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25</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€ 705.125,00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4,98</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4,97</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2009</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9</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€ 198.250,00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4,00</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€ 120.000,00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4,60</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Schrapping van ambtswege</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6</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€ 128.000,00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3,63</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2009</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20</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€ 446.250,00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4,04</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4,33</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2010</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7</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€ 88.000,00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3,11</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9</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€ 153.000,00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2,64</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2010</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16</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€ 241.000,00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2,84</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3</w:t>
            </w:r>
            <w:r w:rsidR="003139C7" w:rsidRPr="001E4E40">
              <w:rPr>
                <w:b/>
                <w:color w:val="000000"/>
                <w:sz w:val="20"/>
                <w:lang w:val="nl-BE" w:eastAsia="nl-BE"/>
              </w:rPr>
              <w:t>,00</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2011</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5</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€ 69.000,00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2,88</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14</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€ 435.500,00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3,16</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2011</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19</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€ 504.500,00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3,09</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3,09</w:t>
            </w:r>
          </w:p>
        </w:tc>
      </w:tr>
      <w:tr w:rsidR="008D3E6E" w:rsidRPr="001E4E40" w:rsidTr="001E4E40">
        <w:trPr>
          <w:trHeight w:val="70"/>
        </w:trPr>
        <w:tc>
          <w:tcPr>
            <w:tcW w:w="808" w:type="pct"/>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2012</w:t>
            </w:r>
          </w:p>
        </w:tc>
        <w:tc>
          <w:tcPr>
            <w:tcW w:w="1357" w:type="pct"/>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met fisc</w:t>
            </w:r>
            <w:r>
              <w:rPr>
                <w:color w:val="000000"/>
                <w:sz w:val="20"/>
                <w:lang w:val="nl-BE" w:eastAsia="nl-BE"/>
              </w:rPr>
              <w:t>aal v</w:t>
            </w:r>
            <w:r w:rsidRPr="008B154E">
              <w:rPr>
                <w:color w:val="000000"/>
                <w:sz w:val="20"/>
                <w:lang w:val="nl-BE" w:eastAsia="nl-BE"/>
              </w:rPr>
              <w:t>oordeel</w:t>
            </w:r>
          </w:p>
        </w:tc>
        <w:tc>
          <w:tcPr>
            <w:tcW w:w="35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1</w:t>
            </w:r>
          </w:p>
        </w:tc>
        <w:tc>
          <w:tcPr>
            <w:tcW w:w="637"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€ 30.000,00</w:t>
            </w:r>
          </w:p>
        </w:tc>
        <w:tc>
          <w:tcPr>
            <w:tcW w:w="778" w:type="pct"/>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4,25</w:t>
            </w:r>
          </w:p>
        </w:tc>
        <w:tc>
          <w:tcPr>
            <w:tcW w:w="1064" w:type="pct"/>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r w:rsidRPr="001E4E40">
              <w:rPr>
                <w:color w:val="000000"/>
                <w:sz w:val="20"/>
                <w:lang w:val="nl-BE" w:eastAsia="nl-BE"/>
              </w:rPr>
              <w:t> </w:t>
            </w:r>
          </w:p>
        </w:tc>
        <w:tc>
          <w:tcPr>
            <w:tcW w:w="1357" w:type="pct"/>
            <w:tcBorders>
              <w:bottom w:val="single" w:sz="4" w:space="0" w:color="auto"/>
            </w:tcBorders>
            <w:shd w:val="clear" w:color="auto" w:fill="auto"/>
            <w:noWrap/>
            <w:vAlign w:val="bottom"/>
            <w:hideMark/>
          </w:tcPr>
          <w:p w:rsidR="008D3E6E" w:rsidRPr="001E4E40" w:rsidRDefault="001E4E40" w:rsidP="008D3E6E">
            <w:pPr>
              <w:rPr>
                <w:color w:val="000000"/>
                <w:sz w:val="20"/>
                <w:lang w:val="nl-BE" w:eastAsia="nl-BE"/>
              </w:rPr>
            </w:pPr>
            <w:r w:rsidRPr="008B154E">
              <w:rPr>
                <w:color w:val="000000"/>
                <w:sz w:val="20"/>
                <w:lang w:val="nl-BE" w:eastAsia="nl-BE"/>
              </w:rPr>
              <w:t>Afgeroepen z</w:t>
            </w:r>
            <w:r>
              <w:rPr>
                <w:color w:val="000000"/>
                <w:sz w:val="20"/>
                <w:lang w:val="nl-BE" w:eastAsia="nl-BE"/>
              </w:rPr>
              <w:t>onder fiscaal</w:t>
            </w:r>
            <w:r w:rsidRPr="008B154E">
              <w:rPr>
                <w:color w:val="000000"/>
                <w:sz w:val="20"/>
                <w:lang w:val="nl-BE" w:eastAsia="nl-BE"/>
              </w:rPr>
              <w:t xml:space="preserve"> voordeel</w:t>
            </w:r>
          </w:p>
        </w:tc>
        <w:tc>
          <w:tcPr>
            <w:tcW w:w="35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9</w:t>
            </w:r>
          </w:p>
        </w:tc>
        <w:tc>
          <w:tcPr>
            <w:tcW w:w="637"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€ 244.000,00</w:t>
            </w:r>
          </w:p>
        </w:tc>
        <w:tc>
          <w:tcPr>
            <w:tcW w:w="778" w:type="pct"/>
            <w:tcBorders>
              <w:bottom w:val="single" w:sz="4" w:space="0" w:color="auto"/>
            </w:tcBorders>
            <w:shd w:val="clear" w:color="auto" w:fill="auto"/>
            <w:noWrap/>
            <w:vAlign w:val="bottom"/>
            <w:hideMark/>
          </w:tcPr>
          <w:p w:rsidR="008D3E6E" w:rsidRPr="001E4E40" w:rsidRDefault="008D3E6E" w:rsidP="008D3E6E">
            <w:pPr>
              <w:jc w:val="right"/>
              <w:rPr>
                <w:color w:val="000000"/>
                <w:sz w:val="20"/>
                <w:lang w:val="nl-BE" w:eastAsia="nl-BE"/>
              </w:rPr>
            </w:pPr>
            <w:r w:rsidRPr="001E4E40">
              <w:rPr>
                <w:color w:val="000000"/>
                <w:sz w:val="20"/>
                <w:lang w:val="nl-BE" w:eastAsia="nl-BE"/>
              </w:rPr>
              <w:t>3,42</w:t>
            </w:r>
          </w:p>
        </w:tc>
        <w:tc>
          <w:tcPr>
            <w:tcW w:w="1064" w:type="pct"/>
            <w:tcBorders>
              <w:bottom w:val="single" w:sz="4" w:space="0" w:color="auto"/>
            </w:tcBorders>
            <w:shd w:val="clear" w:color="auto" w:fill="auto"/>
            <w:noWrap/>
            <w:vAlign w:val="bottom"/>
            <w:hideMark/>
          </w:tcPr>
          <w:p w:rsidR="008D3E6E" w:rsidRPr="001E4E40" w:rsidRDefault="008D3E6E" w:rsidP="008D3E6E">
            <w:pPr>
              <w:rPr>
                <w:color w:val="000000"/>
                <w:sz w:val="20"/>
                <w:lang w:val="nl-BE" w:eastAsia="nl-BE"/>
              </w:rPr>
            </w:pPr>
          </w:p>
        </w:tc>
      </w:tr>
      <w:tr w:rsidR="008D3E6E" w:rsidRPr="001E4E40" w:rsidTr="001E4E40">
        <w:trPr>
          <w:trHeight w:val="70"/>
        </w:trPr>
        <w:tc>
          <w:tcPr>
            <w:tcW w:w="808"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Totaal 2012</w:t>
            </w:r>
          </w:p>
        </w:tc>
        <w:tc>
          <w:tcPr>
            <w:tcW w:w="1357" w:type="pct"/>
            <w:shd w:val="pct10" w:color="auto" w:fill="FFFFFF" w:themeFill="background1"/>
            <w:noWrap/>
            <w:vAlign w:val="bottom"/>
            <w:hideMark/>
          </w:tcPr>
          <w:p w:rsidR="008D3E6E" w:rsidRPr="001E4E40" w:rsidRDefault="008D3E6E" w:rsidP="008D3E6E">
            <w:pPr>
              <w:rPr>
                <w:b/>
                <w:color w:val="000000"/>
                <w:sz w:val="20"/>
                <w:lang w:val="nl-BE" w:eastAsia="nl-BE"/>
              </w:rPr>
            </w:pPr>
            <w:r w:rsidRPr="001E4E40">
              <w:rPr>
                <w:b/>
                <w:color w:val="000000"/>
                <w:sz w:val="20"/>
                <w:lang w:val="nl-BE" w:eastAsia="nl-BE"/>
              </w:rPr>
              <w:t> </w:t>
            </w:r>
          </w:p>
        </w:tc>
        <w:tc>
          <w:tcPr>
            <w:tcW w:w="35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10</w:t>
            </w:r>
          </w:p>
        </w:tc>
        <w:tc>
          <w:tcPr>
            <w:tcW w:w="637"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€ 274.000,00</w:t>
            </w:r>
          </w:p>
        </w:tc>
        <w:tc>
          <w:tcPr>
            <w:tcW w:w="778"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3,50</w:t>
            </w:r>
          </w:p>
        </w:tc>
        <w:tc>
          <w:tcPr>
            <w:tcW w:w="1064" w:type="pct"/>
            <w:shd w:val="pct10" w:color="auto" w:fill="FFFFFF" w:themeFill="background1"/>
            <w:noWrap/>
            <w:vAlign w:val="bottom"/>
            <w:hideMark/>
          </w:tcPr>
          <w:p w:rsidR="008D3E6E" w:rsidRPr="001E4E40" w:rsidRDefault="008D3E6E" w:rsidP="008D3E6E">
            <w:pPr>
              <w:jc w:val="right"/>
              <w:rPr>
                <w:b/>
                <w:color w:val="000000"/>
                <w:sz w:val="20"/>
                <w:lang w:val="nl-BE" w:eastAsia="nl-BE"/>
              </w:rPr>
            </w:pPr>
            <w:r w:rsidRPr="001E4E40">
              <w:rPr>
                <w:b/>
                <w:color w:val="000000"/>
                <w:sz w:val="20"/>
                <w:lang w:val="nl-BE" w:eastAsia="nl-BE"/>
              </w:rPr>
              <w:t>3,33</w:t>
            </w:r>
          </w:p>
        </w:tc>
      </w:tr>
    </w:tbl>
    <w:p w:rsidR="001E4E40" w:rsidRDefault="001E4E40" w:rsidP="00A03A76">
      <w:pPr>
        <w:pStyle w:val="SVTitel"/>
        <w:tabs>
          <w:tab w:val="left" w:pos="426"/>
        </w:tabs>
        <w:ind w:left="426" w:hanging="426"/>
        <w:jc w:val="left"/>
        <w:rPr>
          <w:i w:val="0"/>
          <w:szCs w:val="22"/>
        </w:rPr>
      </w:pPr>
    </w:p>
    <w:p w:rsidR="00BB5D62" w:rsidRDefault="00BB5D62" w:rsidP="00A03A76">
      <w:pPr>
        <w:pStyle w:val="SVTitel"/>
        <w:tabs>
          <w:tab w:val="left" w:pos="426"/>
        </w:tabs>
        <w:ind w:left="426" w:hanging="426"/>
        <w:jc w:val="left"/>
        <w:rPr>
          <w:i w:val="0"/>
          <w:szCs w:val="22"/>
        </w:rPr>
      </w:pPr>
    </w:p>
    <w:p w:rsidR="00BB5D62" w:rsidRDefault="00BB5D62" w:rsidP="00A03A76">
      <w:pPr>
        <w:pStyle w:val="SVTitel"/>
        <w:tabs>
          <w:tab w:val="left" w:pos="426"/>
        </w:tabs>
        <w:ind w:left="426" w:hanging="426"/>
        <w:jc w:val="left"/>
        <w:rPr>
          <w:i w:val="0"/>
          <w:szCs w:val="22"/>
        </w:rPr>
      </w:pPr>
    </w:p>
    <w:p w:rsidR="00BB5D62" w:rsidRDefault="00BB5D62" w:rsidP="00A03A76">
      <w:pPr>
        <w:pStyle w:val="SVTitel"/>
        <w:tabs>
          <w:tab w:val="left" w:pos="426"/>
        </w:tabs>
        <w:ind w:left="426" w:hanging="426"/>
        <w:jc w:val="left"/>
        <w:rPr>
          <w:i w:val="0"/>
          <w:szCs w:val="22"/>
        </w:rPr>
      </w:pPr>
    </w:p>
    <w:p w:rsidR="00BB5D62" w:rsidRDefault="00BB5D62" w:rsidP="00A03A76">
      <w:pPr>
        <w:pStyle w:val="SVTitel"/>
        <w:tabs>
          <w:tab w:val="left" w:pos="426"/>
        </w:tabs>
        <w:ind w:left="426" w:hanging="426"/>
        <w:jc w:val="left"/>
        <w:rPr>
          <w:i w:val="0"/>
          <w:szCs w:val="22"/>
        </w:rPr>
      </w:pPr>
    </w:p>
    <w:p w:rsidR="00BB5D62" w:rsidRPr="00A03A76" w:rsidRDefault="00BB5D62" w:rsidP="00A03A76">
      <w:pPr>
        <w:pStyle w:val="SVTitel"/>
        <w:tabs>
          <w:tab w:val="left" w:pos="426"/>
        </w:tabs>
        <w:ind w:left="426" w:hanging="426"/>
        <w:jc w:val="left"/>
        <w:rPr>
          <w:i w:val="0"/>
          <w:szCs w:val="22"/>
        </w:rPr>
      </w:pPr>
    </w:p>
    <w:p w:rsidR="0076329B" w:rsidRPr="00A03A76" w:rsidRDefault="00570922" w:rsidP="00272FD3">
      <w:pPr>
        <w:pStyle w:val="SVTitel"/>
        <w:tabs>
          <w:tab w:val="left" w:pos="426"/>
        </w:tabs>
        <w:ind w:left="426" w:hanging="426"/>
        <w:rPr>
          <w:i w:val="0"/>
          <w:szCs w:val="22"/>
        </w:rPr>
      </w:pPr>
      <w:r w:rsidRPr="00A03A76">
        <w:rPr>
          <w:i w:val="0"/>
          <w:szCs w:val="22"/>
        </w:rPr>
        <w:lastRenderedPageBreak/>
        <w:t>6.</w:t>
      </w:r>
      <w:r w:rsidRPr="00A03A76">
        <w:rPr>
          <w:i w:val="0"/>
          <w:szCs w:val="22"/>
        </w:rPr>
        <w:tab/>
      </w:r>
      <w:r w:rsidR="001E4E40" w:rsidRPr="00A03A76">
        <w:rPr>
          <w:i w:val="0"/>
          <w:szCs w:val="22"/>
        </w:rPr>
        <w:t>Jaarlijks wordt door Waarborgbeheer nv een werkingsverslag van de Winwinlening opgemaakt. Sinds de uitbreiding van de Winwinlening in 2011 is het aantal en toegestaan bedrag enorm g</w:t>
      </w:r>
      <w:r w:rsidR="001E4E40" w:rsidRPr="00A03A76">
        <w:rPr>
          <w:i w:val="0"/>
          <w:szCs w:val="22"/>
        </w:rPr>
        <w:t>e</w:t>
      </w:r>
      <w:r w:rsidR="001E4E40" w:rsidRPr="00A03A76">
        <w:rPr>
          <w:i w:val="0"/>
          <w:szCs w:val="22"/>
        </w:rPr>
        <w:t xml:space="preserve">stegen. Ten opzichte van 2010 wordt zelfs een </w:t>
      </w:r>
      <w:r w:rsidR="00A03A76">
        <w:rPr>
          <w:i w:val="0"/>
          <w:szCs w:val="22"/>
        </w:rPr>
        <w:t>ver</w:t>
      </w:r>
      <w:r w:rsidR="00A03A76" w:rsidRPr="00A03A76">
        <w:rPr>
          <w:i w:val="0"/>
          <w:szCs w:val="22"/>
        </w:rPr>
        <w:t>viervoudiging</w:t>
      </w:r>
      <w:r w:rsidR="001E4E40" w:rsidRPr="00A03A76">
        <w:rPr>
          <w:i w:val="0"/>
          <w:szCs w:val="22"/>
        </w:rPr>
        <w:t xml:space="preserve"> van de productie vastgesteld. Op basis van deze gegevens kan besloten worden dat de Winwinlening zeker bijdraagt tot het ve</w:t>
      </w:r>
      <w:r w:rsidR="001E4E40" w:rsidRPr="00A03A76">
        <w:rPr>
          <w:i w:val="0"/>
          <w:szCs w:val="22"/>
        </w:rPr>
        <w:t>r</w:t>
      </w:r>
      <w:r w:rsidR="001E4E40" w:rsidRPr="00A03A76">
        <w:rPr>
          <w:i w:val="0"/>
          <w:szCs w:val="22"/>
        </w:rPr>
        <w:t>strekken aan de nodige financieringsmiddelen aan kmo’s die het moeilijk hebben om via de b</w:t>
      </w:r>
      <w:r w:rsidR="001E4E40" w:rsidRPr="00A03A76">
        <w:rPr>
          <w:i w:val="0"/>
          <w:szCs w:val="22"/>
        </w:rPr>
        <w:t>e</w:t>
      </w:r>
      <w:r w:rsidR="001E4E40" w:rsidRPr="00A03A76">
        <w:rPr>
          <w:i w:val="0"/>
          <w:szCs w:val="22"/>
        </w:rPr>
        <w:t>staande financieringskanalen de noodzakelijke liquiditeiten te verwerven. Een verder</w:t>
      </w:r>
      <w:r w:rsidR="007C1F51">
        <w:rPr>
          <w:i w:val="0"/>
          <w:szCs w:val="22"/>
        </w:rPr>
        <w:t>e</w:t>
      </w:r>
      <w:r w:rsidR="001E4E40" w:rsidRPr="00A03A76">
        <w:rPr>
          <w:i w:val="0"/>
          <w:szCs w:val="22"/>
        </w:rPr>
        <w:t xml:space="preserve"> uitbreiding van de Winwinlening, d.m.v. een verhoging van het </w:t>
      </w:r>
      <w:r w:rsidR="00A03A76" w:rsidRPr="00A03A76">
        <w:rPr>
          <w:i w:val="0"/>
          <w:szCs w:val="22"/>
        </w:rPr>
        <w:t xml:space="preserve">plafond, </w:t>
      </w:r>
      <w:r w:rsidR="001E4E40" w:rsidRPr="00A03A76">
        <w:rPr>
          <w:i w:val="0"/>
          <w:szCs w:val="22"/>
        </w:rPr>
        <w:t>kan voor kmo’s interessant zijn om nog bijkomende liquiditeiten te verwerven of om in meer startkapitaal te voorzien waar nodig</w:t>
      </w:r>
      <w:r w:rsidR="00A03A76" w:rsidRPr="00A03A76">
        <w:rPr>
          <w:i w:val="0"/>
          <w:szCs w:val="22"/>
        </w:rPr>
        <w:t>.</w:t>
      </w:r>
    </w:p>
    <w:p w:rsidR="0076329B" w:rsidRDefault="0076329B" w:rsidP="00A03A76">
      <w:pPr>
        <w:pStyle w:val="SVTitel"/>
        <w:jc w:val="left"/>
        <w:rPr>
          <w:i w:val="0"/>
          <w:szCs w:val="22"/>
        </w:rPr>
      </w:pPr>
    </w:p>
    <w:p w:rsidR="00BB5D62" w:rsidRPr="00A03A76" w:rsidRDefault="00BB5D62" w:rsidP="00A03A76">
      <w:pPr>
        <w:pStyle w:val="SVTitel"/>
        <w:jc w:val="left"/>
        <w:rPr>
          <w:i w:val="0"/>
          <w:szCs w:val="22"/>
        </w:rPr>
      </w:pPr>
    </w:p>
    <w:p w:rsidR="00015A85" w:rsidRPr="00A03A76" w:rsidRDefault="001E4E40" w:rsidP="00272FD3">
      <w:pPr>
        <w:pStyle w:val="SVTitel"/>
        <w:ind w:left="426" w:hanging="426"/>
        <w:rPr>
          <w:i w:val="0"/>
          <w:szCs w:val="22"/>
        </w:rPr>
      </w:pPr>
      <w:r w:rsidRPr="00A03A76">
        <w:rPr>
          <w:i w:val="0"/>
          <w:szCs w:val="22"/>
        </w:rPr>
        <w:t>7a.</w:t>
      </w:r>
      <w:r w:rsidRPr="00A03A76">
        <w:rPr>
          <w:i w:val="0"/>
          <w:szCs w:val="22"/>
        </w:rPr>
        <w:tab/>
      </w:r>
      <w:r w:rsidR="00F86A00" w:rsidRPr="00A03A76">
        <w:rPr>
          <w:i w:val="0"/>
          <w:szCs w:val="22"/>
        </w:rPr>
        <w:t xml:space="preserve">In eerste instantie werd de huidige productie grondig geanalyseerd. Er werd eveneens gekeken, op </w:t>
      </w:r>
      <w:bookmarkStart w:id="0" w:name="_GoBack"/>
      <w:r w:rsidR="00F86A00" w:rsidRPr="00A03A76">
        <w:rPr>
          <w:i w:val="0"/>
          <w:szCs w:val="22"/>
        </w:rPr>
        <w:t xml:space="preserve">basis van de beschikbare informatie bij Waarborgbeheer nv, hoeveel kredietnemers er momenteel </w:t>
      </w:r>
      <w:bookmarkEnd w:id="0"/>
      <w:r w:rsidR="00F86A00" w:rsidRPr="00A03A76">
        <w:rPr>
          <w:i w:val="0"/>
          <w:szCs w:val="22"/>
        </w:rPr>
        <w:t>reeds gebruik maken van het maximaal bedrag van 100.000 euro dat aan één kredietnemer kan worden toegekend. Per 30/09/2012 waren er slechts 134 kredietnemers die het huidig</w:t>
      </w:r>
      <w:r w:rsidR="007C1F51">
        <w:rPr>
          <w:i w:val="0"/>
          <w:szCs w:val="22"/>
        </w:rPr>
        <w:t>e</w:t>
      </w:r>
      <w:r w:rsidR="00F86A00" w:rsidRPr="00A03A76">
        <w:rPr>
          <w:i w:val="0"/>
          <w:szCs w:val="22"/>
        </w:rPr>
        <w:t xml:space="preserve"> maximum van 100.000 euro hadden bereikt, op heden betreft dit reeds 191 kredietnemers. Gezien de stijging op deze korte periode wordt besloten dat het optrekken van het plafond naar 200.000 euro per kredietnemer een toegevoegde waarde is voor de kmo’s die op zoek zijn naar de nodige liquidite</w:t>
      </w:r>
      <w:r w:rsidR="00F86A00" w:rsidRPr="00A03A76">
        <w:rPr>
          <w:i w:val="0"/>
          <w:szCs w:val="22"/>
        </w:rPr>
        <w:t>i</w:t>
      </w:r>
      <w:r w:rsidR="00F86A00" w:rsidRPr="00A03A76">
        <w:rPr>
          <w:i w:val="0"/>
          <w:szCs w:val="22"/>
        </w:rPr>
        <w:t>ten, maar waar de bestaande financieringskanalen tekort</w:t>
      </w:r>
      <w:r w:rsidR="006C40F2" w:rsidRPr="00A03A76">
        <w:rPr>
          <w:i w:val="0"/>
          <w:szCs w:val="22"/>
        </w:rPr>
        <w:t xml:space="preserve"> </w:t>
      </w:r>
      <w:r w:rsidR="00F86A00" w:rsidRPr="00A03A76">
        <w:rPr>
          <w:i w:val="0"/>
          <w:szCs w:val="22"/>
        </w:rPr>
        <w:t>schieten.</w:t>
      </w:r>
    </w:p>
    <w:p w:rsidR="00570922" w:rsidRPr="00A03A76" w:rsidRDefault="00570922" w:rsidP="00A03A76">
      <w:pPr>
        <w:pStyle w:val="SVTitel"/>
        <w:ind w:left="426"/>
        <w:jc w:val="left"/>
        <w:rPr>
          <w:i w:val="0"/>
          <w:szCs w:val="22"/>
        </w:rPr>
      </w:pPr>
    </w:p>
    <w:p w:rsidR="001E7E09" w:rsidRPr="00A03A76" w:rsidRDefault="001E4E40" w:rsidP="00272FD3">
      <w:pPr>
        <w:pStyle w:val="SVTitel"/>
        <w:ind w:left="426" w:hanging="426"/>
        <w:rPr>
          <w:i w:val="0"/>
          <w:szCs w:val="22"/>
        </w:rPr>
      </w:pPr>
      <w:r w:rsidRPr="00A03A76">
        <w:rPr>
          <w:i w:val="0"/>
          <w:szCs w:val="22"/>
        </w:rPr>
        <w:t>7b.</w:t>
      </w:r>
      <w:r w:rsidRPr="00A03A76">
        <w:rPr>
          <w:i w:val="0"/>
          <w:szCs w:val="22"/>
        </w:rPr>
        <w:tab/>
      </w:r>
      <w:r w:rsidR="001E7E09" w:rsidRPr="00A03A76">
        <w:rPr>
          <w:i w:val="0"/>
          <w:szCs w:val="22"/>
        </w:rPr>
        <w:t xml:space="preserve">Voor de impact op de Vlaamse begroting wordt verwezen naar </w:t>
      </w:r>
      <w:r w:rsidR="00A03A76" w:rsidRPr="00A03A76">
        <w:rPr>
          <w:i w:val="0"/>
          <w:szCs w:val="22"/>
        </w:rPr>
        <w:t xml:space="preserve">het antwoord op </w:t>
      </w:r>
      <w:r w:rsidR="001E7E09" w:rsidRPr="00A03A76">
        <w:rPr>
          <w:i w:val="0"/>
          <w:szCs w:val="22"/>
        </w:rPr>
        <w:t xml:space="preserve">deelvraag 8 van de </w:t>
      </w:r>
      <w:r w:rsidR="00A03A76" w:rsidRPr="00A03A76">
        <w:rPr>
          <w:i w:val="0"/>
          <w:szCs w:val="22"/>
        </w:rPr>
        <w:t xml:space="preserve">schriftelijke </w:t>
      </w:r>
      <w:r w:rsidR="001E7E09" w:rsidRPr="00A03A76">
        <w:rPr>
          <w:i w:val="0"/>
          <w:szCs w:val="22"/>
        </w:rPr>
        <w:t xml:space="preserve">vraag nr. </w:t>
      </w:r>
      <w:r w:rsidR="00A03A76" w:rsidRPr="00A03A76">
        <w:rPr>
          <w:i w:val="0"/>
          <w:szCs w:val="22"/>
        </w:rPr>
        <w:t>253 van 30 januari 2013 van Robrecht Bothuyne.</w:t>
      </w:r>
    </w:p>
    <w:sectPr w:rsidR="001E7E09" w:rsidRPr="00A03A7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E1" w:rsidRDefault="002009E1">
      <w:r>
        <w:separator/>
      </w:r>
    </w:p>
  </w:endnote>
  <w:endnote w:type="continuationSeparator" w:id="0">
    <w:p w:rsidR="002009E1" w:rsidRDefault="0020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E1" w:rsidRDefault="002009E1">
      <w:r>
        <w:separator/>
      </w:r>
    </w:p>
  </w:footnote>
  <w:footnote w:type="continuationSeparator" w:id="0">
    <w:p w:rsidR="002009E1" w:rsidRDefault="00200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552015"/>
    <w:multiLevelType w:val="hybridMultilevel"/>
    <w:tmpl w:val="174616D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8C94229"/>
    <w:multiLevelType w:val="hybridMultilevel"/>
    <w:tmpl w:val="AC7C7F0A"/>
    <w:lvl w:ilvl="0" w:tplc="B106DEFA">
      <w:start w:val="1"/>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1DB6012D"/>
    <w:multiLevelType w:val="hybridMultilevel"/>
    <w:tmpl w:val="B122F1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DF5AB8"/>
    <w:multiLevelType w:val="hybridMultilevel"/>
    <w:tmpl w:val="9BAC86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0882B2B"/>
    <w:multiLevelType w:val="hybridMultilevel"/>
    <w:tmpl w:val="AC3858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899269D"/>
    <w:multiLevelType w:val="hybridMultilevel"/>
    <w:tmpl w:val="36AE33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2547729"/>
    <w:multiLevelType w:val="hybridMultilevel"/>
    <w:tmpl w:val="6FD2496E"/>
    <w:lvl w:ilvl="0" w:tplc="EF58BB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8136873"/>
    <w:multiLevelType w:val="hybridMultilevel"/>
    <w:tmpl w:val="2502387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4A183C2A"/>
    <w:multiLevelType w:val="hybridMultilevel"/>
    <w:tmpl w:val="B122F1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111505E"/>
    <w:multiLevelType w:val="hybridMultilevel"/>
    <w:tmpl w:val="FCEED0DE"/>
    <w:lvl w:ilvl="0" w:tplc="0813000F">
      <w:start w:val="1"/>
      <w:numFmt w:val="decimal"/>
      <w:lvlText w:val="%1."/>
      <w:lvlJc w:val="left"/>
      <w:pPr>
        <w:ind w:left="366" w:hanging="360"/>
      </w:p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28">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5EEF4B3C"/>
    <w:multiLevelType w:val="hybridMultilevel"/>
    <w:tmpl w:val="5D8064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5F934B64"/>
    <w:multiLevelType w:val="hybridMultilevel"/>
    <w:tmpl w:val="47B695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31"/>
  </w:num>
  <w:num w:numId="5">
    <w:abstractNumId w:val="22"/>
  </w:num>
  <w:num w:numId="6">
    <w:abstractNumId w:val="5"/>
  </w:num>
  <w:num w:numId="7">
    <w:abstractNumId w:val="37"/>
  </w:num>
  <w:num w:numId="8">
    <w:abstractNumId w:val="21"/>
  </w:num>
  <w:num w:numId="9">
    <w:abstractNumId w:val="18"/>
  </w:num>
  <w:num w:numId="10">
    <w:abstractNumId w:val="4"/>
  </w:num>
  <w:num w:numId="11">
    <w:abstractNumId w:val="16"/>
  </w:num>
  <w:num w:numId="12">
    <w:abstractNumId w:val="7"/>
  </w:num>
  <w:num w:numId="13">
    <w:abstractNumId w:val="13"/>
  </w:num>
  <w:num w:numId="14">
    <w:abstractNumId w:val="25"/>
  </w:num>
  <w:num w:numId="15">
    <w:abstractNumId w:val="14"/>
  </w:num>
  <w:num w:numId="16">
    <w:abstractNumId w:val="39"/>
  </w:num>
  <w:num w:numId="17">
    <w:abstractNumId w:val="20"/>
  </w:num>
  <w:num w:numId="18">
    <w:abstractNumId w:val="11"/>
  </w:num>
  <w:num w:numId="19">
    <w:abstractNumId w:val="29"/>
  </w:num>
  <w:num w:numId="20">
    <w:abstractNumId w:val="19"/>
  </w:num>
  <w:num w:numId="21">
    <w:abstractNumId w:val="34"/>
  </w:num>
  <w:num w:numId="22">
    <w:abstractNumId w:val="38"/>
  </w:num>
  <w:num w:numId="23">
    <w:abstractNumId w:val="3"/>
  </w:num>
  <w:num w:numId="24">
    <w:abstractNumId w:val="36"/>
  </w:num>
  <w:num w:numId="25">
    <w:abstractNumId w:val="30"/>
  </w:num>
  <w:num w:numId="26">
    <w:abstractNumId w:val="24"/>
  </w:num>
  <w:num w:numId="27">
    <w:abstractNumId w:val="23"/>
  </w:num>
  <w:num w:numId="28">
    <w:abstractNumId w:val="35"/>
  </w:num>
  <w:num w:numId="29">
    <w:abstractNumId w:val="28"/>
  </w:num>
  <w:num w:numId="30">
    <w:abstractNumId w:val="2"/>
  </w:num>
  <w:num w:numId="31">
    <w:abstractNumId w:val="33"/>
  </w:num>
  <w:num w:numId="32">
    <w:abstractNumId w:val="17"/>
  </w:num>
  <w:num w:numId="33">
    <w:abstractNumId w:val="1"/>
  </w:num>
  <w:num w:numId="34">
    <w:abstractNumId w:val="10"/>
  </w:num>
  <w:num w:numId="35">
    <w:abstractNumId w:val="9"/>
  </w:num>
  <w:num w:numId="36">
    <w:abstractNumId w:val="8"/>
  </w:num>
  <w:num w:numId="37">
    <w:abstractNumId w:val="26"/>
  </w:num>
  <w:num w:numId="38">
    <w:abstractNumId w:val="15"/>
  </w:num>
  <w:num w:numId="39">
    <w:abstractNumId w:val="32"/>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15A85"/>
    <w:rsid w:val="00033082"/>
    <w:rsid w:val="0008597D"/>
    <w:rsid w:val="000B13CA"/>
    <w:rsid w:val="000C6B7E"/>
    <w:rsid w:val="00102476"/>
    <w:rsid w:val="001058E4"/>
    <w:rsid w:val="001377B2"/>
    <w:rsid w:val="001561C9"/>
    <w:rsid w:val="0016148B"/>
    <w:rsid w:val="001626D1"/>
    <w:rsid w:val="001755B2"/>
    <w:rsid w:val="00191F58"/>
    <w:rsid w:val="001A4E37"/>
    <w:rsid w:val="001A650C"/>
    <w:rsid w:val="001C0B52"/>
    <w:rsid w:val="001D50C6"/>
    <w:rsid w:val="001E4E40"/>
    <w:rsid w:val="001E7E09"/>
    <w:rsid w:val="001F713E"/>
    <w:rsid w:val="002009E1"/>
    <w:rsid w:val="00202FA9"/>
    <w:rsid w:val="002536A1"/>
    <w:rsid w:val="00272FD3"/>
    <w:rsid w:val="002A3567"/>
    <w:rsid w:val="002B65A3"/>
    <w:rsid w:val="002F1544"/>
    <w:rsid w:val="003139C7"/>
    <w:rsid w:val="00321F10"/>
    <w:rsid w:val="0032261D"/>
    <w:rsid w:val="00323AF3"/>
    <w:rsid w:val="0034616F"/>
    <w:rsid w:val="003645A0"/>
    <w:rsid w:val="00373426"/>
    <w:rsid w:val="00374367"/>
    <w:rsid w:val="003750D5"/>
    <w:rsid w:val="0039205C"/>
    <w:rsid w:val="003B2BB3"/>
    <w:rsid w:val="003B6A5C"/>
    <w:rsid w:val="003C5959"/>
    <w:rsid w:val="00423F29"/>
    <w:rsid w:val="0046761C"/>
    <w:rsid w:val="0047032B"/>
    <w:rsid w:val="00472C97"/>
    <w:rsid w:val="00477EB3"/>
    <w:rsid w:val="004926D8"/>
    <w:rsid w:val="004A56C3"/>
    <w:rsid w:val="004D21E2"/>
    <w:rsid w:val="004F0B47"/>
    <w:rsid w:val="004F3708"/>
    <w:rsid w:val="00512E83"/>
    <w:rsid w:val="00540203"/>
    <w:rsid w:val="00540740"/>
    <w:rsid w:val="00560124"/>
    <w:rsid w:val="00570922"/>
    <w:rsid w:val="005B3194"/>
    <w:rsid w:val="00602406"/>
    <w:rsid w:val="006A5A3E"/>
    <w:rsid w:val="006C40F2"/>
    <w:rsid w:val="006F445E"/>
    <w:rsid w:val="00723B3F"/>
    <w:rsid w:val="007408E7"/>
    <w:rsid w:val="0076329B"/>
    <w:rsid w:val="00766C70"/>
    <w:rsid w:val="007C1F51"/>
    <w:rsid w:val="00842183"/>
    <w:rsid w:val="00855A75"/>
    <w:rsid w:val="00863DE8"/>
    <w:rsid w:val="00867AAA"/>
    <w:rsid w:val="008A6DA3"/>
    <w:rsid w:val="008B154E"/>
    <w:rsid w:val="008C46AB"/>
    <w:rsid w:val="008D3E6E"/>
    <w:rsid w:val="008E3430"/>
    <w:rsid w:val="008E3546"/>
    <w:rsid w:val="009511C4"/>
    <w:rsid w:val="00995A04"/>
    <w:rsid w:val="00995F79"/>
    <w:rsid w:val="009A6335"/>
    <w:rsid w:val="00A03A76"/>
    <w:rsid w:val="00A06DD7"/>
    <w:rsid w:val="00A11A73"/>
    <w:rsid w:val="00A1235B"/>
    <w:rsid w:val="00A26B76"/>
    <w:rsid w:val="00A33DBF"/>
    <w:rsid w:val="00A8473D"/>
    <w:rsid w:val="00AA7057"/>
    <w:rsid w:val="00AD549A"/>
    <w:rsid w:val="00B063F8"/>
    <w:rsid w:val="00B16D19"/>
    <w:rsid w:val="00B61E51"/>
    <w:rsid w:val="00B82A3E"/>
    <w:rsid w:val="00BB2A82"/>
    <w:rsid w:val="00BB38B7"/>
    <w:rsid w:val="00BB5D62"/>
    <w:rsid w:val="00BB6E27"/>
    <w:rsid w:val="00BD5B3C"/>
    <w:rsid w:val="00BE315B"/>
    <w:rsid w:val="00BF1E25"/>
    <w:rsid w:val="00C4492B"/>
    <w:rsid w:val="00C625C9"/>
    <w:rsid w:val="00C74868"/>
    <w:rsid w:val="00CE2DB2"/>
    <w:rsid w:val="00CE5C0A"/>
    <w:rsid w:val="00D10A53"/>
    <w:rsid w:val="00D444A9"/>
    <w:rsid w:val="00D44CA5"/>
    <w:rsid w:val="00D5568D"/>
    <w:rsid w:val="00D61A12"/>
    <w:rsid w:val="00D67BAF"/>
    <w:rsid w:val="00D976C9"/>
    <w:rsid w:val="00DA3A9B"/>
    <w:rsid w:val="00DE405B"/>
    <w:rsid w:val="00E27B8C"/>
    <w:rsid w:val="00E6501C"/>
    <w:rsid w:val="00E839E8"/>
    <w:rsid w:val="00E90FC2"/>
    <w:rsid w:val="00EB0A62"/>
    <w:rsid w:val="00F26036"/>
    <w:rsid w:val="00F371DE"/>
    <w:rsid w:val="00F81714"/>
    <w:rsid w:val="00F86A00"/>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1626D1"/>
    <w:rPr>
      <w:rFonts w:ascii="Tahoma" w:hAnsi="Tahoma" w:cs="Tahoma"/>
      <w:sz w:val="16"/>
      <w:szCs w:val="16"/>
    </w:rPr>
  </w:style>
  <w:style w:type="character" w:customStyle="1" w:styleId="BallontekstChar">
    <w:name w:val="Ballontekst Char"/>
    <w:link w:val="Ballontekst"/>
    <w:rsid w:val="001626D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52257898">
      <w:bodyDiv w:val="1"/>
      <w:marLeft w:val="0"/>
      <w:marRight w:val="0"/>
      <w:marTop w:val="0"/>
      <w:marBottom w:val="0"/>
      <w:divBdr>
        <w:top w:val="none" w:sz="0" w:space="0" w:color="auto"/>
        <w:left w:val="none" w:sz="0" w:space="0" w:color="auto"/>
        <w:bottom w:val="none" w:sz="0" w:space="0" w:color="auto"/>
        <w:right w:val="none" w:sz="0" w:space="0" w:color="auto"/>
      </w:divBdr>
    </w:div>
    <w:div w:id="412240443">
      <w:bodyDiv w:val="1"/>
      <w:marLeft w:val="0"/>
      <w:marRight w:val="0"/>
      <w:marTop w:val="0"/>
      <w:marBottom w:val="0"/>
      <w:divBdr>
        <w:top w:val="none" w:sz="0" w:space="0" w:color="auto"/>
        <w:left w:val="none" w:sz="0" w:space="0" w:color="auto"/>
        <w:bottom w:val="none" w:sz="0" w:space="0" w:color="auto"/>
        <w:right w:val="none" w:sz="0" w:space="0" w:color="auto"/>
      </w:divBdr>
    </w:div>
    <w:div w:id="466633574">
      <w:bodyDiv w:val="1"/>
      <w:marLeft w:val="0"/>
      <w:marRight w:val="0"/>
      <w:marTop w:val="0"/>
      <w:marBottom w:val="0"/>
      <w:divBdr>
        <w:top w:val="none" w:sz="0" w:space="0" w:color="auto"/>
        <w:left w:val="none" w:sz="0" w:space="0" w:color="auto"/>
        <w:bottom w:val="none" w:sz="0" w:space="0" w:color="auto"/>
        <w:right w:val="none" w:sz="0" w:space="0" w:color="auto"/>
      </w:divBdr>
    </w:div>
    <w:div w:id="491217843">
      <w:bodyDiv w:val="1"/>
      <w:marLeft w:val="0"/>
      <w:marRight w:val="0"/>
      <w:marTop w:val="0"/>
      <w:marBottom w:val="0"/>
      <w:divBdr>
        <w:top w:val="none" w:sz="0" w:space="0" w:color="auto"/>
        <w:left w:val="none" w:sz="0" w:space="0" w:color="auto"/>
        <w:bottom w:val="none" w:sz="0" w:space="0" w:color="auto"/>
        <w:right w:val="none" w:sz="0" w:space="0" w:color="auto"/>
      </w:divBdr>
    </w:div>
    <w:div w:id="664162137">
      <w:bodyDiv w:val="1"/>
      <w:marLeft w:val="0"/>
      <w:marRight w:val="0"/>
      <w:marTop w:val="0"/>
      <w:marBottom w:val="0"/>
      <w:divBdr>
        <w:top w:val="none" w:sz="0" w:space="0" w:color="auto"/>
        <w:left w:val="none" w:sz="0" w:space="0" w:color="auto"/>
        <w:bottom w:val="none" w:sz="0" w:space="0" w:color="auto"/>
        <w:right w:val="none" w:sz="0" w:space="0" w:color="auto"/>
      </w:divBdr>
    </w:div>
    <w:div w:id="1034186997">
      <w:bodyDiv w:val="1"/>
      <w:marLeft w:val="0"/>
      <w:marRight w:val="0"/>
      <w:marTop w:val="0"/>
      <w:marBottom w:val="0"/>
      <w:divBdr>
        <w:top w:val="none" w:sz="0" w:space="0" w:color="auto"/>
        <w:left w:val="none" w:sz="0" w:space="0" w:color="auto"/>
        <w:bottom w:val="none" w:sz="0" w:space="0" w:color="auto"/>
        <w:right w:val="none" w:sz="0" w:space="0" w:color="auto"/>
      </w:divBdr>
    </w:div>
    <w:div w:id="1092967393">
      <w:bodyDiv w:val="1"/>
      <w:marLeft w:val="0"/>
      <w:marRight w:val="0"/>
      <w:marTop w:val="0"/>
      <w:marBottom w:val="0"/>
      <w:divBdr>
        <w:top w:val="none" w:sz="0" w:space="0" w:color="auto"/>
        <w:left w:val="none" w:sz="0" w:space="0" w:color="auto"/>
        <w:bottom w:val="none" w:sz="0" w:space="0" w:color="auto"/>
        <w:right w:val="none" w:sz="0" w:space="0" w:color="auto"/>
      </w:divBdr>
    </w:div>
    <w:div w:id="1396664729">
      <w:bodyDiv w:val="1"/>
      <w:marLeft w:val="0"/>
      <w:marRight w:val="0"/>
      <w:marTop w:val="0"/>
      <w:marBottom w:val="0"/>
      <w:divBdr>
        <w:top w:val="none" w:sz="0" w:space="0" w:color="auto"/>
        <w:left w:val="none" w:sz="0" w:space="0" w:color="auto"/>
        <w:bottom w:val="none" w:sz="0" w:space="0" w:color="auto"/>
        <w:right w:val="none" w:sz="0" w:space="0" w:color="auto"/>
      </w:divBdr>
    </w:div>
    <w:div w:id="21174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3D45-CF95-46C8-8AC1-E9C90B4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6811</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2013-03-01T15:37:00Z</cp:lastPrinted>
  <dcterms:created xsi:type="dcterms:W3CDTF">2013-03-01T15:38:00Z</dcterms:created>
  <dcterms:modified xsi:type="dcterms:W3CDTF">2013-03-01T15:38:00Z</dcterms:modified>
</cp:coreProperties>
</file>