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4D9" w:rsidRPr="00A8473D" w:rsidRDefault="00C824D9" w:rsidP="00C824D9">
      <w:pPr>
        <w:jc w:val="both"/>
        <w:rPr>
          <w:rFonts w:ascii="Times New Roman Vet" w:hAnsi="Times New Roman Vet"/>
          <w:b/>
          <w:smallCaps/>
          <w:sz w:val="22"/>
          <w:szCs w:val="22"/>
          <w:lang w:val="nl-BE"/>
        </w:rPr>
      </w:pPr>
      <w:r w:rsidRPr="00A8473D">
        <w:rPr>
          <w:rFonts w:ascii="Times New Roman Vet" w:hAnsi="Times New Roman Vet"/>
          <w:b/>
          <w:smallCaps/>
          <w:sz w:val="22"/>
          <w:szCs w:val="22"/>
          <w:lang w:val="nl-BE"/>
        </w:rPr>
        <w:t>kris peeters</w:t>
      </w:r>
    </w:p>
    <w:p w:rsidR="00C824D9" w:rsidRDefault="00C824D9" w:rsidP="00C824D9">
      <w:pPr>
        <w:pStyle w:val="StandaardSV"/>
        <w:rPr>
          <w:smallCaps/>
        </w:rPr>
      </w:pPr>
      <w:r w:rsidRPr="00A8473D">
        <w:rPr>
          <w:smallCaps/>
          <w:szCs w:val="22"/>
          <w:lang w:val="nl-BE"/>
        </w:rPr>
        <w:t>minister-president van de vlaamse regering, vlaams minister van economie, buitenlands beleid, landbouw en plattelandsbeleid</w:t>
      </w:r>
    </w:p>
    <w:p w:rsidR="00C824D9" w:rsidRDefault="00C824D9" w:rsidP="00C824D9">
      <w:pPr>
        <w:pBdr>
          <w:bottom w:val="single" w:sz="4" w:space="1" w:color="auto"/>
        </w:pBdr>
        <w:rPr>
          <w:sz w:val="22"/>
        </w:rPr>
      </w:pPr>
    </w:p>
    <w:p w:rsidR="00C824D9" w:rsidRDefault="00C824D9" w:rsidP="00C824D9">
      <w:pPr>
        <w:rPr>
          <w:sz w:val="22"/>
        </w:rPr>
      </w:pPr>
    </w:p>
    <w:p w:rsidR="00C824D9" w:rsidRPr="00EB78CA" w:rsidRDefault="00C824D9" w:rsidP="00C824D9">
      <w:pPr>
        <w:rPr>
          <w:b/>
          <w:smallCaps/>
          <w:sz w:val="22"/>
          <w:szCs w:val="22"/>
        </w:rPr>
      </w:pPr>
      <w:r w:rsidRPr="00EB78CA">
        <w:rPr>
          <w:b/>
          <w:smallCaps/>
          <w:sz w:val="22"/>
          <w:szCs w:val="22"/>
        </w:rPr>
        <w:t>antwoord</w:t>
      </w:r>
    </w:p>
    <w:p w:rsidR="00C824D9" w:rsidRPr="00EB78CA" w:rsidRDefault="00C824D9" w:rsidP="00C824D9">
      <w:pPr>
        <w:rPr>
          <w:sz w:val="22"/>
          <w:szCs w:val="22"/>
        </w:rPr>
      </w:pPr>
      <w:r w:rsidRPr="00EB78CA">
        <w:rPr>
          <w:sz w:val="22"/>
          <w:szCs w:val="22"/>
        </w:rPr>
        <w:t xml:space="preserve">op vraag nr. </w:t>
      </w:r>
      <w:r>
        <w:rPr>
          <w:sz w:val="22"/>
        </w:rPr>
        <w:t>253</w:t>
      </w:r>
      <w:r w:rsidRPr="00EB78CA">
        <w:rPr>
          <w:sz w:val="22"/>
          <w:szCs w:val="22"/>
        </w:rPr>
        <w:t xml:space="preserve"> van </w:t>
      </w:r>
      <w:r>
        <w:rPr>
          <w:sz w:val="22"/>
        </w:rPr>
        <w:t>30 januari 2013</w:t>
      </w:r>
    </w:p>
    <w:p w:rsidR="00C824D9" w:rsidRDefault="00C824D9" w:rsidP="00C824D9">
      <w:pPr>
        <w:rPr>
          <w:sz w:val="22"/>
        </w:rPr>
      </w:pPr>
      <w:r w:rsidRPr="00EB78CA">
        <w:rPr>
          <w:sz w:val="22"/>
          <w:szCs w:val="22"/>
        </w:rPr>
        <w:t xml:space="preserve">van </w:t>
      </w:r>
      <w:r>
        <w:rPr>
          <w:b/>
          <w:smallCaps/>
          <w:sz w:val="22"/>
        </w:rPr>
        <w:t>robrecht bothuyne</w:t>
      </w:r>
    </w:p>
    <w:p w:rsidR="00C824D9" w:rsidRDefault="00C824D9" w:rsidP="00C824D9">
      <w:pPr>
        <w:pBdr>
          <w:bottom w:val="single" w:sz="4" w:space="1" w:color="auto"/>
        </w:pBdr>
        <w:jc w:val="both"/>
        <w:rPr>
          <w:sz w:val="22"/>
        </w:rPr>
      </w:pPr>
    </w:p>
    <w:p w:rsidR="00C824D9" w:rsidRPr="003F450F" w:rsidRDefault="00C824D9" w:rsidP="00C824D9">
      <w:pPr>
        <w:rPr>
          <w:sz w:val="22"/>
          <w:szCs w:val="22"/>
        </w:rPr>
      </w:pPr>
    </w:p>
    <w:p w:rsidR="00C824D9" w:rsidRPr="00C824D9" w:rsidRDefault="00C824D9" w:rsidP="00C824D9">
      <w:pPr>
        <w:pStyle w:val="SVVlaamsParlement"/>
        <w:jc w:val="left"/>
        <w:outlineLvl w:val="0"/>
        <w:rPr>
          <w:b w:val="0"/>
        </w:rPr>
      </w:pPr>
    </w:p>
    <w:p w:rsidR="0003727D" w:rsidRDefault="006318C7" w:rsidP="00A2212B">
      <w:pPr>
        <w:pStyle w:val="StandaardSV"/>
        <w:numPr>
          <w:ilvl w:val="0"/>
          <w:numId w:val="41"/>
        </w:numPr>
      </w:pPr>
      <w:r>
        <w:t>Op deelvragen</w:t>
      </w:r>
      <w:r w:rsidR="0003727D">
        <w:t xml:space="preserve"> 1a en 1b wordt een gezamenlijk antwoord geformuleerd aan de hand van onde</w:t>
      </w:r>
      <w:r w:rsidR="0003727D">
        <w:t>r</w:t>
      </w:r>
      <w:r w:rsidR="0003727D">
        <w:t>staande tabellen.</w:t>
      </w:r>
    </w:p>
    <w:p w:rsidR="006318C7" w:rsidRDefault="006318C7" w:rsidP="00C824D9">
      <w:pPr>
        <w:pStyle w:val="StandaardSV"/>
        <w:ind w:left="360"/>
        <w:jc w:val="left"/>
      </w:pPr>
    </w:p>
    <w:p w:rsidR="006318C7" w:rsidRPr="00E90FC2" w:rsidRDefault="006318C7" w:rsidP="00C824D9">
      <w:pPr>
        <w:pStyle w:val="StandaardSV"/>
        <w:ind w:left="360"/>
        <w:jc w:val="left"/>
      </w:pPr>
      <w:r w:rsidRPr="00C824D9">
        <w:t>Ontvangen Winwinleningen per jaar en per maand</w:t>
      </w:r>
      <w:r w:rsidR="00C824D9" w:rsidRPr="00C824D9">
        <w:t>:</w:t>
      </w:r>
    </w:p>
    <w:p w:rsidR="00E90FC2" w:rsidRDefault="00E90FC2" w:rsidP="00C824D9">
      <w:pPr>
        <w:pStyle w:val="StandaardSV"/>
        <w:ind w:left="360"/>
        <w:jc w:val="left"/>
      </w:pPr>
    </w:p>
    <w:tbl>
      <w:tblPr>
        <w:tblW w:w="2871"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8"/>
        <w:gridCol w:w="1685"/>
        <w:gridCol w:w="818"/>
        <w:gridCol w:w="1539"/>
      </w:tblGrid>
      <w:tr w:rsidR="00C824D9" w:rsidRPr="00C824D9" w:rsidTr="00C824D9">
        <w:trPr>
          <w:trHeight w:val="70"/>
        </w:trPr>
        <w:tc>
          <w:tcPr>
            <w:tcW w:w="1179" w:type="pct"/>
            <w:shd w:val="pct10" w:color="auto" w:fill="FFFFFF" w:themeFill="background1"/>
            <w:noWrap/>
            <w:vAlign w:val="bottom"/>
            <w:hideMark/>
          </w:tcPr>
          <w:p w:rsidR="00C824D9" w:rsidRPr="00C824D9" w:rsidRDefault="00C824D9" w:rsidP="00C824D9">
            <w:pPr>
              <w:rPr>
                <w:b/>
                <w:color w:val="000000"/>
                <w:sz w:val="20"/>
                <w:lang w:val="nl-BE" w:eastAsia="nl-BE"/>
              </w:rPr>
            </w:pPr>
            <w:r w:rsidRPr="00C824D9">
              <w:rPr>
                <w:b/>
                <w:color w:val="000000"/>
                <w:sz w:val="20"/>
                <w:lang w:val="nl-BE" w:eastAsia="nl-BE"/>
              </w:rPr>
              <w:t>Jaar</w:t>
            </w:r>
          </w:p>
        </w:tc>
        <w:tc>
          <w:tcPr>
            <w:tcW w:w="1593" w:type="pct"/>
            <w:shd w:val="pct10" w:color="auto" w:fill="FFFFFF" w:themeFill="background1"/>
            <w:noWrap/>
            <w:vAlign w:val="bottom"/>
            <w:hideMark/>
          </w:tcPr>
          <w:p w:rsidR="00C824D9" w:rsidRPr="00C824D9" w:rsidRDefault="00C824D9" w:rsidP="00C824D9">
            <w:pPr>
              <w:rPr>
                <w:b/>
                <w:color w:val="000000"/>
                <w:sz w:val="20"/>
                <w:lang w:val="nl-BE" w:eastAsia="nl-BE"/>
              </w:rPr>
            </w:pPr>
            <w:r w:rsidRPr="00C824D9">
              <w:rPr>
                <w:b/>
                <w:color w:val="000000"/>
                <w:sz w:val="20"/>
                <w:lang w:val="nl-BE" w:eastAsia="nl-BE"/>
              </w:rPr>
              <w:t>Ontvangstdatum</w:t>
            </w:r>
          </w:p>
        </w:tc>
        <w:tc>
          <w:tcPr>
            <w:tcW w:w="773" w:type="pct"/>
            <w:shd w:val="pct10" w:color="auto" w:fill="FFFFFF" w:themeFill="background1"/>
            <w:noWrap/>
            <w:vAlign w:val="bottom"/>
            <w:hideMark/>
          </w:tcPr>
          <w:p w:rsidR="00C824D9" w:rsidRPr="00C824D9" w:rsidRDefault="00C824D9" w:rsidP="00C824D9">
            <w:pPr>
              <w:jc w:val="right"/>
              <w:rPr>
                <w:b/>
                <w:color w:val="000000"/>
                <w:sz w:val="20"/>
                <w:lang w:val="nl-BE" w:eastAsia="nl-BE"/>
              </w:rPr>
            </w:pPr>
            <w:r w:rsidRPr="00C824D9">
              <w:rPr>
                <w:b/>
                <w:color w:val="000000"/>
                <w:sz w:val="20"/>
                <w:lang w:val="nl-BE" w:eastAsia="nl-BE"/>
              </w:rPr>
              <w:t>Aantal</w:t>
            </w:r>
          </w:p>
        </w:tc>
        <w:tc>
          <w:tcPr>
            <w:tcW w:w="1456" w:type="pct"/>
            <w:shd w:val="pct10" w:color="auto" w:fill="FFFFFF" w:themeFill="background1"/>
            <w:noWrap/>
            <w:vAlign w:val="bottom"/>
            <w:hideMark/>
          </w:tcPr>
          <w:p w:rsidR="00C824D9" w:rsidRPr="00C824D9" w:rsidRDefault="00C824D9" w:rsidP="00C824D9">
            <w:pPr>
              <w:jc w:val="right"/>
              <w:rPr>
                <w:b/>
                <w:color w:val="000000"/>
                <w:sz w:val="20"/>
                <w:lang w:val="nl-BE" w:eastAsia="nl-BE"/>
              </w:rPr>
            </w:pPr>
            <w:r w:rsidRPr="00C824D9">
              <w:rPr>
                <w:b/>
                <w:color w:val="000000"/>
                <w:sz w:val="20"/>
                <w:lang w:val="nl-BE" w:eastAsia="nl-BE"/>
              </w:rPr>
              <w:t>Bedrag</w:t>
            </w:r>
          </w:p>
        </w:tc>
      </w:tr>
      <w:tr w:rsidR="00C824D9" w:rsidRPr="00C824D9" w:rsidTr="00C824D9">
        <w:trPr>
          <w:trHeight w:val="70"/>
        </w:trPr>
        <w:tc>
          <w:tcPr>
            <w:tcW w:w="1179"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2011</w:t>
            </w:r>
          </w:p>
        </w:tc>
        <w:tc>
          <w:tcPr>
            <w:tcW w:w="1593"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xml:space="preserve">feb </w:t>
            </w:r>
            <w:r w:rsidRPr="00C824D9">
              <w:rPr>
                <w:b/>
                <w:color w:val="000000"/>
                <w:sz w:val="20"/>
                <w:lang w:val="nl-BE" w:eastAsia="nl-BE"/>
              </w:rPr>
              <w:t>(*)</w:t>
            </w:r>
          </w:p>
        </w:tc>
        <w:tc>
          <w:tcPr>
            <w:tcW w:w="773"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58</w:t>
            </w:r>
          </w:p>
        </w:tc>
        <w:tc>
          <w:tcPr>
            <w:tcW w:w="1456"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€ 1.737.494,68</w:t>
            </w:r>
          </w:p>
        </w:tc>
      </w:tr>
      <w:tr w:rsidR="00C824D9" w:rsidRPr="00C824D9" w:rsidTr="00C824D9">
        <w:trPr>
          <w:trHeight w:val="70"/>
        </w:trPr>
        <w:tc>
          <w:tcPr>
            <w:tcW w:w="1179"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593"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mrt</w:t>
            </w:r>
          </w:p>
        </w:tc>
        <w:tc>
          <w:tcPr>
            <w:tcW w:w="773"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99</w:t>
            </w:r>
          </w:p>
        </w:tc>
        <w:tc>
          <w:tcPr>
            <w:tcW w:w="1456"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€ 2.949.850,10</w:t>
            </w:r>
          </w:p>
        </w:tc>
      </w:tr>
      <w:tr w:rsidR="00C824D9" w:rsidRPr="00C824D9" w:rsidTr="00C824D9">
        <w:trPr>
          <w:trHeight w:val="70"/>
        </w:trPr>
        <w:tc>
          <w:tcPr>
            <w:tcW w:w="1179"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593"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apr</w:t>
            </w:r>
          </w:p>
        </w:tc>
        <w:tc>
          <w:tcPr>
            <w:tcW w:w="773"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84</w:t>
            </w:r>
          </w:p>
        </w:tc>
        <w:tc>
          <w:tcPr>
            <w:tcW w:w="1456"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€ 2.289.804,64</w:t>
            </w:r>
          </w:p>
        </w:tc>
      </w:tr>
      <w:tr w:rsidR="00C824D9" w:rsidRPr="00C824D9" w:rsidTr="00C824D9">
        <w:trPr>
          <w:trHeight w:val="70"/>
        </w:trPr>
        <w:tc>
          <w:tcPr>
            <w:tcW w:w="1179"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593"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mei</w:t>
            </w:r>
          </w:p>
        </w:tc>
        <w:tc>
          <w:tcPr>
            <w:tcW w:w="773"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85</w:t>
            </w:r>
          </w:p>
        </w:tc>
        <w:tc>
          <w:tcPr>
            <w:tcW w:w="1456"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€ 2.236.478,00</w:t>
            </w:r>
          </w:p>
        </w:tc>
      </w:tr>
      <w:tr w:rsidR="00C824D9" w:rsidRPr="00C824D9" w:rsidTr="00C824D9">
        <w:trPr>
          <w:trHeight w:val="70"/>
        </w:trPr>
        <w:tc>
          <w:tcPr>
            <w:tcW w:w="1179"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593"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jun</w:t>
            </w:r>
          </w:p>
        </w:tc>
        <w:tc>
          <w:tcPr>
            <w:tcW w:w="773"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81</w:t>
            </w:r>
          </w:p>
        </w:tc>
        <w:tc>
          <w:tcPr>
            <w:tcW w:w="1456"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€ 2.571.321,44</w:t>
            </w:r>
          </w:p>
        </w:tc>
      </w:tr>
      <w:tr w:rsidR="00C824D9" w:rsidRPr="00C824D9" w:rsidTr="00C824D9">
        <w:trPr>
          <w:trHeight w:val="70"/>
        </w:trPr>
        <w:tc>
          <w:tcPr>
            <w:tcW w:w="1179"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593"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jul</w:t>
            </w:r>
          </w:p>
        </w:tc>
        <w:tc>
          <w:tcPr>
            <w:tcW w:w="773"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92</w:t>
            </w:r>
          </w:p>
        </w:tc>
        <w:tc>
          <w:tcPr>
            <w:tcW w:w="1456"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€ 2.589.500,00</w:t>
            </w:r>
          </w:p>
        </w:tc>
      </w:tr>
      <w:tr w:rsidR="00C824D9" w:rsidRPr="00C824D9" w:rsidTr="00C824D9">
        <w:trPr>
          <w:trHeight w:val="70"/>
        </w:trPr>
        <w:tc>
          <w:tcPr>
            <w:tcW w:w="1179"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593"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aug</w:t>
            </w:r>
          </w:p>
        </w:tc>
        <w:tc>
          <w:tcPr>
            <w:tcW w:w="773"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79</w:t>
            </w:r>
          </w:p>
        </w:tc>
        <w:tc>
          <w:tcPr>
            <w:tcW w:w="1456"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€ 2.117.000,00</w:t>
            </w:r>
          </w:p>
        </w:tc>
      </w:tr>
      <w:tr w:rsidR="00C824D9" w:rsidRPr="00C824D9" w:rsidTr="00C824D9">
        <w:trPr>
          <w:trHeight w:val="70"/>
        </w:trPr>
        <w:tc>
          <w:tcPr>
            <w:tcW w:w="1179"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593"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sep</w:t>
            </w:r>
          </w:p>
        </w:tc>
        <w:tc>
          <w:tcPr>
            <w:tcW w:w="773"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85</w:t>
            </w:r>
          </w:p>
        </w:tc>
        <w:tc>
          <w:tcPr>
            <w:tcW w:w="1456"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€ 2.410.500,00</w:t>
            </w:r>
          </w:p>
        </w:tc>
      </w:tr>
      <w:tr w:rsidR="00C824D9" w:rsidRPr="00C824D9" w:rsidTr="00C824D9">
        <w:trPr>
          <w:trHeight w:val="70"/>
        </w:trPr>
        <w:tc>
          <w:tcPr>
            <w:tcW w:w="1179"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593"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okt</w:t>
            </w:r>
          </w:p>
        </w:tc>
        <w:tc>
          <w:tcPr>
            <w:tcW w:w="773"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86</w:t>
            </w:r>
          </w:p>
        </w:tc>
        <w:tc>
          <w:tcPr>
            <w:tcW w:w="1456"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€ 2.290.970,00</w:t>
            </w:r>
          </w:p>
        </w:tc>
      </w:tr>
      <w:tr w:rsidR="00C824D9" w:rsidRPr="00C824D9" w:rsidTr="00C824D9">
        <w:trPr>
          <w:trHeight w:val="70"/>
        </w:trPr>
        <w:tc>
          <w:tcPr>
            <w:tcW w:w="1179"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593"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nov</w:t>
            </w:r>
          </w:p>
        </w:tc>
        <w:tc>
          <w:tcPr>
            <w:tcW w:w="773"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101</w:t>
            </w:r>
          </w:p>
        </w:tc>
        <w:tc>
          <w:tcPr>
            <w:tcW w:w="1456"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€ 2.763.000,00</w:t>
            </w:r>
          </w:p>
        </w:tc>
      </w:tr>
      <w:tr w:rsidR="00C824D9" w:rsidRPr="00C824D9" w:rsidTr="00C824D9">
        <w:trPr>
          <w:trHeight w:val="70"/>
        </w:trPr>
        <w:tc>
          <w:tcPr>
            <w:tcW w:w="1179" w:type="pct"/>
            <w:tcBorders>
              <w:bottom w:val="single" w:sz="4" w:space="0" w:color="auto"/>
            </w:tcBorders>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593" w:type="pct"/>
            <w:tcBorders>
              <w:bottom w:val="single" w:sz="4" w:space="0" w:color="auto"/>
            </w:tcBorders>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dec</w:t>
            </w:r>
          </w:p>
        </w:tc>
        <w:tc>
          <w:tcPr>
            <w:tcW w:w="773" w:type="pct"/>
            <w:tcBorders>
              <w:bottom w:val="single" w:sz="4" w:space="0" w:color="auto"/>
            </w:tcBorders>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162</w:t>
            </w:r>
          </w:p>
        </w:tc>
        <w:tc>
          <w:tcPr>
            <w:tcW w:w="1456" w:type="pct"/>
            <w:tcBorders>
              <w:bottom w:val="single" w:sz="4" w:space="0" w:color="auto"/>
            </w:tcBorders>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€ 4.423.970,00</w:t>
            </w:r>
          </w:p>
        </w:tc>
      </w:tr>
      <w:tr w:rsidR="00C824D9" w:rsidRPr="00C824D9" w:rsidTr="00C824D9">
        <w:trPr>
          <w:trHeight w:val="70"/>
        </w:trPr>
        <w:tc>
          <w:tcPr>
            <w:tcW w:w="1179" w:type="pct"/>
            <w:shd w:val="pct10" w:color="auto" w:fill="FFFFFF" w:themeFill="background1"/>
            <w:noWrap/>
            <w:vAlign w:val="bottom"/>
            <w:hideMark/>
          </w:tcPr>
          <w:p w:rsidR="00C824D9" w:rsidRPr="00C824D9" w:rsidRDefault="00C824D9" w:rsidP="00C824D9">
            <w:pPr>
              <w:rPr>
                <w:b/>
                <w:color w:val="000000"/>
                <w:sz w:val="20"/>
                <w:lang w:val="nl-BE" w:eastAsia="nl-BE"/>
              </w:rPr>
            </w:pPr>
            <w:r w:rsidRPr="00C824D9">
              <w:rPr>
                <w:b/>
                <w:color w:val="000000"/>
                <w:sz w:val="20"/>
                <w:lang w:val="nl-BE" w:eastAsia="nl-BE"/>
              </w:rPr>
              <w:t>Totaal 2011</w:t>
            </w:r>
          </w:p>
        </w:tc>
        <w:tc>
          <w:tcPr>
            <w:tcW w:w="1593" w:type="pct"/>
            <w:shd w:val="pct10" w:color="auto" w:fill="FFFFFF" w:themeFill="background1"/>
            <w:noWrap/>
            <w:vAlign w:val="bottom"/>
            <w:hideMark/>
          </w:tcPr>
          <w:p w:rsidR="00C824D9" w:rsidRPr="00C824D9" w:rsidRDefault="00C824D9" w:rsidP="00C824D9">
            <w:pPr>
              <w:rPr>
                <w:b/>
                <w:color w:val="000000"/>
                <w:sz w:val="20"/>
                <w:lang w:val="nl-BE" w:eastAsia="nl-BE"/>
              </w:rPr>
            </w:pPr>
            <w:r w:rsidRPr="00C824D9">
              <w:rPr>
                <w:b/>
                <w:color w:val="000000"/>
                <w:sz w:val="20"/>
                <w:lang w:val="nl-BE" w:eastAsia="nl-BE"/>
              </w:rPr>
              <w:t> </w:t>
            </w:r>
          </w:p>
        </w:tc>
        <w:tc>
          <w:tcPr>
            <w:tcW w:w="773" w:type="pct"/>
            <w:shd w:val="pct10" w:color="auto" w:fill="FFFFFF" w:themeFill="background1"/>
            <w:noWrap/>
            <w:vAlign w:val="bottom"/>
            <w:hideMark/>
          </w:tcPr>
          <w:p w:rsidR="00C824D9" w:rsidRPr="00C824D9" w:rsidRDefault="00C824D9" w:rsidP="00C824D9">
            <w:pPr>
              <w:jc w:val="right"/>
              <w:rPr>
                <w:b/>
                <w:color w:val="000000"/>
                <w:sz w:val="20"/>
                <w:lang w:val="nl-BE" w:eastAsia="nl-BE"/>
              </w:rPr>
            </w:pPr>
            <w:r w:rsidRPr="00C824D9">
              <w:rPr>
                <w:b/>
                <w:color w:val="000000"/>
                <w:sz w:val="20"/>
                <w:lang w:val="nl-BE" w:eastAsia="nl-BE"/>
              </w:rPr>
              <w:t>1012</w:t>
            </w:r>
          </w:p>
        </w:tc>
        <w:tc>
          <w:tcPr>
            <w:tcW w:w="1456" w:type="pct"/>
            <w:shd w:val="pct10" w:color="auto" w:fill="FFFFFF" w:themeFill="background1"/>
            <w:noWrap/>
            <w:vAlign w:val="bottom"/>
            <w:hideMark/>
          </w:tcPr>
          <w:p w:rsidR="00C824D9" w:rsidRPr="00C824D9" w:rsidRDefault="00C824D9" w:rsidP="00C824D9">
            <w:pPr>
              <w:jc w:val="right"/>
              <w:rPr>
                <w:b/>
                <w:color w:val="000000"/>
                <w:sz w:val="20"/>
                <w:lang w:val="nl-BE" w:eastAsia="nl-BE"/>
              </w:rPr>
            </w:pPr>
            <w:r w:rsidRPr="00C824D9">
              <w:rPr>
                <w:b/>
                <w:color w:val="000000"/>
                <w:sz w:val="20"/>
                <w:lang w:val="nl-BE" w:eastAsia="nl-BE"/>
              </w:rPr>
              <w:t>€ 28.379.888,86</w:t>
            </w:r>
          </w:p>
        </w:tc>
      </w:tr>
      <w:tr w:rsidR="00C824D9" w:rsidRPr="00C824D9" w:rsidTr="00C824D9">
        <w:trPr>
          <w:trHeight w:val="70"/>
        </w:trPr>
        <w:tc>
          <w:tcPr>
            <w:tcW w:w="1179"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2012</w:t>
            </w:r>
          </w:p>
        </w:tc>
        <w:tc>
          <w:tcPr>
            <w:tcW w:w="1593"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jan</w:t>
            </w:r>
          </w:p>
        </w:tc>
        <w:tc>
          <w:tcPr>
            <w:tcW w:w="773"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72</w:t>
            </w:r>
          </w:p>
        </w:tc>
        <w:tc>
          <w:tcPr>
            <w:tcW w:w="1456"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€ 1.914.715,59</w:t>
            </w:r>
          </w:p>
        </w:tc>
      </w:tr>
      <w:tr w:rsidR="00C824D9" w:rsidRPr="00C824D9" w:rsidTr="00C824D9">
        <w:trPr>
          <w:trHeight w:val="70"/>
        </w:trPr>
        <w:tc>
          <w:tcPr>
            <w:tcW w:w="1179"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593"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feb</w:t>
            </w:r>
          </w:p>
        </w:tc>
        <w:tc>
          <w:tcPr>
            <w:tcW w:w="773"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116</w:t>
            </w:r>
          </w:p>
        </w:tc>
        <w:tc>
          <w:tcPr>
            <w:tcW w:w="1456"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€ 3.299.109,23</w:t>
            </w:r>
          </w:p>
        </w:tc>
      </w:tr>
      <w:tr w:rsidR="00C824D9" w:rsidRPr="00C824D9" w:rsidTr="00C824D9">
        <w:trPr>
          <w:trHeight w:val="70"/>
        </w:trPr>
        <w:tc>
          <w:tcPr>
            <w:tcW w:w="1179"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593"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mrt</w:t>
            </w:r>
          </w:p>
        </w:tc>
        <w:tc>
          <w:tcPr>
            <w:tcW w:w="773"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113</w:t>
            </w:r>
          </w:p>
        </w:tc>
        <w:tc>
          <w:tcPr>
            <w:tcW w:w="1456"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€ 2.936.438,76</w:t>
            </w:r>
          </w:p>
        </w:tc>
      </w:tr>
      <w:tr w:rsidR="00C824D9" w:rsidRPr="00C824D9" w:rsidTr="00C824D9">
        <w:trPr>
          <w:trHeight w:val="70"/>
        </w:trPr>
        <w:tc>
          <w:tcPr>
            <w:tcW w:w="1179"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593"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apr</w:t>
            </w:r>
          </w:p>
        </w:tc>
        <w:tc>
          <w:tcPr>
            <w:tcW w:w="773"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107</w:t>
            </w:r>
          </w:p>
        </w:tc>
        <w:tc>
          <w:tcPr>
            <w:tcW w:w="1456"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€ 2.617.000,00</w:t>
            </w:r>
          </w:p>
        </w:tc>
      </w:tr>
      <w:tr w:rsidR="00C824D9" w:rsidRPr="00C824D9" w:rsidTr="00C824D9">
        <w:trPr>
          <w:trHeight w:val="70"/>
        </w:trPr>
        <w:tc>
          <w:tcPr>
            <w:tcW w:w="1179"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593"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mei</w:t>
            </w:r>
          </w:p>
        </w:tc>
        <w:tc>
          <w:tcPr>
            <w:tcW w:w="773"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119</w:t>
            </w:r>
          </w:p>
        </w:tc>
        <w:tc>
          <w:tcPr>
            <w:tcW w:w="1456"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€ 3.259.910,00</w:t>
            </w:r>
          </w:p>
        </w:tc>
      </w:tr>
      <w:tr w:rsidR="00C824D9" w:rsidRPr="00C824D9" w:rsidTr="00C824D9">
        <w:trPr>
          <w:trHeight w:val="70"/>
        </w:trPr>
        <w:tc>
          <w:tcPr>
            <w:tcW w:w="1179"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593"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jun</w:t>
            </w:r>
          </w:p>
        </w:tc>
        <w:tc>
          <w:tcPr>
            <w:tcW w:w="773"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104</w:t>
            </w:r>
          </w:p>
        </w:tc>
        <w:tc>
          <w:tcPr>
            <w:tcW w:w="1456"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€ 2.624.400,00</w:t>
            </w:r>
          </w:p>
        </w:tc>
      </w:tr>
      <w:tr w:rsidR="00C824D9" w:rsidRPr="00C824D9" w:rsidTr="00C824D9">
        <w:trPr>
          <w:trHeight w:val="70"/>
        </w:trPr>
        <w:tc>
          <w:tcPr>
            <w:tcW w:w="1179"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593"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jul</w:t>
            </w:r>
          </w:p>
        </w:tc>
        <w:tc>
          <w:tcPr>
            <w:tcW w:w="773"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101</w:t>
            </w:r>
          </w:p>
        </w:tc>
        <w:tc>
          <w:tcPr>
            <w:tcW w:w="1456"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€ 2.966.527,15</w:t>
            </w:r>
          </w:p>
        </w:tc>
      </w:tr>
      <w:tr w:rsidR="00C824D9" w:rsidRPr="00C824D9" w:rsidTr="00C824D9">
        <w:trPr>
          <w:trHeight w:val="70"/>
        </w:trPr>
        <w:tc>
          <w:tcPr>
            <w:tcW w:w="1179"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593"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aug</w:t>
            </w:r>
          </w:p>
        </w:tc>
        <w:tc>
          <w:tcPr>
            <w:tcW w:w="773"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78</w:t>
            </w:r>
          </w:p>
        </w:tc>
        <w:tc>
          <w:tcPr>
            <w:tcW w:w="1456"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€ 2.201.107,62</w:t>
            </w:r>
          </w:p>
        </w:tc>
      </w:tr>
      <w:tr w:rsidR="00C824D9" w:rsidRPr="00C824D9" w:rsidTr="00C824D9">
        <w:trPr>
          <w:trHeight w:val="70"/>
        </w:trPr>
        <w:tc>
          <w:tcPr>
            <w:tcW w:w="1179"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593"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sep</w:t>
            </w:r>
          </w:p>
        </w:tc>
        <w:tc>
          <w:tcPr>
            <w:tcW w:w="773"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104</w:t>
            </w:r>
          </w:p>
        </w:tc>
        <w:tc>
          <w:tcPr>
            <w:tcW w:w="1456"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€ 2.890.900,00</w:t>
            </w:r>
          </w:p>
        </w:tc>
      </w:tr>
      <w:tr w:rsidR="00C824D9" w:rsidRPr="00C824D9" w:rsidTr="00C824D9">
        <w:trPr>
          <w:trHeight w:val="70"/>
        </w:trPr>
        <w:tc>
          <w:tcPr>
            <w:tcW w:w="1179"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593"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okt</w:t>
            </w:r>
          </w:p>
        </w:tc>
        <w:tc>
          <w:tcPr>
            <w:tcW w:w="773"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118</w:t>
            </w:r>
          </w:p>
        </w:tc>
        <w:tc>
          <w:tcPr>
            <w:tcW w:w="1456"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€ 3.359.660,00</w:t>
            </w:r>
          </w:p>
        </w:tc>
      </w:tr>
      <w:tr w:rsidR="00C824D9" w:rsidRPr="00C824D9" w:rsidTr="00C824D9">
        <w:trPr>
          <w:trHeight w:val="70"/>
        </w:trPr>
        <w:tc>
          <w:tcPr>
            <w:tcW w:w="1179"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593"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nov</w:t>
            </w:r>
          </w:p>
        </w:tc>
        <w:tc>
          <w:tcPr>
            <w:tcW w:w="773"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114</w:t>
            </w:r>
          </w:p>
        </w:tc>
        <w:tc>
          <w:tcPr>
            <w:tcW w:w="1456"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€ 3.194.610,17</w:t>
            </w:r>
          </w:p>
        </w:tc>
      </w:tr>
      <w:tr w:rsidR="00C824D9" w:rsidRPr="00C824D9" w:rsidTr="00C824D9">
        <w:trPr>
          <w:trHeight w:val="70"/>
        </w:trPr>
        <w:tc>
          <w:tcPr>
            <w:tcW w:w="1179" w:type="pct"/>
            <w:tcBorders>
              <w:bottom w:val="single" w:sz="4" w:space="0" w:color="auto"/>
            </w:tcBorders>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593" w:type="pct"/>
            <w:tcBorders>
              <w:bottom w:val="single" w:sz="4" w:space="0" w:color="auto"/>
            </w:tcBorders>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dec</w:t>
            </w:r>
          </w:p>
        </w:tc>
        <w:tc>
          <w:tcPr>
            <w:tcW w:w="773" w:type="pct"/>
            <w:tcBorders>
              <w:bottom w:val="single" w:sz="4" w:space="0" w:color="auto"/>
            </w:tcBorders>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176</w:t>
            </w:r>
          </w:p>
        </w:tc>
        <w:tc>
          <w:tcPr>
            <w:tcW w:w="1456" w:type="pct"/>
            <w:tcBorders>
              <w:bottom w:val="single" w:sz="4" w:space="0" w:color="auto"/>
            </w:tcBorders>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€ 5.581.948,20</w:t>
            </w:r>
          </w:p>
        </w:tc>
      </w:tr>
      <w:tr w:rsidR="00C824D9" w:rsidRPr="00C824D9" w:rsidTr="00C824D9">
        <w:trPr>
          <w:trHeight w:val="70"/>
        </w:trPr>
        <w:tc>
          <w:tcPr>
            <w:tcW w:w="1179" w:type="pct"/>
            <w:shd w:val="pct10" w:color="auto" w:fill="FFFFFF" w:themeFill="background1"/>
            <w:noWrap/>
            <w:vAlign w:val="bottom"/>
            <w:hideMark/>
          </w:tcPr>
          <w:p w:rsidR="00C824D9" w:rsidRPr="00C824D9" w:rsidRDefault="00C824D9" w:rsidP="00C824D9">
            <w:pPr>
              <w:rPr>
                <w:b/>
                <w:color w:val="000000"/>
                <w:sz w:val="20"/>
                <w:lang w:val="nl-BE" w:eastAsia="nl-BE"/>
              </w:rPr>
            </w:pPr>
            <w:r w:rsidRPr="00C824D9">
              <w:rPr>
                <w:b/>
                <w:color w:val="000000"/>
                <w:sz w:val="20"/>
                <w:lang w:val="nl-BE" w:eastAsia="nl-BE"/>
              </w:rPr>
              <w:t>Totaal 2012</w:t>
            </w:r>
          </w:p>
        </w:tc>
        <w:tc>
          <w:tcPr>
            <w:tcW w:w="1593" w:type="pct"/>
            <w:shd w:val="pct10" w:color="auto" w:fill="FFFFFF" w:themeFill="background1"/>
            <w:noWrap/>
            <w:vAlign w:val="bottom"/>
            <w:hideMark/>
          </w:tcPr>
          <w:p w:rsidR="00C824D9" w:rsidRPr="00C824D9" w:rsidRDefault="00C824D9" w:rsidP="00C824D9">
            <w:pPr>
              <w:rPr>
                <w:b/>
                <w:color w:val="000000"/>
                <w:sz w:val="20"/>
                <w:lang w:val="nl-BE" w:eastAsia="nl-BE"/>
              </w:rPr>
            </w:pPr>
            <w:r w:rsidRPr="00C824D9">
              <w:rPr>
                <w:b/>
                <w:color w:val="000000"/>
                <w:sz w:val="20"/>
                <w:lang w:val="nl-BE" w:eastAsia="nl-BE"/>
              </w:rPr>
              <w:t> </w:t>
            </w:r>
          </w:p>
        </w:tc>
        <w:tc>
          <w:tcPr>
            <w:tcW w:w="773" w:type="pct"/>
            <w:shd w:val="pct10" w:color="auto" w:fill="FFFFFF" w:themeFill="background1"/>
            <w:noWrap/>
            <w:vAlign w:val="bottom"/>
            <w:hideMark/>
          </w:tcPr>
          <w:p w:rsidR="00C824D9" w:rsidRPr="00C824D9" w:rsidRDefault="00C824D9" w:rsidP="00C824D9">
            <w:pPr>
              <w:jc w:val="right"/>
              <w:rPr>
                <w:b/>
                <w:color w:val="000000"/>
                <w:sz w:val="20"/>
                <w:lang w:val="nl-BE" w:eastAsia="nl-BE"/>
              </w:rPr>
            </w:pPr>
            <w:r w:rsidRPr="00C824D9">
              <w:rPr>
                <w:b/>
                <w:color w:val="000000"/>
                <w:sz w:val="20"/>
                <w:lang w:val="nl-BE" w:eastAsia="nl-BE"/>
              </w:rPr>
              <w:t>1322</w:t>
            </w:r>
          </w:p>
        </w:tc>
        <w:tc>
          <w:tcPr>
            <w:tcW w:w="1456" w:type="pct"/>
            <w:shd w:val="pct10" w:color="auto" w:fill="FFFFFF" w:themeFill="background1"/>
            <w:noWrap/>
            <w:vAlign w:val="bottom"/>
            <w:hideMark/>
          </w:tcPr>
          <w:p w:rsidR="00C824D9" w:rsidRPr="00C824D9" w:rsidRDefault="00C824D9" w:rsidP="00C824D9">
            <w:pPr>
              <w:jc w:val="right"/>
              <w:rPr>
                <w:b/>
                <w:color w:val="000000"/>
                <w:sz w:val="20"/>
                <w:lang w:val="nl-BE" w:eastAsia="nl-BE"/>
              </w:rPr>
            </w:pPr>
            <w:r w:rsidRPr="00C824D9">
              <w:rPr>
                <w:b/>
                <w:color w:val="000000"/>
                <w:sz w:val="20"/>
                <w:lang w:val="nl-BE" w:eastAsia="nl-BE"/>
              </w:rPr>
              <w:t>€ 36.846.326,72</w:t>
            </w:r>
          </w:p>
        </w:tc>
      </w:tr>
    </w:tbl>
    <w:p w:rsidR="00C824D9" w:rsidRPr="00C824D9" w:rsidRDefault="00C824D9" w:rsidP="00C824D9">
      <w:pPr>
        <w:pStyle w:val="StandaardSV"/>
        <w:ind w:left="360"/>
        <w:jc w:val="left"/>
        <w:rPr>
          <w:b/>
          <w:sz w:val="20"/>
        </w:rPr>
      </w:pPr>
      <w:r w:rsidRPr="00C824D9">
        <w:rPr>
          <w:b/>
          <w:sz w:val="20"/>
        </w:rPr>
        <w:t>(*) Aanmelding via de nieuwe webapplicatie waren mogelijk vanaf 8 februari 2011.</w:t>
      </w:r>
    </w:p>
    <w:p w:rsidR="00C824D9" w:rsidRDefault="00C824D9" w:rsidP="00C824D9">
      <w:pPr>
        <w:pStyle w:val="StandaardSV"/>
        <w:ind w:left="360"/>
        <w:jc w:val="left"/>
      </w:pPr>
    </w:p>
    <w:p w:rsidR="00C824D9" w:rsidRDefault="00C824D9" w:rsidP="00C824D9">
      <w:pPr>
        <w:pStyle w:val="StandaardSV"/>
        <w:ind w:left="360"/>
        <w:jc w:val="left"/>
      </w:pPr>
      <w:r>
        <w:t>Opdeling ontvangen Winwinleningen per provincie (op jaarbasis):</w:t>
      </w:r>
    </w:p>
    <w:p w:rsidR="00C824D9" w:rsidRDefault="00C824D9" w:rsidP="00C824D9">
      <w:pPr>
        <w:pStyle w:val="StandaardSV"/>
        <w:ind w:left="360"/>
        <w:jc w:val="left"/>
      </w:pPr>
    </w:p>
    <w:tbl>
      <w:tblPr>
        <w:tblW w:w="2802"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8"/>
        <w:gridCol w:w="1656"/>
        <w:gridCol w:w="818"/>
        <w:gridCol w:w="1540"/>
      </w:tblGrid>
      <w:tr w:rsidR="00C824D9" w:rsidRPr="00C824D9" w:rsidTr="005E0BB9">
        <w:trPr>
          <w:trHeight w:val="70"/>
        </w:trPr>
        <w:tc>
          <w:tcPr>
            <w:tcW w:w="1112" w:type="pct"/>
            <w:shd w:val="pct10" w:color="auto" w:fill="FFFFFF" w:themeFill="background1"/>
            <w:noWrap/>
            <w:vAlign w:val="bottom"/>
            <w:hideMark/>
          </w:tcPr>
          <w:p w:rsidR="00C824D9" w:rsidRPr="00C824D9" w:rsidRDefault="00C824D9" w:rsidP="00C824D9">
            <w:pPr>
              <w:rPr>
                <w:b/>
                <w:color w:val="000000"/>
                <w:sz w:val="20"/>
                <w:lang w:val="nl-BE" w:eastAsia="nl-BE"/>
              </w:rPr>
            </w:pPr>
            <w:r w:rsidRPr="00C824D9">
              <w:rPr>
                <w:b/>
                <w:color w:val="000000"/>
                <w:sz w:val="20"/>
                <w:lang w:val="nl-BE" w:eastAsia="nl-BE"/>
              </w:rPr>
              <w:t>Jaar</w:t>
            </w:r>
          </w:p>
        </w:tc>
        <w:tc>
          <w:tcPr>
            <w:tcW w:w="1604" w:type="pct"/>
            <w:shd w:val="pct10" w:color="auto" w:fill="FFFFFF" w:themeFill="background1"/>
            <w:noWrap/>
            <w:vAlign w:val="bottom"/>
            <w:hideMark/>
          </w:tcPr>
          <w:p w:rsidR="00C824D9" w:rsidRPr="00C824D9" w:rsidRDefault="00C824D9" w:rsidP="00C824D9">
            <w:pPr>
              <w:rPr>
                <w:b/>
                <w:color w:val="000000"/>
                <w:sz w:val="20"/>
                <w:lang w:val="nl-BE" w:eastAsia="nl-BE"/>
              </w:rPr>
            </w:pPr>
            <w:r w:rsidRPr="00C824D9">
              <w:rPr>
                <w:b/>
                <w:color w:val="000000"/>
                <w:sz w:val="20"/>
                <w:lang w:val="nl-BE" w:eastAsia="nl-BE"/>
              </w:rPr>
              <w:t>Provincie</w:t>
            </w:r>
          </w:p>
        </w:tc>
        <w:tc>
          <w:tcPr>
            <w:tcW w:w="792" w:type="pct"/>
            <w:shd w:val="pct10" w:color="auto" w:fill="FFFFFF" w:themeFill="background1"/>
            <w:noWrap/>
            <w:vAlign w:val="bottom"/>
            <w:hideMark/>
          </w:tcPr>
          <w:p w:rsidR="00C824D9" w:rsidRPr="00C824D9" w:rsidRDefault="00C824D9" w:rsidP="00C824D9">
            <w:pPr>
              <w:jc w:val="right"/>
              <w:rPr>
                <w:b/>
                <w:color w:val="000000"/>
                <w:sz w:val="20"/>
                <w:lang w:val="nl-BE" w:eastAsia="nl-BE"/>
              </w:rPr>
            </w:pPr>
            <w:r w:rsidRPr="00C824D9">
              <w:rPr>
                <w:b/>
                <w:color w:val="000000"/>
                <w:sz w:val="20"/>
                <w:lang w:val="nl-BE" w:eastAsia="nl-BE"/>
              </w:rPr>
              <w:t>Aantal</w:t>
            </w:r>
          </w:p>
        </w:tc>
        <w:tc>
          <w:tcPr>
            <w:tcW w:w="1492" w:type="pct"/>
            <w:shd w:val="pct10" w:color="auto" w:fill="FFFFFF" w:themeFill="background1"/>
            <w:noWrap/>
            <w:vAlign w:val="bottom"/>
            <w:hideMark/>
          </w:tcPr>
          <w:p w:rsidR="00C824D9" w:rsidRPr="00C824D9" w:rsidRDefault="00C824D9" w:rsidP="00C824D9">
            <w:pPr>
              <w:jc w:val="right"/>
              <w:rPr>
                <w:b/>
                <w:color w:val="000000"/>
                <w:sz w:val="20"/>
                <w:lang w:val="nl-BE" w:eastAsia="nl-BE"/>
              </w:rPr>
            </w:pPr>
            <w:r w:rsidRPr="00C824D9">
              <w:rPr>
                <w:b/>
                <w:color w:val="000000"/>
                <w:sz w:val="20"/>
                <w:lang w:val="nl-BE" w:eastAsia="nl-BE"/>
              </w:rPr>
              <w:t>Bedrag</w:t>
            </w:r>
          </w:p>
        </w:tc>
      </w:tr>
      <w:tr w:rsidR="00C824D9" w:rsidRPr="00C824D9" w:rsidTr="005E0BB9">
        <w:trPr>
          <w:trHeight w:val="70"/>
        </w:trPr>
        <w:tc>
          <w:tcPr>
            <w:tcW w:w="1112"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2011</w:t>
            </w:r>
          </w:p>
        </w:tc>
        <w:tc>
          <w:tcPr>
            <w:tcW w:w="1604"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Antwerpen</w:t>
            </w:r>
          </w:p>
        </w:tc>
        <w:tc>
          <w:tcPr>
            <w:tcW w:w="792"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261</w:t>
            </w:r>
          </w:p>
        </w:tc>
        <w:tc>
          <w:tcPr>
            <w:tcW w:w="1492"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€ 6.980.287,88</w:t>
            </w:r>
          </w:p>
        </w:tc>
      </w:tr>
      <w:tr w:rsidR="00C824D9" w:rsidRPr="00C824D9" w:rsidTr="005E0BB9">
        <w:trPr>
          <w:trHeight w:val="70"/>
        </w:trPr>
        <w:tc>
          <w:tcPr>
            <w:tcW w:w="1112"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604"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Limburg</w:t>
            </w:r>
          </w:p>
        </w:tc>
        <w:tc>
          <w:tcPr>
            <w:tcW w:w="792"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100</w:t>
            </w:r>
          </w:p>
        </w:tc>
        <w:tc>
          <w:tcPr>
            <w:tcW w:w="1492"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€ 2.974.350,00</w:t>
            </w:r>
          </w:p>
        </w:tc>
      </w:tr>
      <w:tr w:rsidR="00C824D9" w:rsidRPr="00C824D9" w:rsidTr="005E0BB9">
        <w:trPr>
          <w:trHeight w:val="70"/>
        </w:trPr>
        <w:tc>
          <w:tcPr>
            <w:tcW w:w="1112"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604"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xml:space="preserve">Oost-Vlaanderen </w:t>
            </w:r>
          </w:p>
        </w:tc>
        <w:tc>
          <w:tcPr>
            <w:tcW w:w="792"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275</w:t>
            </w:r>
          </w:p>
        </w:tc>
        <w:tc>
          <w:tcPr>
            <w:tcW w:w="1492"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€ 7.617.571,44</w:t>
            </w:r>
          </w:p>
        </w:tc>
      </w:tr>
      <w:tr w:rsidR="00C824D9" w:rsidRPr="00C824D9" w:rsidTr="005E0BB9">
        <w:trPr>
          <w:trHeight w:val="70"/>
        </w:trPr>
        <w:tc>
          <w:tcPr>
            <w:tcW w:w="1112"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604"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Vlaams-Brabant</w:t>
            </w:r>
          </w:p>
        </w:tc>
        <w:tc>
          <w:tcPr>
            <w:tcW w:w="792"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128</w:t>
            </w:r>
          </w:p>
        </w:tc>
        <w:tc>
          <w:tcPr>
            <w:tcW w:w="1492"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€ 3.804.175,00</w:t>
            </w:r>
          </w:p>
        </w:tc>
      </w:tr>
      <w:tr w:rsidR="00C824D9" w:rsidRPr="00C824D9" w:rsidTr="005E0BB9">
        <w:trPr>
          <w:trHeight w:val="70"/>
        </w:trPr>
        <w:tc>
          <w:tcPr>
            <w:tcW w:w="1112" w:type="pct"/>
            <w:tcBorders>
              <w:bottom w:val="single" w:sz="4" w:space="0" w:color="auto"/>
            </w:tcBorders>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604" w:type="pct"/>
            <w:tcBorders>
              <w:bottom w:val="single" w:sz="4" w:space="0" w:color="auto"/>
            </w:tcBorders>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West-Vlaanderen</w:t>
            </w:r>
          </w:p>
        </w:tc>
        <w:tc>
          <w:tcPr>
            <w:tcW w:w="792" w:type="pct"/>
            <w:tcBorders>
              <w:bottom w:val="single" w:sz="4" w:space="0" w:color="auto"/>
            </w:tcBorders>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248</w:t>
            </w:r>
          </w:p>
        </w:tc>
        <w:tc>
          <w:tcPr>
            <w:tcW w:w="1492" w:type="pct"/>
            <w:tcBorders>
              <w:bottom w:val="single" w:sz="4" w:space="0" w:color="auto"/>
            </w:tcBorders>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€ 7.003.504,54</w:t>
            </w:r>
          </w:p>
        </w:tc>
      </w:tr>
      <w:tr w:rsidR="00C824D9" w:rsidRPr="00C824D9" w:rsidTr="005E0BB9">
        <w:trPr>
          <w:trHeight w:val="70"/>
        </w:trPr>
        <w:tc>
          <w:tcPr>
            <w:tcW w:w="1112" w:type="pct"/>
            <w:shd w:val="pct10" w:color="auto" w:fill="FFFFFF" w:themeFill="background1"/>
            <w:noWrap/>
            <w:vAlign w:val="bottom"/>
            <w:hideMark/>
          </w:tcPr>
          <w:p w:rsidR="00C824D9" w:rsidRPr="00C824D9" w:rsidRDefault="00C824D9" w:rsidP="00C824D9">
            <w:pPr>
              <w:rPr>
                <w:b/>
                <w:color w:val="000000"/>
                <w:sz w:val="20"/>
                <w:lang w:val="nl-BE" w:eastAsia="nl-BE"/>
              </w:rPr>
            </w:pPr>
            <w:r w:rsidRPr="00C824D9">
              <w:rPr>
                <w:b/>
                <w:color w:val="000000"/>
                <w:sz w:val="20"/>
                <w:lang w:val="nl-BE" w:eastAsia="nl-BE"/>
              </w:rPr>
              <w:t>Totaal 2011</w:t>
            </w:r>
          </w:p>
        </w:tc>
        <w:tc>
          <w:tcPr>
            <w:tcW w:w="1604" w:type="pct"/>
            <w:shd w:val="pct10" w:color="auto" w:fill="FFFFFF" w:themeFill="background1"/>
            <w:noWrap/>
            <w:vAlign w:val="bottom"/>
            <w:hideMark/>
          </w:tcPr>
          <w:p w:rsidR="00C824D9" w:rsidRPr="00C824D9" w:rsidRDefault="00C824D9" w:rsidP="00C824D9">
            <w:pPr>
              <w:rPr>
                <w:b/>
                <w:color w:val="000000"/>
                <w:sz w:val="20"/>
                <w:lang w:val="nl-BE" w:eastAsia="nl-BE"/>
              </w:rPr>
            </w:pPr>
            <w:r w:rsidRPr="00C824D9">
              <w:rPr>
                <w:b/>
                <w:color w:val="000000"/>
                <w:sz w:val="20"/>
                <w:lang w:val="nl-BE" w:eastAsia="nl-BE"/>
              </w:rPr>
              <w:t> </w:t>
            </w:r>
          </w:p>
        </w:tc>
        <w:tc>
          <w:tcPr>
            <w:tcW w:w="792" w:type="pct"/>
            <w:shd w:val="pct10" w:color="auto" w:fill="FFFFFF" w:themeFill="background1"/>
            <w:noWrap/>
            <w:vAlign w:val="bottom"/>
            <w:hideMark/>
          </w:tcPr>
          <w:p w:rsidR="00C824D9" w:rsidRPr="00C824D9" w:rsidRDefault="00C824D9" w:rsidP="00C824D9">
            <w:pPr>
              <w:jc w:val="right"/>
              <w:rPr>
                <w:b/>
                <w:color w:val="000000"/>
                <w:sz w:val="20"/>
                <w:lang w:val="nl-BE" w:eastAsia="nl-BE"/>
              </w:rPr>
            </w:pPr>
            <w:r w:rsidRPr="00C824D9">
              <w:rPr>
                <w:b/>
                <w:color w:val="000000"/>
                <w:sz w:val="20"/>
                <w:lang w:val="nl-BE" w:eastAsia="nl-BE"/>
              </w:rPr>
              <w:t>1012</w:t>
            </w:r>
          </w:p>
        </w:tc>
        <w:tc>
          <w:tcPr>
            <w:tcW w:w="1492" w:type="pct"/>
            <w:shd w:val="pct10" w:color="auto" w:fill="FFFFFF" w:themeFill="background1"/>
            <w:noWrap/>
            <w:vAlign w:val="bottom"/>
            <w:hideMark/>
          </w:tcPr>
          <w:p w:rsidR="00C824D9" w:rsidRPr="00C824D9" w:rsidRDefault="00C824D9" w:rsidP="00C824D9">
            <w:pPr>
              <w:jc w:val="right"/>
              <w:rPr>
                <w:b/>
                <w:color w:val="000000"/>
                <w:sz w:val="20"/>
                <w:lang w:val="nl-BE" w:eastAsia="nl-BE"/>
              </w:rPr>
            </w:pPr>
            <w:r w:rsidRPr="00C824D9">
              <w:rPr>
                <w:b/>
                <w:color w:val="000000"/>
                <w:sz w:val="20"/>
                <w:lang w:val="nl-BE" w:eastAsia="nl-BE"/>
              </w:rPr>
              <w:t>€ 28.379.888,86</w:t>
            </w:r>
          </w:p>
        </w:tc>
      </w:tr>
      <w:tr w:rsidR="00C824D9" w:rsidRPr="00C824D9" w:rsidTr="005E0BB9">
        <w:trPr>
          <w:trHeight w:val="70"/>
        </w:trPr>
        <w:tc>
          <w:tcPr>
            <w:tcW w:w="1112"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2012</w:t>
            </w:r>
          </w:p>
        </w:tc>
        <w:tc>
          <w:tcPr>
            <w:tcW w:w="1604"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Antwerpen</w:t>
            </w:r>
          </w:p>
        </w:tc>
        <w:tc>
          <w:tcPr>
            <w:tcW w:w="792"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355</w:t>
            </w:r>
          </w:p>
        </w:tc>
        <w:tc>
          <w:tcPr>
            <w:tcW w:w="1492"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€ 8.974.516,42</w:t>
            </w:r>
          </w:p>
        </w:tc>
      </w:tr>
      <w:tr w:rsidR="00C824D9" w:rsidRPr="00C824D9" w:rsidTr="005E0BB9">
        <w:trPr>
          <w:trHeight w:val="70"/>
        </w:trPr>
        <w:tc>
          <w:tcPr>
            <w:tcW w:w="1112"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604"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Limburg</w:t>
            </w:r>
          </w:p>
        </w:tc>
        <w:tc>
          <w:tcPr>
            <w:tcW w:w="792"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132</w:t>
            </w:r>
          </w:p>
        </w:tc>
        <w:tc>
          <w:tcPr>
            <w:tcW w:w="1492"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€ 3.791.799,23</w:t>
            </w:r>
          </w:p>
        </w:tc>
      </w:tr>
      <w:tr w:rsidR="00C824D9" w:rsidRPr="00C824D9" w:rsidTr="005E0BB9">
        <w:trPr>
          <w:trHeight w:val="70"/>
        </w:trPr>
        <w:tc>
          <w:tcPr>
            <w:tcW w:w="1112"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604"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xml:space="preserve">Oost-Vlaanderen </w:t>
            </w:r>
          </w:p>
        </w:tc>
        <w:tc>
          <w:tcPr>
            <w:tcW w:w="792"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382</w:t>
            </w:r>
          </w:p>
        </w:tc>
        <w:tc>
          <w:tcPr>
            <w:tcW w:w="1492"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€ 10.805.478,92</w:t>
            </w:r>
          </w:p>
        </w:tc>
      </w:tr>
      <w:tr w:rsidR="00C824D9" w:rsidRPr="00C824D9" w:rsidTr="005E0BB9">
        <w:trPr>
          <w:trHeight w:val="70"/>
        </w:trPr>
        <w:tc>
          <w:tcPr>
            <w:tcW w:w="1112"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604"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Vlaams-Brabant</w:t>
            </w:r>
          </w:p>
        </w:tc>
        <w:tc>
          <w:tcPr>
            <w:tcW w:w="792"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183</w:t>
            </w:r>
          </w:p>
        </w:tc>
        <w:tc>
          <w:tcPr>
            <w:tcW w:w="1492"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€ 5.212.550,00</w:t>
            </w:r>
          </w:p>
        </w:tc>
      </w:tr>
      <w:tr w:rsidR="00C824D9" w:rsidRPr="00C824D9" w:rsidTr="005E0BB9">
        <w:trPr>
          <w:trHeight w:val="70"/>
        </w:trPr>
        <w:tc>
          <w:tcPr>
            <w:tcW w:w="1112" w:type="pct"/>
            <w:tcBorders>
              <w:bottom w:val="single" w:sz="4" w:space="0" w:color="auto"/>
            </w:tcBorders>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lastRenderedPageBreak/>
              <w:t> </w:t>
            </w:r>
          </w:p>
        </w:tc>
        <w:tc>
          <w:tcPr>
            <w:tcW w:w="1604" w:type="pct"/>
            <w:tcBorders>
              <w:bottom w:val="single" w:sz="4" w:space="0" w:color="auto"/>
            </w:tcBorders>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West-Vlaanderen</w:t>
            </w:r>
          </w:p>
        </w:tc>
        <w:tc>
          <w:tcPr>
            <w:tcW w:w="792" w:type="pct"/>
            <w:tcBorders>
              <w:bottom w:val="single" w:sz="4" w:space="0" w:color="auto"/>
            </w:tcBorders>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270</w:t>
            </w:r>
          </w:p>
        </w:tc>
        <w:tc>
          <w:tcPr>
            <w:tcW w:w="1492" w:type="pct"/>
            <w:tcBorders>
              <w:bottom w:val="single" w:sz="4" w:space="0" w:color="auto"/>
            </w:tcBorders>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€ 8.061.982,15</w:t>
            </w:r>
          </w:p>
        </w:tc>
      </w:tr>
      <w:tr w:rsidR="00C824D9" w:rsidRPr="00C824D9" w:rsidTr="005E0BB9">
        <w:trPr>
          <w:trHeight w:val="70"/>
        </w:trPr>
        <w:tc>
          <w:tcPr>
            <w:tcW w:w="1112" w:type="pct"/>
            <w:shd w:val="pct10" w:color="auto" w:fill="FFFFFF" w:themeFill="background1"/>
            <w:noWrap/>
            <w:vAlign w:val="bottom"/>
            <w:hideMark/>
          </w:tcPr>
          <w:p w:rsidR="00C824D9" w:rsidRPr="00C824D9" w:rsidRDefault="00C824D9" w:rsidP="00C824D9">
            <w:pPr>
              <w:rPr>
                <w:b/>
                <w:color w:val="000000"/>
                <w:sz w:val="20"/>
                <w:lang w:val="nl-BE" w:eastAsia="nl-BE"/>
              </w:rPr>
            </w:pPr>
            <w:r w:rsidRPr="00C824D9">
              <w:rPr>
                <w:b/>
                <w:color w:val="000000"/>
                <w:sz w:val="20"/>
                <w:lang w:val="nl-BE" w:eastAsia="nl-BE"/>
              </w:rPr>
              <w:t>Totaal 2012</w:t>
            </w:r>
          </w:p>
        </w:tc>
        <w:tc>
          <w:tcPr>
            <w:tcW w:w="1604" w:type="pct"/>
            <w:shd w:val="pct10" w:color="auto" w:fill="FFFFFF" w:themeFill="background1"/>
            <w:noWrap/>
            <w:vAlign w:val="bottom"/>
            <w:hideMark/>
          </w:tcPr>
          <w:p w:rsidR="00C824D9" w:rsidRPr="00C824D9" w:rsidRDefault="00C824D9" w:rsidP="00C824D9">
            <w:pPr>
              <w:rPr>
                <w:b/>
                <w:color w:val="000000"/>
                <w:sz w:val="20"/>
                <w:lang w:val="nl-BE" w:eastAsia="nl-BE"/>
              </w:rPr>
            </w:pPr>
            <w:r w:rsidRPr="00C824D9">
              <w:rPr>
                <w:b/>
                <w:color w:val="000000"/>
                <w:sz w:val="20"/>
                <w:lang w:val="nl-BE" w:eastAsia="nl-BE"/>
              </w:rPr>
              <w:t> </w:t>
            </w:r>
          </w:p>
        </w:tc>
        <w:tc>
          <w:tcPr>
            <w:tcW w:w="792" w:type="pct"/>
            <w:shd w:val="pct10" w:color="auto" w:fill="FFFFFF" w:themeFill="background1"/>
            <w:noWrap/>
            <w:vAlign w:val="bottom"/>
            <w:hideMark/>
          </w:tcPr>
          <w:p w:rsidR="00C824D9" w:rsidRPr="00C824D9" w:rsidRDefault="00C824D9" w:rsidP="00C824D9">
            <w:pPr>
              <w:jc w:val="right"/>
              <w:rPr>
                <w:b/>
                <w:color w:val="000000"/>
                <w:sz w:val="20"/>
                <w:lang w:val="nl-BE" w:eastAsia="nl-BE"/>
              </w:rPr>
            </w:pPr>
            <w:r w:rsidRPr="00C824D9">
              <w:rPr>
                <w:b/>
                <w:color w:val="000000"/>
                <w:sz w:val="20"/>
                <w:lang w:val="nl-BE" w:eastAsia="nl-BE"/>
              </w:rPr>
              <w:t>1322</w:t>
            </w:r>
          </w:p>
        </w:tc>
        <w:tc>
          <w:tcPr>
            <w:tcW w:w="1492" w:type="pct"/>
            <w:shd w:val="pct10" w:color="auto" w:fill="FFFFFF" w:themeFill="background1"/>
            <w:noWrap/>
            <w:vAlign w:val="bottom"/>
            <w:hideMark/>
          </w:tcPr>
          <w:p w:rsidR="00C824D9" w:rsidRPr="00C824D9" w:rsidRDefault="00C824D9" w:rsidP="00C824D9">
            <w:pPr>
              <w:jc w:val="right"/>
              <w:rPr>
                <w:b/>
                <w:color w:val="000000"/>
                <w:sz w:val="20"/>
                <w:lang w:val="nl-BE" w:eastAsia="nl-BE"/>
              </w:rPr>
            </w:pPr>
            <w:r w:rsidRPr="00C824D9">
              <w:rPr>
                <w:b/>
                <w:color w:val="000000"/>
                <w:sz w:val="20"/>
                <w:lang w:val="nl-BE" w:eastAsia="nl-BE"/>
              </w:rPr>
              <w:t>€ 36.846.326,72</w:t>
            </w:r>
          </w:p>
        </w:tc>
      </w:tr>
    </w:tbl>
    <w:p w:rsidR="00C824D9" w:rsidRDefault="00C824D9" w:rsidP="00C22CBB">
      <w:pPr>
        <w:pStyle w:val="StandaardSV"/>
        <w:ind w:left="360"/>
        <w:jc w:val="left"/>
      </w:pPr>
    </w:p>
    <w:p w:rsidR="00C824D9" w:rsidRDefault="00C824D9" w:rsidP="00C22CBB">
      <w:pPr>
        <w:pStyle w:val="StandaardSV"/>
        <w:ind w:left="360"/>
        <w:jc w:val="left"/>
      </w:pPr>
      <w:r>
        <w:t>Opdeling ontvangen Wininleningen starter en niet-starter (op jaarbasis):</w:t>
      </w:r>
    </w:p>
    <w:p w:rsidR="00C824D9" w:rsidRDefault="00C824D9" w:rsidP="00C22CBB">
      <w:pPr>
        <w:pStyle w:val="StandaardSV"/>
        <w:ind w:left="360"/>
        <w:jc w:val="left"/>
      </w:pPr>
    </w:p>
    <w:tbl>
      <w:tblPr>
        <w:tblW w:w="2419"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6"/>
        <w:gridCol w:w="853"/>
        <w:gridCol w:w="818"/>
        <w:gridCol w:w="1540"/>
      </w:tblGrid>
      <w:tr w:rsidR="00C824D9" w:rsidRPr="00C824D9" w:rsidTr="00C824D9">
        <w:trPr>
          <w:trHeight w:val="70"/>
        </w:trPr>
        <w:tc>
          <w:tcPr>
            <w:tcW w:w="1397" w:type="pct"/>
            <w:shd w:val="pct10" w:color="auto" w:fill="FFFFFF" w:themeFill="background1"/>
            <w:noWrap/>
            <w:vAlign w:val="bottom"/>
            <w:hideMark/>
          </w:tcPr>
          <w:p w:rsidR="00C824D9" w:rsidRPr="00C824D9" w:rsidRDefault="00C824D9" w:rsidP="00C824D9">
            <w:pPr>
              <w:rPr>
                <w:b/>
                <w:color w:val="000000"/>
                <w:sz w:val="20"/>
                <w:lang w:val="nl-BE" w:eastAsia="nl-BE"/>
              </w:rPr>
            </w:pPr>
            <w:r w:rsidRPr="00C824D9">
              <w:rPr>
                <w:b/>
                <w:color w:val="000000"/>
                <w:sz w:val="20"/>
                <w:lang w:val="nl-BE" w:eastAsia="nl-BE"/>
              </w:rPr>
              <w:t>Jaar</w:t>
            </w:r>
          </w:p>
        </w:tc>
        <w:tc>
          <w:tcPr>
            <w:tcW w:w="957" w:type="pct"/>
            <w:shd w:val="pct10" w:color="auto" w:fill="FFFFFF" w:themeFill="background1"/>
            <w:noWrap/>
            <w:vAlign w:val="bottom"/>
            <w:hideMark/>
          </w:tcPr>
          <w:p w:rsidR="00C824D9" w:rsidRPr="00C824D9" w:rsidRDefault="00C824D9" w:rsidP="00C824D9">
            <w:pPr>
              <w:rPr>
                <w:b/>
                <w:color w:val="000000"/>
                <w:sz w:val="20"/>
                <w:lang w:val="nl-BE" w:eastAsia="nl-BE"/>
              </w:rPr>
            </w:pPr>
            <w:r w:rsidRPr="00C824D9">
              <w:rPr>
                <w:b/>
                <w:color w:val="000000"/>
                <w:sz w:val="20"/>
                <w:lang w:val="nl-BE" w:eastAsia="nl-BE"/>
              </w:rPr>
              <w:t>Starter</w:t>
            </w:r>
          </w:p>
        </w:tc>
        <w:tc>
          <w:tcPr>
            <w:tcW w:w="918" w:type="pct"/>
            <w:shd w:val="pct10" w:color="auto" w:fill="FFFFFF" w:themeFill="background1"/>
            <w:noWrap/>
            <w:vAlign w:val="bottom"/>
            <w:hideMark/>
          </w:tcPr>
          <w:p w:rsidR="00C824D9" w:rsidRPr="00C824D9" w:rsidRDefault="00C824D9" w:rsidP="00C824D9">
            <w:pPr>
              <w:jc w:val="right"/>
              <w:rPr>
                <w:b/>
                <w:color w:val="000000"/>
                <w:sz w:val="20"/>
                <w:lang w:val="nl-BE" w:eastAsia="nl-BE"/>
              </w:rPr>
            </w:pPr>
            <w:r w:rsidRPr="00C824D9">
              <w:rPr>
                <w:b/>
                <w:color w:val="000000"/>
                <w:sz w:val="20"/>
                <w:lang w:val="nl-BE" w:eastAsia="nl-BE"/>
              </w:rPr>
              <w:t>Aantal</w:t>
            </w:r>
          </w:p>
        </w:tc>
        <w:tc>
          <w:tcPr>
            <w:tcW w:w="1728" w:type="pct"/>
            <w:shd w:val="pct10" w:color="auto" w:fill="FFFFFF" w:themeFill="background1"/>
            <w:noWrap/>
            <w:vAlign w:val="bottom"/>
            <w:hideMark/>
          </w:tcPr>
          <w:p w:rsidR="00C824D9" w:rsidRPr="00C824D9" w:rsidRDefault="00C824D9" w:rsidP="00C824D9">
            <w:pPr>
              <w:jc w:val="right"/>
              <w:rPr>
                <w:b/>
                <w:color w:val="000000"/>
                <w:sz w:val="20"/>
                <w:lang w:val="nl-BE" w:eastAsia="nl-BE"/>
              </w:rPr>
            </w:pPr>
            <w:r w:rsidRPr="00C824D9">
              <w:rPr>
                <w:b/>
                <w:color w:val="000000"/>
                <w:sz w:val="20"/>
                <w:lang w:val="nl-BE" w:eastAsia="nl-BE"/>
              </w:rPr>
              <w:t>Bedrag</w:t>
            </w:r>
          </w:p>
        </w:tc>
      </w:tr>
      <w:tr w:rsidR="00C824D9" w:rsidRPr="00C824D9" w:rsidTr="00C824D9">
        <w:trPr>
          <w:trHeight w:val="70"/>
        </w:trPr>
        <w:tc>
          <w:tcPr>
            <w:tcW w:w="1397"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2011</w:t>
            </w:r>
          </w:p>
        </w:tc>
        <w:tc>
          <w:tcPr>
            <w:tcW w:w="957"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Nee</w:t>
            </w:r>
          </w:p>
        </w:tc>
        <w:tc>
          <w:tcPr>
            <w:tcW w:w="918"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399</w:t>
            </w:r>
          </w:p>
        </w:tc>
        <w:tc>
          <w:tcPr>
            <w:tcW w:w="1728"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€ 12.013.503,00</w:t>
            </w:r>
          </w:p>
        </w:tc>
      </w:tr>
      <w:tr w:rsidR="00C824D9" w:rsidRPr="00C824D9" w:rsidTr="00C824D9">
        <w:trPr>
          <w:trHeight w:val="70"/>
        </w:trPr>
        <w:tc>
          <w:tcPr>
            <w:tcW w:w="1397" w:type="pct"/>
            <w:tcBorders>
              <w:bottom w:val="single" w:sz="4" w:space="0" w:color="auto"/>
            </w:tcBorders>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957" w:type="pct"/>
            <w:tcBorders>
              <w:bottom w:val="single" w:sz="4" w:space="0" w:color="auto"/>
            </w:tcBorders>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Ja</w:t>
            </w:r>
          </w:p>
        </w:tc>
        <w:tc>
          <w:tcPr>
            <w:tcW w:w="918" w:type="pct"/>
            <w:tcBorders>
              <w:bottom w:val="single" w:sz="4" w:space="0" w:color="auto"/>
            </w:tcBorders>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613</w:t>
            </w:r>
          </w:p>
        </w:tc>
        <w:tc>
          <w:tcPr>
            <w:tcW w:w="1728" w:type="pct"/>
            <w:tcBorders>
              <w:bottom w:val="single" w:sz="4" w:space="0" w:color="auto"/>
            </w:tcBorders>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€ 16.366.385,86</w:t>
            </w:r>
          </w:p>
        </w:tc>
      </w:tr>
      <w:tr w:rsidR="00C824D9" w:rsidRPr="00C824D9" w:rsidTr="00C824D9">
        <w:trPr>
          <w:trHeight w:val="70"/>
        </w:trPr>
        <w:tc>
          <w:tcPr>
            <w:tcW w:w="1397" w:type="pct"/>
            <w:shd w:val="pct10" w:color="auto" w:fill="FFFFFF" w:themeFill="background1"/>
            <w:noWrap/>
            <w:vAlign w:val="bottom"/>
            <w:hideMark/>
          </w:tcPr>
          <w:p w:rsidR="00C824D9" w:rsidRPr="00C824D9" w:rsidRDefault="00C824D9" w:rsidP="00C824D9">
            <w:pPr>
              <w:rPr>
                <w:b/>
                <w:color w:val="000000"/>
                <w:sz w:val="20"/>
                <w:lang w:val="nl-BE" w:eastAsia="nl-BE"/>
              </w:rPr>
            </w:pPr>
            <w:r w:rsidRPr="00C824D9">
              <w:rPr>
                <w:b/>
                <w:color w:val="000000"/>
                <w:sz w:val="20"/>
                <w:lang w:val="nl-BE" w:eastAsia="nl-BE"/>
              </w:rPr>
              <w:t>Totaal 2011</w:t>
            </w:r>
          </w:p>
        </w:tc>
        <w:tc>
          <w:tcPr>
            <w:tcW w:w="957" w:type="pct"/>
            <w:shd w:val="pct10" w:color="auto" w:fill="FFFFFF" w:themeFill="background1"/>
            <w:noWrap/>
            <w:vAlign w:val="bottom"/>
            <w:hideMark/>
          </w:tcPr>
          <w:p w:rsidR="00C824D9" w:rsidRPr="00C824D9" w:rsidRDefault="00C824D9" w:rsidP="00C824D9">
            <w:pPr>
              <w:rPr>
                <w:b/>
                <w:color w:val="000000"/>
                <w:sz w:val="20"/>
                <w:lang w:val="nl-BE" w:eastAsia="nl-BE"/>
              </w:rPr>
            </w:pPr>
            <w:r w:rsidRPr="00C824D9">
              <w:rPr>
                <w:b/>
                <w:color w:val="000000"/>
                <w:sz w:val="20"/>
                <w:lang w:val="nl-BE" w:eastAsia="nl-BE"/>
              </w:rPr>
              <w:t> </w:t>
            </w:r>
          </w:p>
        </w:tc>
        <w:tc>
          <w:tcPr>
            <w:tcW w:w="918" w:type="pct"/>
            <w:shd w:val="pct10" w:color="auto" w:fill="FFFFFF" w:themeFill="background1"/>
            <w:noWrap/>
            <w:vAlign w:val="bottom"/>
            <w:hideMark/>
          </w:tcPr>
          <w:p w:rsidR="00C824D9" w:rsidRPr="00C824D9" w:rsidRDefault="00C824D9" w:rsidP="00C824D9">
            <w:pPr>
              <w:jc w:val="right"/>
              <w:rPr>
                <w:b/>
                <w:color w:val="000000"/>
                <w:sz w:val="20"/>
                <w:lang w:val="nl-BE" w:eastAsia="nl-BE"/>
              </w:rPr>
            </w:pPr>
            <w:r w:rsidRPr="00C824D9">
              <w:rPr>
                <w:b/>
                <w:color w:val="000000"/>
                <w:sz w:val="20"/>
                <w:lang w:val="nl-BE" w:eastAsia="nl-BE"/>
              </w:rPr>
              <w:t>1012</w:t>
            </w:r>
          </w:p>
        </w:tc>
        <w:tc>
          <w:tcPr>
            <w:tcW w:w="1728" w:type="pct"/>
            <w:shd w:val="pct10" w:color="auto" w:fill="FFFFFF" w:themeFill="background1"/>
            <w:noWrap/>
            <w:vAlign w:val="bottom"/>
            <w:hideMark/>
          </w:tcPr>
          <w:p w:rsidR="00C824D9" w:rsidRPr="00C824D9" w:rsidRDefault="00C824D9" w:rsidP="00C824D9">
            <w:pPr>
              <w:jc w:val="right"/>
              <w:rPr>
                <w:b/>
                <w:color w:val="000000"/>
                <w:sz w:val="20"/>
                <w:lang w:val="nl-BE" w:eastAsia="nl-BE"/>
              </w:rPr>
            </w:pPr>
            <w:r w:rsidRPr="00C824D9">
              <w:rPr>
                <w:b/>
                <w:color w:val="000000"/>
                <w:sz w:val="20"/>
                <w:lang w:val="nl-BE" w:eastAsia="nl-BE"/>
              </w:rPr>
              <w:t>€ 28.379.888,86</w:t>
            </w:r>
          </w:p>
        </w:tc>
      </w:tr>
      <w:tr w:rsidR="00C824D9" w:rsidRPr="00C824D9" w:rsidTr="00C824D9">
        <w:trPr>
          <w:trHeight w:val="70"/>
        </w:trPr>
        <w:tc>
          <w:tcPr>
            <w:tcW w:w="1397"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2012</w:t>
            </w:r>
          </w:p>
        </w:tc>
        <w:tc>
          <w:tcPr>
            <w:tcW w:w="957"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Nee</w:t>
            </w:r>
          </w:p>
        </w:tc>
        <w:tc>
          <w:tcPr>
            <w:tcW w:w="918"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629</w:t>
            </w:r>
          </w:p>
        </w:tc>
        <w:tc>
          <w:tcPr>
            <w:tcW w:w="1728"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€ 18.409.044,98</w:t>
            </w:r>
          </w:p>
        </w:tc>
      </w:tr>
      <w:tr w:rsidR="00C824D9" w:rsidRPr="00C824D9" w:rsidTr="00C824D9">
        <w:trPr>
          <w:trHeight w:val="70"/>
        </w:trPr>
        <w:tc>
          <w:tcPr>
            <w:tcW w:w="1397" w:type="pct"/>
            <w:tcBorders>
              <w:bottom w:val="single" w:sz="4" w:space="0" w:color="auto"/>
            </w:tcBorders>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957" w:type="pct"/>
            <w:tcBorders>
              <w:bottom w:val="single" w:sz="4" w:space="0" w:color="auto"/>
            </w:tcBorders>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Ja</w:t>
            </w:r>
          </w:p>
        </w:tc>
        <w:tc>
          <w:tcPr>
            <w:tcW w:w="918" w:type="pct"/>
            <w:tcBorders>
              <w:bottom w:val="single" w:sz="4" w:space="0" w:color="auto"/>
            </w:tcBorders>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693</w:t>
            </w:r>
          </w:p>
        </w:tc>
        <w:tc>
          <w:tcPr>
            <w:tcW w:w="1728" w:type="pct"/>
            <w:tcBorders>
              <w:bottom w:val="single" w:sz="4" w:space="0" w:color="auto"/>
            </w:tcBorders>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€ 18.437.281,74</w:t>
            </w:r>
          </w:p>
        </w:tc>
      </w:tr>
      <w:tr w:rsidR="00C824D9" w:rsidRPr="00C824D9" w:rsidTr="00C824D9">
        <w:trPr>
          <w:trHeight w:val="70"/>
        </w:trPr>
        <w:tc>
          <w:tcPr>
            <w:tcW w:w="1397" w:type="pct"/>
            <w:shd w:val="pct10" w:color="auto" w:fill="FFFFFF" w:themeFill="background1"/>
            <w:noWrap/>
            <w:vAlign w:val="bottom"/>
            <w:hideMark/>
          </w:tcPr>
          <w:p w:rsidR="00C824D9" w:rsidRPr="00C824D9" w:rsidRDefault="00C824D9" w:rsidP="00C824D9">
            <w:pPr>
              <w:rPr>
                <w:b/>
                <w:color w:val="000000"/>
                <w:sz w:val="20"/>
                <w:lang w:val="nl-BE" w:eastAsia="nl-BE"/>
              </w:rPr>
            </w:pPr>
            <w:r w:rsidRPr="00C824D9">
              <w:rPr>
                <w:b/>
                <w:color w:val="000000"/>
                <w:sz w:val="20"/>
                <w:lang w:val="nl-BE" w:eastAsia="nl-BE"/>
              </w:rPr>
              <w:t>Totaal 2012</w:t>
            </w:r>
          </w:p>
        </w:tc>
        <w:tc>
          <w:tcPr>
            <w:tcW w:w="957" w:type="pct"/>
            <w:shd w:val="pct10" w:color="auto" w:fill="FFFFFF" w:themeFill="background1"/>
            <w:noWrap/>
            <w:vAlign w:val="bottom"/>
            <w:hideMark/>
          </w:tcPr>
          <w:p w:rsidR="00C824D9" w:rsidRPr="00C824D9" w:rsidRDefault="00C824D9" w:rsidP="00C824D9">
            <w:pPr>
              <w:rPr>
                <w:b/>
                <w:color w:val="000000"/>
                <w:sz w:val="20"/>
                <w:lang w:val="nl-BE" w:eastAsia="nl-BE"/>
              </w:rPr>
            </w:pPr>
            <w:r w:rsidRPr="00C824D9">
              <w:rPr>
                <w:b/>
                <w:color w:val="000000"/>
                <w:sz w:val="20"/>
                <w:lang w:val="nl-BE" w:eastAsia="nl-BE"/>
              </w:rPr>
              <w:t> </w:t>
            </w:r>
          </w:p>
        </w:tc>
        <w:tc>
          <w:tcPr>
            <w:tcW w:w="918" w:type="pct"/>
            <w:shd w:val="pct10" w:color="auto" w:fill="FFFFFF" w:themeFill="background1"/>
            <w:noWrap/>
            <w:vAlign w:val="bottom"/>
            <w:hideMark/>
          </w:tcPr>
          <w:p w:rsidR="00C824D9" w:rsidRPr="00C824D9" w:rsidRDefault="00C824D9" w:rsidP="00C824D9">
            <w:pPr>
              <w:jc w:val="right"/>
              <w:rPr>
                <w:b/>
                <w:color w:val="000000"/>
                <w:sz w:val="20"/>
                <w:lang w:val="nl-BE" w:eastAsia="nl-BE"/>
              </w:rPr>
            </w:pPr>
            <w:r w:rsidRPr="00C824D9">
              <w:rPr>
                <w:b/>
                <w:color w:val="000000"/>
                <w:sz w:val="20"/>
                <w:lang w:val="nl-BE" w:eastAsia="nl-BE"/>
              </w:rPr>
              <w:t>1322</w:t>
            </w:r>
          </w:p>
        </w:tc>
        <w:tc>
          <w:tcPr>
            <w:tcW w:w="1728" w:type="pct"/>
            <w:shd w:val="pct10" w:color="auto" w:fill="FFFFFF" w:themeFill="background1"/>
            <w:noWrap/>
            <w:vAlign w:val="bottom"/>
            <w:hideMark/>
          </w:tcPr>
          <w:p w:rsidR="00C824D9" w:rsidRPr="00C824D9" w:rsidRDefault="00C824D9" w:rsidP="00C824D9">
            <w:pPr>
              <w:jc w:val="right"/>
              <w:rPr>
                <w:b/>
                <w:color w:val="000000"/>
                <w:sz w:val="20"/>
                <w:lang w:val="nl-BE" w:eastAsia="nl-BE"/>
              </w:rPr>
            </w:pPr>
            <w:r w:rsidRPr="00C824D9">
              <w:rPr>
                <w:b/>
                <w:color w:val="000000"/>
                <w:sz w:val="20"/>
                <w:lang w:val="nl-BE" w:eastAsia="nl-BE"/>
              </w:rPr>
              <w:t>€ 36.846.326,72</w:t>
            </w:r>
          </w:p>
        </w:tc>
      </w:tr>
    </w:tbl>
    <w:p w:rsidR="00C824D9" w:rsidRDefault="00C824D9" w:rsidP="00C22CBB">
      <w:pPr>
        <w:pStyle w:val="StandaardSV"/>
        <w:ind w:left="360"/>
        <w:jc w:val="left"/>
      </w:pPr>
    </w:p>
    <w:p w:rsidR="001E6563" w:rsidRDefault="001E6563" w:rsidP="00C22CBB">
      <w:pPr>
        <w:pStyle w:val="StandaardSV"/>
        <w:ind w:left="360"/>
        <w:jc w:val="left"/>
      </w:pPr>
    </w:p>
    <w:p w:rsidR="00E90FC2" w:rsidRDefault="005C7756" w:rsidP="00A2212B">
      <w:pPr>
        <w:pStyle w:val="StandaardSV"/>
        <w:numPr>
          <w:ilvl w:val="0"/>
          <w:numId w:val="41"/>
        </w:numPr>
      </w:pPr>
      <w:r>
        <w:t>Op deelvragen 2a en 2</w:t>
      </w:r>
      <w:r w:rsidR="006318C7">
        <w:t>b wordt een gezamenlijk antwoord geformuleerd aan de hand van onde</w:t>
      </w:r>
      <w:r w:rsidR="006318C7">
        <w:t>r</w:t>
      </w:r>
      <w:r w:rsidR="006318C7">
        <w:t>staande tabellen. Een goedgekeurde aanvraag betekent dat de aanvraag effectief werd gereg</w:t>
      </w:r>
      <w:r w:rsidR="006318C7">
        <w:t>i</w:t>
      </w:r>
      <w:r w:rsidR="006318C7">
        <w:t>streerd door Waarborgbeheer nv in een bepaald jaar.</w:t>
      </w:r>
    </w:p>
    <w:p w:rsidR="006318C7" w:rsidRDefault="006318C7" w:rsidP="00C22CBB">
      <w:pPr>
        <w:pStyle w:val="StandaardSV"/>
        <w:ind w:left="360"/>
        <w:jc w:val="left"/>
      </w:pPr>
    </w:p>
    <w:p w:rsidR="006318C7" w:rsidRDefault="006318C7" w:rsidP="00C22CBB">
      <w:pPr>
        <w:pStyle w:val="StandaardSV"/>
        <w:ind w:left="360"/>
        <w:jc w:val="left"/>
      </w:pPr>
      <w:r w:rsidRPr="00C22CBB">
        <w:t>Geregistreerde Winwinleningen per jaar en per maand</w:t>
      </w:r>
      <w:r w:rsidR="00C22CBB">
        <w:t>:</w:t>
      </w:r>
    </w:p>
    <w:p w:rsidR="006318C7" w:rsidRDefault="006318C7" w:rsidP="00C22CBB">
      <w:pPr>
        <w:pStyle w:val="StandaardSV"/>
        <w:ind w:left="360"/>
        <w:jc w:val="left"/>
      </w:pPr>
    </w:p>
    <w:tbl>
      <w:tblPr>
        <w:tblW w:w="2896"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8"/>
        <w:gridCol w:w="1729"/>
        <w:gridCol w:w="819"/>
        <w:gridCol w:w="1540"/>
      </w:tblGrid>
      <w:tr w:rsidR="00C824D9" w:rsidRPr="00C824D9" w:rsidTr="00C22CBB">
        <w:trPr>
          <w:trHeight w:val="70"/>
        </w:trPr>
        <w:tc>
          <w:tcPr>
            <w:tcW w:w="1170" w:type="pct"/>
            <w:shd w:val="pct10" w:color="auto" w:fill="FFFFFF" w:themeFill="background1"/>
            <w:noWrap/>
            <w:vAlign w:val="bottom"/>
            <w:hideMark/>
          </w:tcPr>
          <w:p w:rsidR="00C824D9" w:rsidRPr="00C824D9" w:rsidRDefault="00C824D9" w:rsidP="00C824D9">
            <w:pPr>
              <w:rPr>
                <w:b/>
                <w:color w:val="000000"/>
                <w:sz w:val="20"/>
                <w:lang w:val="nl-BE" w:eastAsia="nl-BE"/>
              </w:rPr>
            </w:pPr>
            <w:r w:rsidRPr="00C824D9">
              <w:rPr>
                <w:b/>
                <w:color w:val="000000"/>
                <w:sz w:val="20"/>
                <w:lang w:val="nl-BE" w:eastAsia="nl-BE"/>
              </w:rPr>
              <w:t>Jaar</w:t>
            </w:r>
          </w:p>
        </w:tc>
        <w:tc>
          <w:tcPr>
            <w:tcW w:w="1620" w:type="pct"/>
            <w:shd w:val="pct10" w:color="auto" w:fill="FFFFFF" w:themeFill="background1"/>
            <w:noWrap/>
            <w:vAlign w:val="bottom"/>
            <w:hideMark/>
          </w:tcPr>
          <w:p w:rsidR="00C824D9" w:rsidRPr="00C824D9" w:rsidRDefault="00C824D9" w:rsidP="00C824D9">
            <w:pPr>
              <w:rPr>
                <w:b/>
                <w:color w:val="000000"/>
                <w:sz w:val="20"/>
                <w:lang w:val="nl-BE" w:eastAsia="nl-BE"/>
              </w:rPr>
            </w:pPr>
            <w:r w:rsidRPr="00C824D9">
              <w:rPr>
                <w:b/>
                <w:color w:val="000000"/>
                <w:sz w:val="20"/>
                <w:lang w:val="nl-BE" w:eastAsia="nl-BE"/>
              </w:rPr>
              <w:t>Registratiedatum</w:t>
            </w:r>
          </w:p>
        </w:tc>
        <w:tc>
          <w:tcPr>
            <w:tcW w:w="767" w:type="pct"/>
            <w:shd w:val="pct10" w:color="auto" w:fill="FFFFFF" w:themeFill="background1"/>
            <w:noWrap/>
            <w:vAlign w:val="bottom"/>
            <w:hideMark/>
          </w:tcPr>
          <w:p w:rsidR="00C824D9" w:rsidRPr="00C824D9" w:rsidRDefault="00C824D9" w:rsidP="00C824D9">
            <w:pPr>
              <w:jc w:val="right"/>
              <w:rPr>
                <w:b/>
                <w:color w:val="000000"/>
                <w:sz w:val="20"/>
                <w:lang w:val="nl-BE" w:eastAsia="nl-BE"/>
              </w:rPr>
            </w:pPr>
            <w:r w:rsidRPr="00C824D9">
              <w:rPr>
                <w:b/>
                <w:color w:val="000000"/>
                <w:sz w:val="20"/>
                <w:lang w:val="nl-BE" w:eastAsia="nl-BE"/>
              </w:rPr>
              <w:t>Aantal</w:t>
            </w:r>
          </w:p>
        </w:tc>
        <w:tc>
          <w:tcPr>
            <w:tcW w:w="1443" w:type="pct"/>
            <w:shd w:val="pct10" w:color="auto" w:fill="FFFFFF" w:themeFill="background1"/>
            <w:noWrap/>
            <w:vAlign w:val="bottom"/>
            <w:hideMark/>
          </w:tcPr>
          <w:p w:rsidR="00C824D9" w:rsidRPr="00C824D9" w:rsidRDefault="00C824D9" w:rsidP="00C824D9">
            <w:pPr>
              <w:jc w:val="right"/>
              <w:rPr>
                <w:b/>
                <w:color w:val="000000"/>
                <w:sz w:val="20"/>
                <w:lang w:val="nl-BE" w:eastAsia="nl-BE"/>
              </w:rPr>
            </w:pPr>
            <w:r w:rsidRPr="00C824D9">
              <w:rPr>
                <w:b/>
                <w:color w:val="000000"/>
                <w:sz w:val="20"/>
                <w:lang w:val="nl-BE" w:eastAsia="nl-BE"/>
              </w:rPr>
              <w:t>Bedrag</w:t>
            </w:r>
          </w:p>
        </w:tc>
      </w:tr>
      <w:tr w:rsidR="00C824D9" w:rsidRPr="00C824D9" w:rsidTr="00C824D9">
        <w:trPr>
          <w:trHeight w:val="70"/>
        </w:trPr>
        <w:tc>
          <w:tcPr>
            <w:tcW w:w="1170"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2011</w:t>
            </w:r>
          </w:p>
        </w:tc>
        <w:tc>
          <w:tcPr>
            <w:tcW w:w="1620"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jan</w:t>
            </w:r>
          </w:p>
        </w:tc>
        <w:tc>
          <w:tcPr>
            <w:tcW w:w="767"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9</w:t>
            </w:r>
          </w:p>
        </w:tc>
        <w:tc>
          <w:tcPr>
            <w:tcW w:w="1443"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€ 260.800,00</w:t>
            </w:r>
          </w:p>
        </w:tc>
      </w:tr>
      <w:tr w:rsidR="00C824D9" w:rsidRPr="00C824D9" w:rsidTr="00C824D9">
        <w:trPr>
          <w:trHeight w:val="70"/>
        </w:trPr>
        <w:tc>
          <w:tcPr>
            <w:tcW w:w="1170"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620"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mrt</w:t>
            </w:r>
          </w:p>
        </w:tc>
        <w:tc>
          <w:tcPr>
            <w:tcW w:w="767"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107</w:t>
            </w:r>
          </w:p>
        </w:tc>
        <w:tc>
          <w:tcPr>
            <w:tcW w:w="1443"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€ 3.215.994,68</w:t>
            </w:r>
          </w:p>
        </w:tc>
      </w:tr>
      <w:tr w:rsidR="00C824D9" w:rsidRPr="00C824D9" w:rsidTr="00C824D9">
        <w:trPr>
          <w:trHeight w:val="70"/>
        </w:trPr>
        <w:tc>
          <w:tcPr>
            <w:tcW w:w="1170"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620"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apr</w:t>
            </w:r>
          </w:p>
        </w:tc>
        <w:tc>
          <w:tcPr>
            <w:tcW w:w="767"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64</w:t>
            </w:r>
          </w:p>
        </w:tc>
        <w:tc>
          <w:tcPr>
            <w:tcW w:w="1443"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€ 1.776.751,54</w:t>
            </w:r>
          </w:p>
        </w:tc>
      </w:tr>
      <w:tr w:rsidR="00C824D9" w:rsidRPr="00C824D9" w:rsidTr="00C824D9">
        <w:trPr>
          <w:trHeight w:val="70"/>
        </w:trPr>
        <w:tc>
          <w:tcPr>
            <w:tcW w:w="1170"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620"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mei</w:t>
            </w:r>
          </w:p>
        </w:tc>
        <w:tc>
          <w:tcPr>
            <w:tcW w:w="767"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76</w:t>
            </w:r>
          </w:p>
        </w:tc>
        <w:tc>
          <w:tcPr>
            <w:tcW w:w="1443"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€ 2.167.103,20</w:t>
            </w:r>
          </w:p>
        </w:tc>
      </w:tr>
      <w:tr w:rsidR="00C824D9" w:rsidRPr="00C824D9" w:rsidTr="00C824D9">
        <w:trPr>
          <w:trHeight w:val="70"/>
        </w:trPr>
        <w:tc>
          <w:tcPr>
            <w:tcW w:w="1170"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620"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jun</w:t>
            </w:r>
          </w:p>
        </w:tc>
        <w:tc>
          <w:tcPr>
            <w:tcW w:w="767"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85</w:t>
            </w:r>
          </w:p>
        </w:tc>
        <w:tc>
          <w:tcPr>
            <w:tcW w:w="1443"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€ 2.492.478,00</w:t>
            </w:r>
          </w:p>
        </w:tc>
      </w:tr>
      <w:tr w:rsidR="00C824D9" w:rsidRPr="00C824D9" w:rsidTr="00C824D9">
        <w:trPr>
          <w:trHeight w:val="70"/>
        </w:trPr>
        <w:tc>
          <w:tcPr>
            <w:tcW w:w="1170"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620"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jul</w:t>
            </w:r>
          </w:p>
        </w:tc>
        <w:tc>
          <w:tcPr>
            <w:tcW w:w="767"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68</w:t>
            </w:r>
          </w:p>
        </w:tc>
        <w:tc>
          <w:tcPr>
            <w:tcW w:w="1443"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€ 2.154.000,00</w:t>
            </w:r>
          </w:p>
        </w:tc>
      </w:tr>
      <w:tr w:rsidR="00C824D9" w:rsidRPr="00C824D9" w:rsidTr="00C824D9">
        <w:trPr>
          <w:trHeight w:val="70"/>
        </w:trPr>
        <w:tc>
          <w:tcPr>
            <w:tcW w:w="1170"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620"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aug</w:t>
            </w:r>
          </w:p>
        </w:tc>
        <w:tc>
          <w:tcPr>
            <w:tcW w:w="767"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95</w:t>
            </w:r>
          </w:p>
        </w:tc>
        <w:tc>
          <w:tcPr>
            <w:tcW w:w="1443"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€ 2.643.800,00</w:t>
            </w:r>
          </w:p>
        </w:tc>
      </w:tr>
      <w:tr w:rsidR="00C824D9" w:rsidRPr="00C824D9" w:rsidTr="00C824D9">
        <w:trPr>
          <w:trHeight w:val="70"/>
        </w:trPr>
        <w:tc>
          <w:tcPr>
            <w:tcW w:w="1170"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620"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sep</w:t>
            </w:r>
          </w:p>
        </w:tc>
        <w:tc>
          <w:tcPr>
            <w:tcW w:w="767"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75</w:t>
            </w:r>
          </w:p>
        </w:tc>
        <w:tc>
          <w:tcPr>
            <w:tcW w:w="1443"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€ 2.019.771,44</w:t>
            </w:r>
          </w:p>
        </w:tc>
      </w:tr>
      <w:tr w:rsidR="00C824D9" w:rsidRPr="00C824D9" w:rsidTr="00C824D9">
        <w:trPr>
          <w:trHeight w:val="70"/>
        </w:trPr>
        <w:tc>
          <w:tcPr>
            <w:tcW w:w="1170"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620"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okt</w:t>
            </w:r>
          </w:p>
        </w:tc>
        <w:tc>
          <w:tcPr>
            <w:tcW w:w="767"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84</w:t>
            </w:r>
          </w:p>
        </w:tc>
        <w:tc>
          <w:tcPr>
            <w:tcW w:w="1443"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€ 2.222.770,00</w:t>
            </w:r>
          </w:p>
        </w:tc>
      </w:tr>
      <w:tr w:rsidR="00C824D9" w:rsidRPr="00C824D9" w:rsidTr="00C824D9">
        <w:trPr>
          <w:trHeight w:val="70"/>
        </w:trPr>
        <w:tc>
          <w:tcPr>
            <w:tcW w:w="1170"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620"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nov</w:t>
            </w:r>
          </w:p>
        </w:tc>
        <w:tc>
          <w:tcPr>
            <w:tcW w:w="767"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92</w:t>
            </w:r>
          </w:p>
        </w:tc>
        <w:tc>
          <w:tcPr>
            <w:tcW w:w="1443"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€ 2.584.500,00</w:t>
            </w:r>
          </w:p>
        </w:tc>
      </w:tr>
      <w:tr w:rsidR="00C824D9" w:rsidRPr="00C824D9" w:rsidTr="00C22CBB">
        <w:trPr>
          <w:trHeight w:val="70"/>
        </w:trPr>
        <w:tc>
          <w:tcPr>
            <w:tcW w:w="1170" w:type="pct"/>
            <w:tcBorders>
              <w:bottom w:val="single" w:sz="4" w:space="0" w:color="auto"/>
            </w:tcBorders>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620" w:type="pct"/>
            <w:tcBorders>
              <w:bottom w:val="single" w:sz="4" w:space="0" w:color="auto"/>
            </w:tcBorders>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dec</w:t>
            </w:r>
          </w:p>
        </w:tc>
        <w:tc>
          <w:tcPr>
            <w:tcW w:w="767" w:type="pct"/>
            <w:tcBorders>
              <w:bottom w:val="single" w:sz="4" w:space="0" w:color="auto"/>
            </w:tcBorders>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96</w:t>
            </w:r>
          </w:p>
        </w:tc>
        <w:tc>
          <w:tcPr>
            <w:tcW w:w="1443" w:type="pct"/>
            <w:tcBorders>
              <w:bottom w:val="single" w:sz="4" w:space="0" w:color="auto"/>
            </w:tcBorders>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€ 2.701.550,00</w:t>
            </w:r>
          </w:p>
        </w:tc>
      </w:tr>
      <w:tr w:rsidR="00C824D9" w:rsidRPr="00C824D9" w:rsidTr="00C22CBB">
        <w:trPr>
          <w:trHeight w:val="70"/>
        </w:trPr>
        <w:tc>
          <w:tcPr>
            <w:tcW w:w="1170" w:type="pct"/>
            <w:shd w:val="pct10" w:color="auto" w:fill="FFFFFF" w:themeFill="background1"/>
            <w:noWrap/>
            <w:vAlign w:val="bottom"/>
            <w:hideMark/>
          </w:tcPr>
          <w:p w:rsidR="00C824D9" w:rsidRPr="00C824D9" w:rsidRDefault="00C824D9" w:rsidP="00C824D9">
            <w:pPr>
              <w:rPr>
                <w:b/>
                <w:color w:val="000000"/>
                <w:sz w:val="20"/>
                <w:lang w:val="nl-BE" w:eastAsia="nl-BE"/>
              </w:rPr>
            </w:pPr>
            <w:r w:rsidRPr="00C824D9">
              <w:rPr>
                <w:b/>
                <w:color w:val="000000"/>
                <w:sz w:val="20"/>
                <w:lang w:val="nl-BE" w:eastAsia="nl-BE"/>
              </w:rPr>
              <w:t>Totaal 2011</w:t>
            </w:r>
          </w:p>
        </w:tc>
        <w:tc>
          <w:tcPr>
            <w:tcW w:w="1620" w:type="pct"/>
            <w:shd w:val="pct10" w:color="auto" w:fill="FFFFFF" w:themeFill="background1"/>
            <w:noWrap/>
            <w:vAlign w:val="bottom"/>
            <w:hideMark/>
          </w:tcPr>
          <w:p w:rsidR="00C824D9" w:rsidRPr="00C824D9" w:rsidRDefault="00C824D9" w:rsidP="00C824D9">
            <w:pPr>
              <w:rPr>
                <w:b/>
                <w:color w:val="000000"/>
                <w:sz w:val="20"/>
                <w:lang w:val="nl-BE" w:eastAsia="nl-BE"/>
              </w:rPr>
            </w:pPr>
            <w:r w:rsidRPr="00C824D9">
              <w:rPr>
                <w:b/>
                <w:color w:val="000000"/>
                <w:sz w:val="20"/>
                <w:lang w:val="nl-BE" w:eastAsia="nl-BE"/>
              </w:rPr>
              <w:t> </w:t>
            </w:r>
          </w:p>
        </w:tc>
        <w:tc>
          <w:tcPr>
            <w:tcW w:w="767" w:type="pct"/>
            <w:shd w:val="pct10" w:color="auto" w:fill="FFFFFF" w:themeFill="background1"/>
            <w:noWrap/>
            <w:vAlign w:val="bottom"/>
            <w:hideMark/>
          </w:tcPr>
          <w:p w:rsidR="00C824D9" w:rsidRPr="00C824D9" w:rsidRDefault="00C824D9" w:rsidP="00C824D9">
            <w:pPr>
              <w:jc w:val="right"/>
              <w:rPr>
                <w:b/>
                <w:color w:val="000000"/>
                <w:sz w:val="20"/>
                <w:lang w:val="nl-BE" w:eastAsia="nl-BE"/>
              </w:rPr>
            </w:pPr>
            <w:r w:rsidRPr="00C824D9">
              <w:rPr>
                <w:b/>
                <w:color w:val="000000"/>
                <w:sz w:val="20"/>
                <w:lang w:val="nl-BE" w:eastAsia="nl-BE"/>
              </w:rPr>
              <w:t>851</w:t>
            </w:r>
          </w:p>
        </w:tc>
        <w:tc>
          <w:tcPr>
            <w:tcW w:w="1443" w:type="pct"/>
            <w:shd w:val="pct10" w:color="auto" w:fill="FFFFFF" w:themeFill="background1"/>
            <w:noWrap/>
            <w:vAlign w:val="bottom"/>
            <w:hideMark/>
          </w:tcPr>
          <w:p w:rsidR="00C824D9" w:rsidRPr="00C824D9" w:rsidRDefault="00C824D9" w:rsidP="00C824D9">
            <w:pPr>
              <w:jc w:val="right"/>
              <w:rPr>
                <w:b/>
                <w:color w:val="000000"/>
                <w:sz w:val="20"/>
                <w:lang w:val="nl-BE" w:eastAsia="nl-BE"/>
              </w:rPr>
            </w:pPr>
            <w:r w:rsidRPr="00C824D9">
              <w:rPr>
                <w:b/>
                <w:color w:val="000000"/>
                <w:sz w:val="20"/>
                <w:lang w:val="nl-BE" w:eastAsia="nl-BE"/>
              </w:rPr>
              <w:t>€ 24.239.518,86</w:t>
            </w:r>
          </w:p>
        </w:tc>
      </w:tr>
      <w:tr w:rsidR="00C824D9" w:rsidRPr="00C824D9" w:rsidTr="00C824D9">
        <w:trPr>
          <w:trHeight w:val="70"/>
        </w:trPr>
        <w:tc>
          <w:tcPr>
            <w:tcW w:w="1170"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2012</w:t>
            </w:r>
          </w:p>
        </w:tc>
        <w:tc>
          <w:tcPr>
            <w:tcW w:w="1620"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jan</w:t>
            </w:r>
          </w:p>
        </w:tc>
        <w:tc>
          <w:tcPr>
            <w:tcW w:w="767"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113</w:t>
            </w:r>
          </w:p>
        </w:tc>
        <w:tc>
          <w:tcPr>
            <w:tcW w:w="1443"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€ 3.347.220,00</w:t>
            </w:r>
          </w:p>
        </w:tc>
      </w:tr>
      <w:tr w:rsidR="00C824D9" w:rsidRPr="00C824D9" w:rsidTr="00C824D9">
        <w:trPr>
          <w:trHeight w:val="70"/>
        </w:trPr>
        <w:tc>
          <w:tcPr>
            <w:tcW w:w="1170"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620"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feb</w:t>
            </w:r>
          </w:p>
        </w:tc>
        <w:tc>
          <w:tcPr>
            <w:tcW w:w="767"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118</w:t>
            </w:r>
          </w:p>
        </w:tc>
        <w:tc>
          <w:tcPr>
            <w:tcW w:w="1443"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€ 3.007.605,01</w:t>
            </w:r>
          </w:p>
        </w:tc>
      </w:tr>
      <w:tr w:rsidR="00C824D9" w:rsidRPr="00C824D9" w:rsidTr="00C824D9">
        <w:trPr>
          <w:trHeight w:val="70"/>
        </w:trPr>
        <w:tc>
          <w:tcPr>
            <w:tcW w:w="1170"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620"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mrt</w:t>
            </w:r>
          </w:p>
        </w:tc>
        <w:tc>
          <w:tcPr>
            <w:tcW w:w="767"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103</w:t>
            </w:r>
          </w:p>
        </w:tc>
        <w:tc>
          <w:tcPr>
            <w:tcW w:w="1443"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€ 2.771.655,43</w:t>
            </w:r>
          </w:p>
        </w:tc>
      </w:tr>
      <w:tr w:rsidR="00C824D9" w:rsidRPr="00C824D9" w:rsidTr="00C824D9">
        <w:trPr>
          <w:trHeight w:val="70"/>
        </w:trPr>
        <w:tc>
          <w:tcPr>
            <w:tcW w:w="1170"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620"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apr</w:t>
            </w:r>
          </w:p>
        </w:tc>
        <w:tc>
          <w:tcPr>
            <w:tcW w:w="767"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88</w:t>
            </w:r>
          </w:p>
        </w:tc>
        <w:tc>
          <w:tcPr>
            <w:tcW w:w="1443"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€ 2.353.250,00</w:t>
            </w:r>
          </w:p>
        </w:tc>
      </w:tr>
      <w:tr w:rsidR="00C824D9" w:rsidRPr="00C824D9" w:rsidTr="00C824D9">
        <w:trPr>
          <w:trHeight w:val="70"/>
        </w:trPr>
        <w:tc>
          <w:tcPr>
            <w:tcW w:w="1170"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620"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mei</w:t>
            </w:r>
          </w:p>
        </w:tc>
        <w:tc>
          <w:tcPr>
            <w:tcW w:w="767"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116</w:t>
            </w:r>
          </w:p>
        </w:tc>
        <w:tc>
          <w:tcPr>
            <w:tcW w:w="1443"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€ 3.162.260,00</w:t>
            </w:r>
          </w:p>
        </w:tc>
      </w:tr>
      <w:tr w:rsidR="00C824D9" w:rsidRPr="00C824D9" w:rsidTr="00C824D9">
        <w:trPr>
          <w:trHeight w:val="70"/>
        </w:trPr>
        <w:tc>
          <w:tcPr>
            <w:tcW w:w="1170"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620"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jun</w:t>
            </w:r>
          </w:p>
        </w:tc>
        <w:tc>
          <w:tcPr>
            <w:tcW w:w="767"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113</w:t>
            </w:r>
          </w:p>
        </w:tc>
        <w:tc>
          <w:tcPr>
            <w:tcW w:w="1443"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€ 2.997.110,59</w:t>
            </w:r>
          </w:p>
        </w:tc>
      </w:tr>
      <w:tr w:rsidR="00C824D9" w:rsidRPr="00C824D9" w:rsidTr="00C824D9">
        <w:trPr>
          <w:trHeight w:val="70"/>
        </w:trPr>
        <w:tc>
          <w:tcPr>
            <w:tcW w:w="1170"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620"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jul</w:t>
            </w:r>
          </w:p>
        </w:tc>
        <w:tc>
          <w:tcPr>
            <w:tcW w:w="767"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63</w:t>
            </w:r>
          </w:p>
        </w:tc>
        <w:tc>
          <w:tcPr>
            <w:tcW w:w="1443"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€ 1.645.000,00</w:t>
            </w:r>
          </w:p>
        </w:tc>
      </w:tr>
      <w:tr w:rsidR="00C824D9" w:rsidRPr="00C824D9" w:rsidTr="00C824D9">
        <w:trPr>
          <w:trHeight w:val="70"/>
        </w:trPr>
        <w:tc>
          <w:tcPr>
            <w:tcW w:w="1170"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620"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aug</w:t>
            </w:r>
          </w:p>
        </w:tc>
        <w:tc>
          <w:tcPr>
            <w:tcW w:w="767"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141</w:t>
            </w:r>
          </w:p>
        </w:tc>
        <w:tc>
          <w:tcPr>
            <w:tcW w:w="1443"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€ 3.618.527,15</w:t>
            </w:r>
          </w:p>
        </w:tc>
      </w:tr>
      <w:tr w:rsidR="00C824D9" w:rsidRPr="00C824D9" w:rsidTr="00C824D9">
        <w:trPr>
          <w:trHeight w:val="70"/>
        </w:trPr>
        <w:tc>
          <w:tcPr>
            <w:tcW w:w="1170"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620"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sep</w:t>
            </w:r>
          </w:p>
        </w:tc>
        <w:tc>
          <w:tcPr>
            <w:tcW w:w="767"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98</w:t>
            </w:r>
          </w:p>
        </w:tc>
        <w:tc>
          <w:tcPr>
            <w:tcW w:w="1443"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€ 2.784.607,62</w:t>
            </w:r>
          </w:p>
        </w:tc>
      </w:tr>
      <w:tr w:rsidR="00C824D9" w:rsidRPr="00C824D9" w:rsidTr="00C824D9">
        <w:trPr>
          <w:trHeight w:val="70"/>
        </w:trPr>
        <w:tc>
          <w:tcPr>
            <w:tcW w:w="1170"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620"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okt</w:t>
            </w:r>
          </w:p>
        </w:tc>
        <w:tc>
          <w:tcPr>
            <w:tcW w:w="767"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104</w:t>
            </w:r>
          </w:p>
        </w:tc>
        <w:tc>
          <w:tcPr>
            <w:tcW w:w="1443"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€ 2.721.000,00</w:t>
            </w:r>
          </w:p>
        </w:tc>
      </w:tr>
      <w:tr w:rsidR="00C824D9" w:rsidRPr="00C824D9" w:rsidTr="00C824D9">
        <w:trPr>
          <w:trHeight w:val="70"/>
        </w:trPr>
        <w:tc>
          <w:tcPr>
            <w:tcW w:w="1170"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620" w:type="pct"/>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nov</w:t>
            </w:r>
          </w:p>
        </w:tc>
        <w:tc>
          <w:tcPr>
            <w:tcW w:w="767"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124</w:t>
            </w:r>
          </w:p>
        </w:tc>
        <w:tc>
          <w:tcPr>
            <w:tcW w:w="1443" w:type="pct"/>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€ 3.652.060,00</w:t>
            </w:r>
          </w:p>
        </w:tc>
      </w:tr>
      <w:tr w:rsidR="00C824D9" w:rsidRPr="00C824D9" w:rsidTr="00C22CBB">
        <w:trPr>
          <w:trHeight w:val="70"/>
        </w:trPr>
        <w:tc>
          <w:tcPr>
            <w:tcW w:w="1170" w:type="pct"/>
            <w:tcBorders>
              <w:bottom w:val="single" w:sz="4" w:space="0" w:color="auto"/>
            </w:tcBorders>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 </w:t>
            </w:r>
          </w:p>
        </w:tc>
        <w:tc>
          <w:tcPr>
            <w:tcW w:w="1620" w:type="pct"/>
            <w:tcBorders>
              <w:bottom w:val="single" w:sz="4" w:space="0" w:color="auto"/>
            </w:tcBorders>
            <w:shd w:val="clear" w:color="auto" w:fill="auto"/>
            <w:noWrap/>
            <w:vAlign w:val="bottom"/>
            <w:hideMark/>
          </w:tcPr>
          <w:p w:rsidR="00C824D9" w:rsidRPr="00C824D9" w:rsidRDefault="00C824D9" w:rsidP="00C824D9">
            <w:pPr>
              <w:rPr>
                <w:color w:val="000000"/>
                <w:sz w:val="20"/>
                <w:lang w:val="nl-BE" w:eastAsia="nl-BE"/>
              </w:rPr>
            </w:pPr>
            <w:r w:rsidRPr="00C824D9">
              <w:rPr>
                <w:color w:val="000000"/>
                <w:sz w:val="20"/>
                <w:lang w:val="nl-BE" w:eastAsia="nl-BE"/>
              </w:rPr>
              <w:t>dec</w:t>
            </w:r>
          </w:p>
        </w:tc>
        <w:tc>
          <w:tcPr>
            <w:tcW w:w="767" w:type="pct"/>
            <w:tcBorders>
              <w:bottom w:val="single" w:sz="4" w:space="0" w:color="auto"/>
            </w:tcBorders>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133</w:t>
            </w:r>
          </w:p>
        </w:tc>
        <w:tc>
          <w:tcPr>
            <w:tcW w:w="1443" w:type="pct"/>
            <w:tcBorders>
              <w:bottom w:val="single" w:sz="4" w:space="0" w:color="auto"/>
            </w:tcBorders>
            <w:shd w:val="clear" w:color="auto" w:fill="auto"/>
            <w:noWrap/>
            <w:vAlign w:val="bottom"/>
            <w:hideMark/>
          </w:tcPr>
          <w:p w:rsidR="00C824D9" w:rsidRPr="00C824D9" w:rsidRDefault="00C824D9" w:rsidP="00C824D9">
            <w:pPr>
              <w:jc w:val="right"/>
              <w:rPr>
                <w:color w:val="000000"/>
                <w:sz w:val="20"/>
                <w:lang w:val="nl-BE" w:eastAsia="nl-BE"/>
              </w:rPr>
            </w:pPr>
            <w:r w:rsidRPr="00C824D9">
              <w:rPr>
                <w:color w:val="000000"/>
                <w:sz w:val="20"/>
                <w:lang w:val="nl-BE" w:eastAsia="nl-BE"/>
              </w:rPr>
              <w:t>€ 4.005.017,00</w:t>
            </w:r>
          </w:p>
        </w:tc>
      </w:tr>
      <w:tr w:rsidR="00C824D9" w:rsidRPr="00C824D9" w:rsidTr="00C22CBB">
        <w:trPr>
          <w:trHeight w:val="70"/>
        </w:trPr>
        <w:tc>
          <w:tcPr>
            <w:tcW w:w="1170" w:type="pct"/>
            <w:shd w:val="pct10" w:color="auto" w:fill="FFFFFF" w:themeFill="background1"/>
            <w:noWrap/>
            <w:vAlign w:val="bottom"/>
            <w:hideMark/>
          </w:tcPr>
          <w:p w:rsidR="00C824D9" w:rsidRPr="00C824D9" w:rsidRDefault="00C824D9" w:rsidP="00C824D9">
            <w:pPr>
              <w:rPr>
                <w:b/>
                <w:color w:val="000000"/>
                <w:sz w:val="20"/>
                <w:lang w:val="nl-BE" w:eastAsia="nl-BE"/>
              </w:rPr>
            </w:pPr>
            <w:r w:rsidRPr="00C824D9">
              <w:rPr>
                <w:b/>
                <w:color w:val="000000"/>
                <w:sz w:val="20"/>
                <w:lang w:val="nl-BE" w:eastAsia="nl-BE"/>
              </w:rPr>
              <w:t>Totaal 2012</w:t>
            </w:r>
          </w:p>
        </w:tc>
        <w:tc>
          <w:tcPr>
            <w:tcW w:w="1620" w:type="pct"/>
            <w:shd w:val="pct10" w:color="auto" w:fill="FFFFFF" w:themeFill="background1"/>
            <w:noWrap/>
            <w:vAlign w:val="bottom"/>
            <w:hideMark/>
          </w:tcPr>
          <w:p w:rsidR="00C824D9" w:rsidRPr="00C824D9" w:rsidRDefault="00C824D9" w:rsidP="00C824D9">
            <w:pPr>
              <w:rPr>
                <w:b/>
                <w:color w:val="000000"/>
                <w:sz w:val="20"/>
                <w:lang w:val="nl-BE" w:eastAsia="nl-BE"/>
              </w:rPr>
            </w:pPr>
            <w:r w:rsidRPr="00C824D9">
              <w:rPr>
                <w:b/>
                <w:color w:val="000000"/>
                <w:sz w:val="20"/>
                <w:lang w:val="nl-BE" w:eastAsia="nl-BE"/>
              </w:rPr>
              <w:t> </w:t>
            </w:r>
          </w:p>
        </w:tc>
        <w:tc>
          <w:tcPr>
            <w:tcW w:w="767" w:type="pct"/>
            <w:shd w:val="pct10" w:color="auto" w:fill="FFFFFF" w:themeFill="background1"/>
            <w:noWrap/>
            <w:vAlign w:val="bottom"/>
            <w:hideMark/>
          </w:tcPr>
          <w:p w:rsidR="00C824D9" w:rsidRPr="00C824D9" w:rsidRDefault="00C824D9" w:rsidP="00C824D9">
            <w:pPr>
              <w:jc w:val="right"/>
              <w:rPr>
                <w:b/>
                <w:color w:val="000000"/>
                <w:sz w:val="20"/>
                <w:lang w:val="nl-BE" w:eastAsia="nl-BE"/>
              </w:rPr>
            </w:pPr>
            <w:r w:rsidRPr="00C824D9">
              <w:rPr>
                <w:b/>
                <w:color w:val="000000"/>
                <w:sz w:val="20"/>
                <w:lang w:val="nl-BE" w:eastAsia="nl-BE"/>
              </w:rPr>
              <w:t>1314</w:t>
            </w:r>
          </w:p>
        </w:tc>
        <w:tc>
          <w:tcPr>
            <w:tcW w:w="1443" w:type="pct"/>
            <w:shd w:val="pct10" w:color="auto" w:fill="FFFFFF" w:themeFill="background1"/>
            <w:noWrap/>
            <w:vAlign w:val="bottom"/>
            <w:hideMark/>
          </w:tcPr>
          <w:p w:rsidR="00C824D9" w:rsidRPr="00C824D9" w:rsidRDefault="00C824D9" w:rsidP="00C824D9">
            <w:pPr>
              <w:jc w:val="right"/>
              <w:rPr>
                <w:b/>
                <w:color w:val="000000"/>
                <w:sz w:val="20"/>
                <w:lang w:val="nl-BE" w:eastAsia="nl-BE"/>
              </w:rPr>
            </w:pPr>
            <w:r w:rsidRPr="00C824D9">
              <w:rPr>
                <w:b/>
                <w:color w:val="000000"/>
                <w:sz w:val="20"/>
                <w:lang w:val="nl-BE" w:eastAsia="nl-BE"/>
              </w:rPr>
              <w:t>€ 36.065.312,80</w:t>
            </w:r>
          </w:p>
        </w:tc>
      </w:tr>
    </w:tbl>
    <w:p w:rsidR="00C22CBB" w:rsidRDefault="00C22CBB" w:rsidP="00C22CBB">
      <w:pPr>
        <w:pStyle w:val="StandaardSV"/>
        <w:ind w:left="360"/>
        <w:jc w:val="left"/>
      </w:pPr>
    </w:p>
    <w:p w:rsidR="00C22CBB" w:rsidRDefault="00C22CBB" w:rsidP="00C22CBB">
      <w:pPr>
        <w:rPr>
          <w:sz w:val="22"/>
        </w:rPr>
      </w:pPr>
      <w:r>
        <w:br w:type="page"/>
      </w:r>
    </w:p>
    <w:p w:rsidR="006318C7" w:rsidRDefault="007B0494" w:rsidP="00C22CBB">
      <w:pPr>
        <w:pStyle w:val="StandaardSV"/>
        <w:ind w:left="348"/>
        <w:jc w:val="left"/>
      </w:pPr>
      <w:r w:rsidRPr="00C22CBB">
        <w:lastRenderedPageBreak/>
        <w:t>Opdeling geregistreerde Winwinleningen per provincie (op jaarbasis)</w:t>
      </w:r>
      <w:r w:rsidR="00C22CBB">
        <w:t>:</w:t>
      </w:r>
    </w:p>
    <w:p w:rsidR="00C22CBB" w:rsidRDefault="00C22CBB" w:rsidP="00C22CBB">
      <w:pPr>
        <w:pStyle w:val="StandaardSV"/>
        <w:ind w:left="348"/>
        <w:jc w:val="left"/>
      </w:pPr>
    </w:p>
    <w:tbl>
      <w:tblPr>
        <w:tblW w:w="2857" w:type="pct"/>
        <w:tblInd w:w="496" w:type="dxa"/>
        <w:tblCellMar>
          <w:left w:w="70" w:type="dxa"/>
          <w:right w:w="70" w:type="dxa"/>
        </w:tblCellMar>
        <w:tblLook w:val="04A0" w:firstRow="1" w:lastRow="0" w:firstColumn="1" w:lastColumn="0" w:noHBand="0" w:noVBand="1"/>
      </w:tblPr>
      <w:tblGrid>
        <w:gridCol w:w="1248"/>
        <w:gridCol w:w="1658"/>
        <w:gridCol w:w="818"/>
        <w:gridCol w:w="1540"/>
      </w:tblGrid>
      <w:tr w:rsidR="00C22CBB" w:rsidRPr="00C22CBB" w:rsidTr="00C22CBB">
        <w:trPr>
          <w:trHeight w:val="70"/>
        </w:trPr>
        <w:tc>
          <w:tcPr>
            <w:tcW w:w="1185" w:type="pct"/>
            <w:tcBorders>
              <w:top w:val="single" w:sz="4" w:space="0" w:color="auto"/>
              <w:left w:val="single" w:sz="4" w:space="0" w:color="auto"/>
              <w:bottom w:val="single" w:sz="4" w:space="0" w:color="auto"/>
              <w:right w:val="single" w:sz="4" w:space="0" w:color="auto"/>
            </w:tcBorders>
            <w:shd w:val="pct10" w:color="auto" w:fill="FFFFFF" w:themeFill="background1"/>
            <w:noWrap/>
            <w:vAlign w:val="bottom"/>
            <w:hideMark/>
          </w:tcPr>
          <w:p w:rsidR="00C22CBB" w:rsidRPr="00C22CBB" w:rsidRDefault="00C22CBB" w:rsidP="00E8178C">
            <w:pPr>
              <w:rPr>
                <w:b/>
                <w:color w:val="000000"/>
                <w:sz w:val="20"/>
                <w:lang w:val="nl-BE" w:eastAsia="nl-BE"/>
              </w:rPr>
            </w:pPr>
            <w:r w:rsidRPr="00C22CBB">
              <w:rPr>
                <w:b/>
                <w:color w:val="000000"/>
                <w:sz w:val="20"/>
                <w:lang w:val="nl-BE" w:eastAsia="nl-BE"/>
              </w:rPr>
              <w:t>Jaar</w:t>
            </w:r>
          </w:p>
        </w:tc>
        <w:tc>
          <w:tcPr>
            <w:tcW w:w="1575" w:type="pct"/>
            <w:tcBorders>
              <w:top w:val="single" w:sz="4" w:space="0" w:color="auto"/>
              <w:left w:val="single" w:sz="4" w:space="0" w:color="auto"/>
              <w:bottom w:val="single" w:sz="4" w:space="0" w:color="auto"/>
              <w:right w:val="single" w:sz="4" w:space="0" w:color="auto"/>
            </w:tcBorders>
            <w:shd w:val="pct10" w:color="auto" w:fill="FFFFFF" w:themeFill="background1"/>
            <w:noWrap/>
            <w:vAlign w:val="bottom"/>
            <w:hideMark/>
          </w:tcPr>
          <w:p w:rsidR="00C22CBB" w:rsidRPr="00C22CBB" w:rsidRDefault="00C22CBB" w:rsidP="00E8178C">
            <w:pPr>
              <w:rPr>
                <w:b/>
                <w:color w:val="000000"/>
                <w:sz w:val="20"/>
                <w:lang w:val="nl-BE" w:eastAsia="nl-BE"/>
              </w:rPr>
            </w:pPr>
            <w:r w:rsidRPr="00C22CBB">
              <w:rPr>
                <w:b/>
                <w:color w:val="000000"/>
                <w:sz w:val="20"/>
                <w:lang w:val="nl-BE" w:eastAsia="nl-BE"/>
              </w:rPr>
              <w:t>Provincie</w:t>
            </w:r>
          </w:p>
        </w:tc>
        <w:tc>
          <w:tcPr>
            <w:tcW w:w="777" w:type="pct"/>
            <w:tcBorders>
              <w:top w:val="single" w:sz="4" w:space="0" w:color="auto"/>
              <w:left w:val="single" w:sz="4" w:space="0" w:color="auto"/>
              <w:bottom w:val="single" w:sz="4" w:space="0" w:color="auto"/>
              <w:right w:val="single" w:sz="4" w:space="0" w:color="auto"/>
            </w:tcBorders>
            <w:shd w:val="pct10" w:color="auto" w:fill="FFFFFF" w:themeFill="background1"/>
            <w:noWrap/>
            <w:vAlign w:val="bottom"/>
            <w:hideMark/>
          </w:tcPr>
          <w:p w:rsidR="00C22CBB" w:rsidRPr="00C22CBB" w:rsidRDefault="00C22CBB" w:rsidP="00E8178C">
            <w:pPr>
              <w:jc w:val="right"/>
              <w:rPr>
                <w:b/>
                <w:color w:val="000000"/>
                <w:sz w:val="20"/>
                <w:lang w:val="nl-BE" w:eastAsia="nl-BE"/>
              </w:rPr>
            </w:pPr>
            <w:r w:rsidRPr="00C22CBB">
              <w:rPr>
                <w:b/>
                <w:color w:val="000000"/>
                <w:sz w:val="20"/>
                <w:lang w:val="nl-BE" w:eastAsia="nl-BE"/>
              </w:rPr>
              <w:t>Aantal</w:t>
            </w:r>
          </w:p>
        </w:tc>
        <w:tc>
          <w:tcPr>
            <w:tcW w:w="1463" w:type="pct"/>
            <w:tcBorders>
              <w:top w:val="single" w:sz="4" w:space="0" w:color="auto"/>
              <w:left w:val="single" w:sz="4" w:space="0" w:color="auto"/>
              <w:bottom w:val="single" w:sz="4" w:space="0" w:color="auto"/>
              <w:right w:val="single" w:sz="4" w:space="0" w:color="auto"/>
            </w:tcBorders>
            <w:shd w:val="pct10" w:color="auto" w:fill="FFFFFF" w:themeFill="background1"/>
            <w:noWrap/>
            <w:vAlign w:val="bottom"/>
            <w:hideMark/>
          </w:tcPr>
          <w:p w:rsidR="00C22CBB" w:rsidRPr="00C22CBB" w:rsidRDefault="00C22CBB" w:rsidP="00E8178C">
            <w:pPr>
              <w:jc w:val="right"/>
              <w:rPr>
                <w:b/>
                <w:color w:val="000000"/>
                <w:sz w:val="20"/>
                <w:lang w:val="nl-BE" w:eastAsia="nl-BE"/>
              </w:rPr>
            </w:pPr>
            <w:r w:rsidRPr="00C22CBB">
              <w:rPr>
                <w:b/>
                <w:color w:val="000000"/>
                <w:sz w:val="20"/>
                <w:lang w:val="nl-BE" w:eastAsia="nl-BE"/>
              </w:rPr>
              <w:t>Bedrag</w:t>
            </w:r>
          </w:p>
        </w:tc>
      </w:tr>
      <w:tr w:rsidR="00C22CBB" w:rsidRPr="00C22CBB" w:rsidTr="00C22CBB">
        <w:trPr>
          <w:trHeight w:val="70"/>
        </w:trPr>
        <w:tc>
          <w:tcPr>
            <w:tcW w:w="11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2011</w:t>
            </w:r>
          </w:p>
        </w:tc>
        <w:tc>
          <w:tcPr>
            <w:tcW w:w="15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Antwerpen</w:t>
            </w:r>
          </w:p>
        </w:tc>
        <w:tc>
          <w:tcPr>
            <w:tcW w:w="7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229</w:t>
            </w:r>
          </w:p>
        </w:tc>
        <w:tc>
          <w:tcPr>
            <w:tcW w:w="14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€ 6.179.192,88</w:t>
            </w:r>
          </w:p>
        </w:tc>
      </w:tr>
      <w:tr w:rsidR="00C22CBB" w:rsidRPr="00C22CBB" w:rsidTr="00C22CBB">
        <w:trPr>
          <w:trHeight w:val="70"/>
        </w:trPr>
        <w:tc>
          <w:tcPr>
            <w:tcW w:w="11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 </w:t>
            </w:r>
          </w:p>
        </w:tc>
        <w:tc>
          <w:tcPr>
            <w:tcW w:w="15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Limburg</w:t>
            </w:r>
          </w:p>
        </w:tc>
        <w:tc>
          <w:tcPr>
            <w:tcW w:w="7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78</w:t>
            </w:r>
          </w:p>
        </w:tc>
        <w:tc>
          <w:tcPr>
            <w:tcW w:w="14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€ 2.263.400,00</w:t>
            </w:r>
          </w:p>
        </w:tc>
      </w:tr>
      <w:tr w:rsidR="00C22CBB" w:rsidRPr="00C22CBB" w:rsidTr="00C22CBB">
        <w:trPr>
          <w:trHeight w:val="70"/>
        </w:trPr>
        <w:tc>
          <w:tcPr>
            <w:tcW w:w="11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 </w:t>
            </w:r>
          </w:p>
        </w:tc>
        <w:tc>
          <w:tcPr>
            <w:tcW w:w="15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 xml:space="preserve">Oost-Vlaanderen </w:t>
            </w:r>
          </w:p>
        </w:tc>
        <w:tc>
          <w:tcPr>
            <w:tcW w:w="7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234</w:t>
            </w:r>
          </w:p>
        </w:tc>
        <w:tc>
          <w:tcPr>
            <w:tcW w:w="14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€ 6.528.971,44</w:t>
            </w:r>
          </w:p>
        </w:tc>
      </w:tr>
      <w:tr w:rsidR="00C22CBB" w:rsidRPr="00C22CBB" w:rsidTr="00C22CBB">
        <w:trPr>
          <w:trHeight w:val="70"/>
        </w:trPr>
        <w:tc>
          <w:tcPr>
            <w:tcW w:w="11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 </w:t>
            </w:r>
          </w:p>
        </w:tc>
        <w:tc>
          <w:tcPr>
            <w:tcW w:w="15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Vlaams-Brabant</w:t>
            </w:r>
          </w:p>
        </w:tc>
        <w:tc>
          <w:tcPr>
            <w:tcW w:w="7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110</w:t>
            </w:r>
          </w:p>
        </w:tc>
        <w:tc>
          <w:tcPr>
            <w:tcW w:w="14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€ 3.357.150,00</w:t>
            </w:r>
          </w:p>
        </w:tc>
      </w:tr>
      <w:tr w:rsidR="00C22CBB" w:rsidRPr="00C22CBB" w:rsidTr="00C22CBB">
        <w:trPr>
          <w:trHeight w:val="70"/>
        </w:trPr>
        <w:tc>
          <w:tcPr>
            <w:tcW w:w="11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 </w:t>
            </w:r>
          </w:p>
        </w:tc>
        <w:tc>
          <w:tcPr>
            <w:tcW w:w="15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West-Vlaanderen</w:t>
            </w:r>
          </w:p>
        </w:tc>
        <w:tc>
          <w:tcPr>
            <w:tcW w:w="7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200</w:t>
            </w:r>
          </w:p>
        </w:tc>
        <w:tc>
          <w:tcPr>
            <w:tcW w:w="14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€ 5.910.804,54</w:t>
            </w:r>
          </w:p>
        </w:tc>
      </w:tr>
      <w:tr w:rsidR="00C22CBB" w:rsidRPr="00C22CBB" w:rsidTr="00C22CBB">
        <w:trPr>
          <w:trHeight w:val="70"/>
        </w:trPr>
        <w:tc>
          <w:tcPr>
            <w:tcW w:w="1185" w:type="pct"/>
            <w:tcBorders>
              <w:top w:val="single" w:sz="4" w:space="0" w:color="auto"/>
              <w:left w:val="single" w:sz="4" w:space="0" w:color="auto"/>
              <w:bottom w:val="single" w:sz="4" w:space="0" w:color="auto"/>
              <w:right w:val="single" w:sz="4" w:space="0" w:color="auto"/>
            </w:tcBorders>
            <w:shd w:val="pct10" w:color="auto" w:fill="FFFFFF" w:themeFill="background1"/>
            <w:noWrap/>
            <w:vAlign w:val="bottom"/>
            <w:hideMark/>
          </w:tcPr>
          <w:p w:rsidR="00C22CBB" w:rsidRPr="00C22CBB" w:rsidRDefault="00C22CBB" w:rsidP="00E8178C">
            <w:pPr>
              <w:rPr>
                <w:b/>
                <w:color w:val="000000"/>
                <w:sz w:val="20"/>
                <w:lang w:val="nl-BE" w:eastAsia="nl-BE"/>
              </w:rPr>
            </w:pPr>
            <w:r w:rsidRPr="00C22CBB">
              <w:rPr>
                <w:b/>
                <w:color w:val="000000"/>
                <w:sz w:val="20"/>
                <w:lang w:val="nl-BE" w:eastAsia="nl-BE"/>
              </w:rPr>
              <w:t>Totaal 2011</w:t>
            </w:r>
          </w:p>
        </w:tc>
        <w:tc>
          <w:tcPr>
            <w:tcW w:w="1575" w:type="pct"/>
            <w:tcBorders>
              <w:top w:val="single" w:sz="4" w:space="0" w:color="auto"/>
              <w:left w:val="single" w:sz="4" w:space="0" w:color="auto"/>
              <w:bottom w:val="single" w:sz="4" w:space="0" w:color="auto"/>
              <w:right w:val="single" w:sz="4" w:space="0" w:color="auto"/>
            </w:tcBorders>
            <w:shd w:val="pct10" w:color="auto" w:fill="FFFFFF" w:themeFill="background1"/>
            <w:noWrap/>
            <w:vAlign w:val="bottom"/>
            <w:hideMark/>
          </w:tcPr>
          <w:p w:rsidR="00C22CBB" w:rsidRPr="00C22CBB" w:rsidRDefault="00C22CBB" w:rsidP="00E8178C">
            <w:pPr>
              <w:rPr>
                <w:b/>
                <w:color w:val="000000"/>
                <w:sz w:val="20"/>
                <w:lang w:val="nl-BE" w:eastAsia="nl-BE"/>
              </w:rPr>
            </w:pPr>
            <w:r w:rsidRPr="00C22CBB">
              <w:rPr>
                <w:b/>
                <w:color w:val="000000"/>
                <w:sz w:val="20"/>
                <w:lang w:val="nl-BE" w:eastAsia="nl-BE"/>
              </w:rPr>
              <w:t> </w:t>
            </w:r>
          </w:p>
        </w:tc>
        <w:tc>
          <w:tcPr>
            <w:tcW w:w="777" w:type="pct"/>
            <w:tcBorders>
              <w:top w:val="single" w:sz="4" w:space="0" w:color="auto"/>
              <w:left w:val="single" w:sz="4" w:space="0" w:color="auto"/>
              <w:bottom w:val="single" w:sz="4" w:space="0" w:color="auto"/>
              <w:right w:val="single" w:sz="4" w:space="0" w:color="auto"/>
            </w:tcBorders>
            <w:shd w:val="pct10" w:color="auto" w:fill="FFFFFF" w:themeFill="background1"/>
            <w:noWrap/>
            <w:vAlign w:val="bottom"/>
            <w:hideMark/>
          </w:tcPr>
          <w:p w:rsidR="00C22CBB" w:rsidRPr="00C22CBB" w:rsidRDefault="00C22CBB" w:rsidP="00E8178C">
            <w:pPr>
              <w:jc w:val="right"/>
              <w:rPr>
                <w:b/>
                <w:color w:val="000000"/>
                <w:sz w:val="20"/>
                <w:lang w:val="nl-BE" w:eastAsia="nl-BE"/>
              </w:rPr>
            </w:pPr>
            <w:r w:rsidRPr="00C22CBB">
              <w:rPr>
                <w:b/>
                <w:color w:val="000000"/>
                <w:sz w:val="20"/>
                <w:lang w:val="nl-BE" w:eastAsia="nl-BE"/>
              </w:rPr>
              <w:t>851</w:t>
            </w:r>
          </w:p>
        </w:tc>
        <w:tc>
          <w:tcPr>
            <w:tcW w:w="1463" w:type="pct"/>
            <w:tcBorders>
              <w:top w:val="single" w:sz="4" w:space="0" w:color="auto"/>
              <w:left w:val="single" w:sz="4" w:space="0" w:color="auto"/>
              <w:bottom w:val="single" w:sz="4" w:space="0" w:color="auto"/>
              <w:right w:val="single" w:sz="4" w:space="0" w:color="auto"/>
            </w:tcBorders>
            <w:shd w:val="pct10" w:color="auto" w:fill="FFFFFF" w:themeFill="background1"/>
            <w:noWrap/>
            <w:vAlign w:val="bottom"/>
            <w:hideMark/>
          </w:tcPr>
          <w:p w:rsidR="00C22CBB" w:rsidRPr="00C22CBB" w:rsidRDefault="00C22CBB" w:rsidP="00E8178C">
            <w:pPr>
              <w:jc w:val="right"/>
              <w:rPr>
                <w:b/>
                <w:color w:val="000000"/>
                <w:sz w:val="20"/>
                <w:lang w:val="nl-BE" w:eastAsia="nl-BE"/>
              </w:rPr>
            </w:pPr>
            <w:r w:rsidRPr="00C22CBB">
              <w:rPr>
                <w:b/>
                <w:color w:val="000000"/>
                <w:sz w:val="20"/>
                <w:lang w:val="nl-BE" w:eastAsia="nl-BE"/>
              </w:rPr>
              <w:t>€ 24.239.518,86</w:t>
            </w:r>
          </w:p>
        </w:tc>
      </w:tr>
      <w:tr w:rsidR="00C22CBB" w:rsidRPr="00C22CBB" w:rsidTr="00C22CBB">
        <w:trPr>
          <w:trHeight w:val="70"/>
        </w:trPr>
        <w:tc>
          <w:tcPr>
            <w:tcW w:w="11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2012</w:t>
            </w:r>
          </w:p>
        </w:tc>
        <w:tc>
          <w:tcPr>
            <w:tcW w:w="15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Antwerpen</w:t>
            </w:r>
          </w:p>
        </w:tc>
        <w:tc>
          <w:tcPr>
            <w:tcW w:w="7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328</w:t>
            </w:r>
          </w:p>
        </w:tc>
        <w:tc>
          <w:tcPr>
            <w:tcW w:w="14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€ 8.175.763,05</w:t>
            </w:r>
          </w:p>
        </w:tc>
      </w:tr>
      <w:tr w:rsidR="00C22CBB" w:rsidRPr="00C22CBB" w:rsidTr="00C22CBB">
        <w:trPr>
          <w:trHeight w:val="70"/>
        </w:trPr>
        <w:tc>
          <w:tcPr>
            <w:tcW w:w="11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 </w:t>
            </w:r>
          </w:p>
        </w:tc>
        <w:tc>
          <w:tcPr>
            <w:tcW w:w="15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Limburg</w:t>
            </w:r>
          </w:p>
        </w:tc>
        <w:tc>
          <w:tcPr>
            <w:tcW w:w="7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144</w:t>
            </w:r>
          </w:p>
        </w:tc>
        <w:tc>
          <w:tcPr>
            <w:tcW w:w="14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€ 4.295.060,01</w:t>
            </w:r>
          </w:p>
        </w:tc>
      </w:tr>
      <w:tr w:rsidR="00C22CBB" w:rsidRPr="00C22CBB" w:rsidTr="00C22CBB">
        <w:trPr>
          <w:trHeight w:val="70"/>
        </w:trPr>
        <w:tc>
          <w:tcPr>
            <w:tcW w:w="11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 </w:t>
            </w:r>
          </w:p>
        </w:tc>
        <w:tc>
          <w:tcPr>
            <w:tcW w:w="15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 xml:space="preserve">Oost-Vlaanderen </w:t>
            </w:r>
          </w:p>
        </w:tc>
        <w:tc>
          <w:tcPr>
            <w:tcW w:w="7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374</w:t>
            </w:r>
          </w:p>
        </w:tc>
        <w:tc>
          <w:tcPr>
            <w:tcW w:w="14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€ 10.437.957,59</w:t>
            </w:r>
          </w:p>
        </w:tc>
      </w:tr>
      <w:tr w:rsidR="00C22CBB" w:rsidRPr="00C22CBB" w:rsidTr="00C22CBB">
        <w:trPr>
          <w:trHeight w:val="70"/>
        </w:trPr>
        <w:tc>
          <w:tcPr>
            <w:tcW w:w="11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 </w:t>
            </w:r>
          </w:p>
        </w:tc>
        <w:tc>
          <w:tcPr>
            <w:tcW w:w="15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Vlaams-Brabant</w:t>
            </w:r>
          </w:p>
        </w:tc>
        <w:tc>
          <w:tcPr>
            <w:tcW w:w="7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179</w:t>
            </w:r>
          </w:p>
        </w:tc>
        <w:tc>
          <w:tcPr>
            <w:tcW w:w="14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€ 4.827.550,00</w:t>
            </w:r>
          </w:p>
        </w:tc>
      </w:tr>
      <w:tr w:rsidR="00C22CBB" w:rsidRPr="00C22CBB" w:rsidTr="00C22CBB">
        <w:trPr>
          <w:trHeight w:val="70"/>
        </w:trPr>
        <w:tc>
          <w:tcPr>
            <w:tcW w:w="11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 </w:t>
            </w:r>
          </w:p>
        </w:tc>
        <w:tc>
          <w:tcPr>
            <w:tcW w:w="15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West-Vlaanderen</w:t>
            </w:r>
          </w:p>
        </w:tc>
        <w:tc>
          <w:tcPr>
            <w:tcW w:w="7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289</w:t>
            </w:r>
          </w:p>
        </w:tc>
        <w:tc>
          <w:tcPr>
            <w:tcW w:w="14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€ 8.328.982,15</w:t>
            </w:r>
          </w:p>
        </w:tc>
      </w:tr>
      <w:tr w:rsidR="00C22CBB" w:rsidRPr="00C22CBB" w:rsidTr="00C22CBB">
        <w:trPr>
          <w:trHeight w:val="70"/>
        </w:trPr>
        <w:tc>
          <w:tcPr>
            <w:tcW w:w="1185" w:type="pct"/>
            <w:tcBorders>
              <w:top w:val="single" w:sz="4" w:space="0" w:color="auto"/>
              <w:left w:val="single" w:sz="4" w:space="0" w:color="auto"/>
              <w:bottom w:val="single" w:sz="4" w:space="0" w:color="auto"/>
              <w:right w:val="single" w:sz="4" w:space="0" w:color="auto"/>
            </w:tcBorders>
            <w:shd w:val="pct10" w:color="auto" w:fill="FFFFFF" w:themeFill="background1"/>
            <w:noWrap/>
            <w:vAlign w:val="bottom"/>
            <w:hideMark/>
          </w:tcPr>
          <w:p w:rsidR="00C22CBB" w:rsidRPr="00C22CBB" w:rsidRDefault="00C22CBB" w:rsidP="00E8178C">
            <w:pPr>
              <w:rPr>
                <w:b/>
                <w:color w:val="000000"/>
                <w:sz w:val="20"/>
                <w:lang w:val="nl-BE" w:eastAsia="nl-BE"/>
              </w:rPr>
            </w:pPr>
            <w:r w:rsidRPr="00C22CBB">
              <w:rPr>
                <w:b/>
                <w:color w:val="000000"/>
                <w:sz w:val="20"/>
                <w:lang w:val="nl-BE" w:eastAsia="nl-BE"/>
              </w:rPr>
              <w:t>Totaal 2012</w:t>
            </w:r>
          </w:p>
        </w:tc>
        <w:tc>
          <w:tcPr>
            <w:tcW w:w="1575" w:type="pct"/>
            <w:tcBorders>
              <w:top w:val="single" w:sz="4" w:space="0" w:color="auto"/>
              <w:left w:val="single" w:sz="4" w:space="0" w:color="auto"/>
              <w:bottom w:val="single" w:sz="4" w:space="0" w:color="auto"/>
              <w:right w:val="single" w:sz="4" w:space="0" w:color="auto"/>
            </w:tcBorders>
            <w:shd w:val="pct10" w:color="auto" w:fill="FFFFFF" w:themeFill="background1"/>
            <w:noWrap/>
            <w:vAlign w:val="bottom"/>
            <w:hideMark/>
          </w:tcPr>
          <w:p w:rsidR="00C22CBB" w:rsidRPr="00C22CBB" w:rsidRDefault="00C22CBB" w:rsidP="00E8178C">
            <w:pPr>
              <w:rPr>
                <w:b/>
                <w:color w:val="000000"/>
                <w:sz w:val="20"/>
                <w:lang w:val="nl-BE" w:eastAsia="nl-BE"/>
              </w:rPr>
            </w:pPr>
            <w:r w:rsidRPr="00C22CBB">
              <w:rPr>
                <w:b/>
                <w:color w:val="000000"/>
                <w:sz w:val="20"/>
                <w:lang w:val="nl-BE" w:eastAsia="nl-BE"/>
              </w:rPr>
              <w:t> </w:t>
            </w:r>
          </w:p>
        </w:tc>
        <w:tc>
          <w:tcPr>
            <w:tcW w:w="777" w:type="pct"/>
            <w:tcBorders>
              <w:top w:val="single" w:sz="4" w:space="0" w:color="auto"/>
              <w:left w:val="single" w:sz="4" w:space="0" w:color="auto"/>
              <w:bottom w:val="single" w:sz="4" w:space="0" w:color="auto"/>
              <w:right w:val="single" w:sz="4" w:space="0" w:color="auto"/>
            </w:tcBorders>
            <w:shd w:val="pct10" w:color="auto" w:fill="FFFFFF" w:themeFill="background1"/>
            <w:noWrap/>
            <w:vAlign w:val="bottom"/>
            <w:hideMark/>
          </w:tcPr>
          <w:p w:rsidR="00C22CBB" w:rsidRPr="00C22CBB" w:rsidRDefault="00C22CBB" w:rsidP="00E8178C">
            <w:pPr>
              <w:jc w:val="right"/>
              <w:rPr>
                <w:b/>
                <w:color w:val="000000"/>
                <w:sz w:val="20"/>
                <w:lang w:val="nl-BE" w:eastAsia="nl-BE"/>
              </w:rPr>
            </w:pPr>
            <w:r w:rsidRPr="00C22CBB">
              <w:rPr>
                <w:b/>
                <w:color w:val="000000"/>
                <w:sz w:val="20"/>
                <w:lang w:val="nl-BE" w:eastAsia="nl-BE"/>
              </w:rPr>
              <w:t>1314</w:t>
            </w:r>
          </w:p>
        </w:tc>
        <w:tc>
          <w:tcPr>
            <w:tcW w:w="1463" w:type="pct"/>
            <w:tcBorders>
              <w:top w:val="single" w:sz="4" w:space="0" w:color="auto"/>
              <w:left w:val="single" w:sz="4" w:space="0" w:color="auto"/>
              <w:bottom w:val="single" w:sz="4" w:space="0" w:color="auto"/>
              <w:right w:val="single" w:sz="4" w:space="0" w:color="auto"/>
            </w:tcBorders>
            <w:shd w:val="pct10" w:color="auto" w:fill="FFFFFF" w:themeFill="background1"/>
            <w:noWrap/>
            <w:vAlign w:val="bottom"/>
            <w:hideMark/>
          </w:tcPr>
          <w:p w:rsidR="00C22CBB" w:rsidRPr="00C22CBB" w:rsidRDefault="00C22CBB" w:rsidP="00E8178C">
            <w:pPr>
              <w:jc w:val="right"/>
              <w:rPr>
                <w:b/>
                <w:color w:val="000000"/>
                <w:sz w:val="20"/>
                <w:lang w:val="nl-BE" w:eastAsia="nl-BE"/>
              </w:rPr>
            </w:pPr>
            <w:r w:rsidRPr="00C22CBB">
              <w:rPr>
                <w:b/>
                <w:color w:val="000000"/>
                <w:sz w:val="20"/>
                <w:lang w:val="nl-BE" w:eastAsia="nl-BE"/>
              </w:rPr>
              <w:t>€ 36.065.312,80</w:t>
            </w:r>
          </w:p>
        </w:tc>
      </w:tr>
    </w:tbl>
    <w:p w:rsidR="00C22CBB" w:rsidRDefault="00C22CBB" w:rsidP="00C22CBB">
      <w:pPr>
        <w:pStyle w:val="StandaardSV"/>
        <w:ind w:left="348"/>
        <w:jc w:val="left"/>
      </w:pPr>
    </w:p>
    <w:p w:rsidR="00C22CBB" w:rsidRDefault="00C22CBB" w:rsidP="00C22CBB">
      <w:pPr>
        <w:pStyle w:val="StandaardSV"/>
        <w:ind w:left="348"/>
        <w:jc w:val="left"/>
      </w:pPr>
      <w:r>
        <w:t>Opdeling geregistreerde Winwinleningen starter en niet-starter (op jaarbasis):</w:t>
      </w:r>
    </w:p>
    <w:p w:rsidR="00C22CBB" w:rsidRDefault="00C22CBB" w:rsidP="00C22CBB">
      <w:pPr>
        <w:pStyle w:val="StandaardSV"/>
        <w:ind w:left="348"/>
        <w:jc w:val="left"/>
      </w:pPr>
    </w:p>
    <w:tbl>
      <w:tblPr>
        <w:tblW w:w="2419"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6"/>
        <w:gridCol w:w="853"/>
        <w:gridCol w:w="818"/>
        <w:gridCol w:w="1540"/>
      </w:tblGrid>
      <w:tr w:rsidR="00C22CBB" w:rsidRPr="00C22CBB" w:rsidTr="00C22CBB">
        <w:trPr>
          <w:trHeight w:val="70"/>
        </w:trPr>
        <w:tc>
          <w:tcPr>
            <w:tcW w:w="1397" w:type="pct"/>
            <w:shd w:val="pct10" w:color="auto" w:fill="FFFFFF" w:themeFill="background1"/>
            <w:noWrap/>
            <w:vAlign w:val="bottom"/>
            <w:hideMark/>
          </w:tcPr>
          <w:p w:rsidR="00C22CBB" w:rsidRPr="00C22CBB" w:rsidRDefault="00C22CBB" w:rsidP="00E8178C">
            <w:pPr>
              <w:rPr>
                <w:b/>
                <w:color w:val="000000"/>
                <w:sz w:val="20"/>
                <w:lang w:val="nl-BE" w:eastAsia="nl-BE"/>
              </w:rPr>
            </w:pPr>
            <w:r w:rsidRPr="00C22CBB">
              <w:rPr>
                <w:b/>
                <w:color w:val="000000"/>
                <w:sz w:val="20"/>
                <w:lang w:val="nl-BE" w:eastAsia="nl-BE"/>
              </w:rPr>
              <w:t>Jaar</w:t>
            </w:r>
          </w:p>
        </w:tc>
        <w:tc>
          <w:tcPr>
            <w:tcW w:w="957" w:type="pct"/>
            <w:shd w:val="pct10" w:color="auto" w:fill="FFFFFF" w:themeFill="background1"/>
            <w:noWrap/>
            <w:vAlign w:val="bottom"/>
            <w:hideMark/>
          </w:tcPr>
          <w:p w:rsidR="00C22CBB" w:rsidRPr="00C22CBB" w:rsidRDefault="00C22CBB" w:rsidP="00E8178C">
            <w:pPr>
              <w:rPr>
                <w:b/>
                <w:color w:val="000000"/>
                <w:sz w:val="20"/>
                <w:lang w:val="nl-BE" w:eastAsia="nl-BE"/>
              </w:rPr>
            </w:pPr>
            <w:r w:rsidRPr="00C22CBB">
              <w:rPr>
                <w:b/>
                <w:color w:val="000000"/>
                <w:sz w:val="20"/>
                <w:lang w:val="nl-BE" w:eastAsia="nl-BE"/>
              </w:rPr>
              <w:t>Starter</w:t>
            </w:r>
          </w:p>
        </w:tc>
        <w:tc>
          <w:tcPr>
            <w:tcW w:w="918" w:type="pct"/>
            <w:shd w:val="pct10" w:color="auto" w:fill="FFFFFF" w:themeFill="background1"/>
            <w:noWrap/>
            <w:vAlign w:val="bottom"/>
            <w:hideMark/>
          </w:tcPr>
          <w:p w:rsidR="00C22CBB" w:rsidRPr="00C22CBB" w:rsidRDefault="00C22CBB" w:rsidP="00E8178C">
            <w:pPr>
              <w:jc w:val="right"/>
              <w:rPr>
                <w:b/>
                <w:color w:val="000000"/>
                <w:sz w:val="20"/>
                <w:lang w:val="nl-BE" w:eastAsia="nl-BE"/>
              </w:rPr>
            </w:pPr>
            <w:r w:rsidRPr="00C22CBB">
              <w:rPr>
                <w:b/>
                <w:color w:val="000000"/>
                <w:sz w:val="20"/>
                <w:lang w:val="nl-BE" w:eastAsia="nl-BE"/>
              </w:rPr>
              <w:t>Aantal</w:t>
            </w:r>
          </w:p>
        </w:tc>
        <w:tc>
          <w:tcPr>
            <w:tcW w:w="1728" w:type="pct"/>
            <w:shd w:val="pct10" w:color="auto" w:fill="FFFFFF" w:themeFill="background1"/>
            <w:noWrap/>
            <w:vAlign w:val="bottom"/>
            <w:hideMark/>
          </w:tcPr>
          <w:p w:rsidR="00C22CBB" w:rsidRPr="00C22CBB" w:rsidRDefault="00C22CBB" w:rsidP="00E8178C">
            <w:pPr>
              <w:jc w:val="right"/>
              <w:rPr>
                <w:b/>
                <w:color w:val="000000"/>
                <w:sz w:val="20"/>
                <w:lang w:val="nl-BE" w:eastAsia="nl-BE"/>
              </w:rPr>
            </w:pPr>
            <w:r w:rsidRPr="00C22CBB">
              <w:rPr>
                <w:b/>
                <w:color w:val="000000"/>
                <w:sz w:val="20"/>
                <w:lang w:val="nl-BE" w:eastAsia="nl-BE"/>
              </w:rPr>
              <w:t>Bedrag</w:t>
            </w:r>
          </w:p>
        </w:tc>
      </w:tr>
      <w:tr w:rsidR="00C22CBB" w:rsidRPr="00C22CBB" w:rsidTr="00C22CBB">
        <w:trPr>
          <w:trHeight w:val="70"/>
        </w:trPr>
        <w:tc>
          <w:tcPr>
            <w:tcW w:w="1397" w:type="pct"/>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2011</w:t>
            </w:r>
          </w:p>
        </w:tc>
        <w:tc>
          <w:tcPr>
            <w:tcW w:w="957" w:type="pct"/>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Nee</w:t>
            </w:r>
          </w:p>
        </w:tc>
        <w:tc>
          <w:tcPr>
            <w:tcW w:w="918" w:type="pct"/>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336</w:t>
            </w:r>
          </w:p>
        </w:tc>
        <w:tc>
          <w:tcPr>
            <w:tcW w:w="1728" w:type="pct"/>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€ 10.269.028,00</w:t>
            </w:r>
          </w:p>
        </w:tc>
      </w:tr>
      <w:tr w:rsidR="00C22CBB" w:rsidRPr="00C22CBB" w:rsidTr="00C22CBB">
        <w:trPr>
          <w:trHeight w:val="70"/>
        </w:trPr>
        <w:tc>
          <w:tcPr>
            <w:tcW w:w="1397" w:type="pct"/>
            <w:tcBorders>
              <w:bottom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 </w:t>
            </w:r>
          </w:p>
        </w:tc>
        <w:tc>
          <w:tcPr>
            <w:tcW w:w="957" w:type="pct"/>
            <w:tcBorders>
              <w:bottom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Ja</w:t>
            </w:r>
          </w:p>
        </w:tc>
        <w:tc>
          <w:tcPr>
            <w:tcW w:w="918" w:type="pct"/>
            <w:tcBorders>
              <w:bottom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515</w:t>
            </w:r>
          </w:p>
        </w:tc>
        <w:tc>
          <w:tcPr>
            <w:tcW w:w="1728" w:type="pct"/>
            <w:tcBorders>
              <w:bottom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€ 13.970.490,86</w:t>
            </w:r>
          </w:p>
        </w:tc>
      </w:tr>
      <w:tr w:rsidR="00C22CBB" w:rsidRPr="00C22CBB" w:rsidTr="00C22CBB">
        <w:trPr>
          <w:trHeight w:val="70"/>
        </w:trPr>
        <w:tc>
          <w:tcPr>
            <w:tcW w:w="1397" w:type="pct"/>
            <w:shd w:val="pct10" w:color="auto" w:fill="FFFFFF" w:themeFill="background1"/>
            <w:noWrap/>
            <w:vAlign w:val="bottom"/>
            <w:hideMark/>
          </w:tcPr>
          <w:p w:rsidR="00C22CBB" w:rsidRPr="00C22CBB" w:rsidRDefault="00C22CBB" w:rsidP="00E8178C">
            <w:pPr>
              <w:rPr>
                <w:b/>
                <w:color w:val="000000"/>
                <w:sz w:val="20"/>
                <w:lang w:val="nl-BE" w:eastAsia="nl-BE"/>
              </w:rPr>
            </w:pPr>
            <w:r w:rsidRPr="00C22CBB">
              <w:rPr>
                <w:b/>
                <w:color w:val="000000"/>
                <w:sz w:val="20"/>
                <w:lang w:val="nl-BE" w:eastAsia="nl-BE"/>
              </w:rPr>
              <w:t>Totaal 2011</w:t>
            </w:r>
          </w:p>
        </w:tc>
        <w:tc>
          <w:tcPr>
            <w:tcW w:w="957" w:type="pct"/>
            <w:shd w:val="pct10" w:color="auto" w:fill="FFFFFF" w:themeFill="background1"/>
            <w:noWrap/>
            <w:vAlign w:val="bottom"/>
            <w:hideMark/>
          </w:tcPr>
          <w:p w:rsidR="00C22CBB" w:rsidRPr="00C22CBB" w:rsidRDefault="00C22CBB" w:rsidP="00E8178C">
            <w:pPr>
              <w:rPr>
                <w:b/>
                <w:color w:val="000000"/>
                <w:sz w:val="20"/>
                <w:lang w:val="nl-BE" w:eastAsia="nl-BE"/>
              </w:rPr>
            </w:pPr>
            <w:r w:rsidRPr="00C22CBB">
              <w:rPr>
                <w:b/>
                <w:color w:val="000000"/>
                <w:sz w:val="20"/>
                <w:lang w:val="nl-BE" w:eastAsia="nl-BE"/>
              </w:rPr>
              <w:t> </w:t>
            </w:r>
          </w:p>
        </w:tc>
        <w:tc>
          <w:tcPr>
            <w:tcW w:w="918" w:type="pct"/>
            <w:shd w:val="pct10" w:color="auto" w:fill="FFFFFF" w:themeFill="background1"/>
            <w:noWrap/>
            <w:vAlign w:val="bottom"/>
            <w:hideMark/>
          </w:tcPr>
          <w:p w:rsidR="00C22CBB" w:rsidRPr="00C22CBB" w:rsidRDefault="00C22CBB" w:rsidP="00E8178C">
            <w:pPr>
              <w:jc w:val="right"/>
              <w:rPr>
                <w:b/>
                <w:color w:val="000000"/>
                <w:sz w:val="20"/>
                <w:lang w:val="nl-BE" w:eastAsia="nl-BE"/>
              </w:rPr>
            </w:pPr>
            <w:r w:rsidRPr="00C22CBB">
              <w:rPr>
                <w:b/>
                <w:color w:val="000000"/>
                <w:sz w:val="20"/>
                <w:lang w:val="nl-BE" w:eastAsia="nl-BE"/>
              </w:rPr>
              <w:t>851</w:t>
            </w:r>
          </w:p>
        </w:tc>
        <w:tc>
          <w:tcPr>
            <w:tcW w:w="1728" w:type="pct"/>
            <w:shd w:val="pct10" w:color="auto" w:fill="FFFFFF" w:themeFill="background1"/>
            <w:noWrap/>
            <w:vAlign w:val="bottom"/>
            <w:hideMark/>
          </w:tcPr>
          <w:p w:rsidR="00C22CBB" w:rsidRPr="00C22CBB" w:rsidRDefault="00C22CBB" w:rsidP="00E8178C">
            <w:pPr>
              <w:jc w:val="right"/>
              <w:rPr>
                <w:b/>
                <w:color w:val="000000"/>
                <w:sz w:val="20"/>
                <w:lang w:val="nl-BE" w:eastAsia="nl-BE"/>
              </w:rPr>
            </w:pPr>
            <w:r w:rsidRPr="00C22CBB">
              <w:rPr>
                <w:b/>
                <w:color w:val="000000"/>
                <w:sz w:val="20"/>
                <w:lang w:val="nl-BE" w:eastAsia="nl-BE"/>
              </w:rPr>
              <w:t>€ 24.239.518,86</w:t>
            </w:r>
          </w:p>
        </w:tc>
      </w:tr>
      <w:tr w:rsidR="00C22CBB" w:rsidRPr="00C22CBB" w:rsidTr="00C22CBB">
        <w:trPr>
          <w:trHeight w:val="70"/>
        </w:trPr>
        <w:tc>
          <w:tcPr>
            <w:tcW w:w="1397" w:type="pct"/>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2012</w:t>
            </w:r>
          </w:p>
        </w:tc>
        <w:tc>
          <w:tcPr>
            <w:tcW w:w="957" w:type="pct"/>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Nee</w:t>
            </w:r>
          </w:p>
        </w:tc>
        <w:tc>
          <w:tcPr>
            <w:tcW w:w="918" w:type="pct"/>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605</w:t>
            </w:r>
          </w:p>
        </w:tc>
        <w:tc>
          <w:tcPr>
            <w:tcW w:w="1728" w:type="pct"/>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€ 17.507.275,59</w:t>
            </w:r>
          </w:p>
        </w:tc>
      </w:tr>
      <w:tr w:rsidR="00C22CBB" w:rsidRPr="00C22CBB" w:rsidTr="00C22CBB">
        <w:trPr>
          <w:trHeight w:val="70"/>
        </w:trPr>
        <w:tc>
          <w:tcPr>
            <w:tcW w:w="1397" w:type="pct"/>
            <w:tcBorders>
              <w:bottom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 </w:t>
            </w:r>
          </w:p>
        </w:tc>
        <w:tc>
          <w:tcPr>
            <w:tcW w:w="957" w:type="pct"/>
            <w:tcBorders>
              <w:bottom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Ja</w:t>
            </w:r>
          </w:p>
        </w:tc>
        <w:tc>
          <w:tcPr>
            <w:tcW w:w="918" w:type="pct"/>
            <w:tcBorders>
              <w:bottom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709</w:t>
            </w:r>
          </w:p>
        </w:tc>
        <w:tc>
          <w:tcPr>
            <w:tcW w:w="1728" w:type="pct"/>
            <w:tcBorders>
              <w:bottom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€ 18.558.037,21</w:t>
            </w:r>
          </w:p>
        </w:tc>
      </w:tr>
      <w:tr w:rsidR="00C22CBB" w:rsidRPr="00C22CBB" w:rsidTr="00C22CBB">
        <w:trPr>
          <w:trHeight w:val="70"/>
        </w:trPr>
        <w:tc>
          <w:tcPr>
            <w:tcW w:w="1397" w:type="pct"/>
            <w:shd w:val="pct10" w:color="auto" w:fill="FFFFFF" w:themeFill="background1"/>
            <w:noWrap/>
            <w:vAlign w:val="bottom"/>
            <w:hideMark/>
          </w:tcPr>
          <w:p w:rsidR="00C22CBB" w:rsidRPr="00C22CBB" w:rsidRDefault="00C22CBB" w:rsidP="00E8178C">
            <w:pPr>
              <w:rPr>
                <w:b/>
                <w:color w:val="000000"/>
                <w:sz w:val="20"/>
                <w:lang w:val="nl-BE" w:eastAsia="nl-BE"/>
              </w:rPr>
            </w:pPr>
            <w:r w:rsidRPr="00C22CBB">
              <w:rPr>
                <w:b/>
                <w:color w:val="000000"/>
                <w:sz w:val="20"/>
                <w:lang w:val="nl-BE" w:eastAsia="nl-BE"/>
              </w:rPr>
              <w:t>Totaal 2012</w:t>
            </w:r>
          </w:p>
        </w:tc>
        <w:tc>
          <w:tcPr>
            <w:tcW w:w="957" w:type="pct"/>
            <w:shd w:val="pct10" w:color="auto" w:fill="FFFFFF" w:themeFill="background1"/>
            <w:noWrap/>
            <w:vAlign w:val="bottom"/>
            <w:hideMark/>
          </w:tcPr>
          <w:p w:rsidR="00C22CBB" w:rsidRPr="00C22CBB" w:rsidRDefault="00C22CBB" w:rsidP="00E8178C">
            <w:pPr>
              <w:rPr>
                <w:b/>
                <w:color w:val="000000"/>
                <w:sz w:val="20"/>
                <w:lang w:val="nl-BE" w:eastAsia="nl-BE"/>
              </w:rPr>
            </w:pPr>
            <w:r w:rsidRPr="00C22CBB">
              <w:rPr>
                <w:b/>
                <w:color w:val="000000"/>
                <w:sz w:val="20"/>
                <w:lang w:val="nl-BE" w:eastAsia="nl-BE"/>
              </w:rPr>
              <w:t> </w:t>
            </w:r>
          </w:p>
        </w:tc>
        <w:tc>
          <w:tcPr>
            <w:tcW w:w="918" w:type="pct"/>
            <w:shd w:val="pct10" w:color="auto" w:fill="FFFFFF" w:themeFill="background1"/>
            <w:noWrap/>
            <w:vAlign w:val="bottom"/>
            <w:hideMark/>
          </w:tcPr>
          <w:p w:rsidR="00C22CBB" w:rsidRPr="00C22CBB" w:rsidRDefault="00C22CBB" w:rsidP="00E8178C">
            <w:pPr>
              <w:jc w:val="right"/>
              <w:rPr>
                <w:b/>
                <w:color w:val="000000"/>
                <w:sz w:val="20"/>
                <w:lang w:val="nl-BE" w:eastAsia="nl-BE"/>
              </w:rPr>
            </w:pPr>
            <w:r w:rsidRPr="00C22CBB">
              <w:rPr>
                <w:b/>
                <w:color w:val="000000"/>
                <w:sz w:val="20"/>
                <w:lang w:val="nl-BE" w:eastAsia="nl-BE"/>
              </w:rPr>
              <w:t>1314</w:t>
            </w:r>
          </w:p>
        </w:tc>
        <w:tc>
          <w:tcPr>
            <w:tcW w:w="1728" w:type="pct"/>
            <w:shd w:val="pct10" w:color="auto" w:fill="FFFFFF" w:themeFill="background1"/>
            <w:noWrap/>
            <w:vAlign w:val="bottom"/>
            <w:hideMark/>
          </w:tcPr>
          <w:p w:rsidR="00C22CBB" w:rsidRPr="00C22CBB" w:rsidRDefault="00C22CBB" w:rsidP="00E8178C">
            <w:pPr>
              <w:jc w:val="right"/>
              <w:rPr>
                <w:b/>
                <w:color w:val="000000"/>
                <w:sz w:val="20"/>
                <w:lang w:val="nl-BE" w:eastAsia="nl-BE"/>
              </w:rPr>
            </w:pPr>
            <w:r w:rsidRPr="00C22CBB">
              <w:rPr>
                <w:b/>
                <w:color w:val="000000"/>
                <w:sz w:val="20"/>
                <w:lang w:val="nl-BE" w:eastAsia="nl-BE"/>
              </w:rPr>
              <w:t>€ 36.065.312,80</w:t>
            </w:r>
          </w:p>
        </w:tc>
      </w:tr>
    </w:tbl>
    <w:p w:rsidR="00C22CBB" w:rsidRDefault="00C22CBB" w:rsidP="00C22CBB">
      <w:pPr>
        <w:pStyle w:val="StandaardSV"/>
        <w:ind w:left="348"/>
        <w:jc w:val="left"/>
      </w:pPr>
    </w:p>
    <w:p w:rsidR="001E6563" w:rsidRDefault="001E6563" w:rsidP="00C22CBB">
      <w:pPr>
        <w:pStyle w:val="StandaardSV"/>
        <w:ind w:left="348"/>
        <w:jc w:val="left"/>
      </w:pPr>
    </w:p>
    <w:p w:rsidR="005C7756" w:rsidRDefault="005C7756" w:rsidP="00A2212B">
      <w:pPr>
        <w:pStyle w:val="StandaardSV"/>
        <w:numPr>
          <w:ilvl w:val="0"/>
          <w:numId w:val="41"/>
        </w:numPr>
      </w:pPr>
      <w:r>
        <w:t>In de onderstaande tabel wordt de sectoriële spreiding opgegeven van de geregistreerde Winwi</w:t>
      </w:r>
      <w:r>
        <w:t>n</w:t>
      </w:r>
      <w:r>
        <w:t>leningen op basis van de gegevens sinds de start van de Winwinlening t.e.m. 31/12/2012 en dit zowel in aantal als bedrag en verhouding tot het totaal (%).</w:t>
      </w:r>
    </w:p>
    <w:p w:rsidR="00C22CBB" w:rsidRDefault="00C22CBB" w:rsidP="00C22CBB">
      <w:pPr>
        <w:pStyle w:val="StandaardSV"/>
        <w:ind w:left="360"/>
        <w:jc w:val="left"/>
      </w:pPr>
    </w:p>
    <w:tbl>
      <w:tblPr>
        <w:tblW w:w="5578" w:type="pct"/>
        <w:tblLayout w:type="fixed"/>
        <w:tblCellMar>
          <w:left w:w="70" w:type="dxa"/>
          <w:right w:w="70" w:type="dxa"/>
        </w:tblCellMar>
        <w:tblLook w:val="04A0" w:firstRow="1" w:lastRow="0" w:firstColumn="1" w:lastColumn="0" w:noHBand="0" w:noVBand="1"/>
      </w:tblPr>
      <w:tblGrid>
        <w:gridCol w:w="5762"/>
        <w:gridCol w:w="830"/>
        <w:gridCol w:w="993"/>
        <w:gridCol w:w="1636"/>
        <w:gridCol w:w="1056"/>
      </w:tblGrid>
      <w:tr w:rsidR="00C22CBB" w:rsidRPr="00C22CBB" w:rsidTr="00C22CBB">
        <w:trPr>
          <w:trHeight w:val="70"/>
        </w:trPr>
        <w:tc>
          <w:tcPr>
            <w:tcW w:w="2803" w:type="pct"/>
            <w:tcBorders>
              <w:top w:val="single" w:sz="4" w:space="0" w:color="auto"/>
              <w:left w:val="single" w:sz="4" w:space="0" w:color="auto"/>
              <w:bottom w:val="single" w:sz="4" w:space="0" w:color="auto"/>
              <w:right w:val="single" w:sz="4" w:space="0" w:color="auto"/>
            </w:tcBorders>
            <w:shd w:val="pct10" w:color="auto" w:fill="FFFFFF" w:themeFill="background1"/>
            <w:noWrap/>
            <w:vAlign w:val="bottom"/>
          </w:tcPr>
          <w:p w:rsidR="00C22CBB" w:rsidRPr="00C22CBB" w:rsidRDefault="00C22CBB" w:rsidP="00E8178C">
            <w:pPr>
              <w:rPr>
                <w:b/>
                <w:color w:val="000000"/>
                <w:sz w:val="20"/>
                <w:lang w:val="nl-BE" w:eastAsia="nl-BE"/>
              </w:rPr>
            </w:pPr>
            <w:r w:rsidRPr="00C22CBB">
              <w:rPr>
                <w:b/>
                <w:color w:val="000000"/>
                <w:sz w:val="20"/>
                <w:lang w:val="nl-BE" w:eastAsia="nl-BE"/>
              </w:rPr>
              <w:t>Sector</w:t>
            </w:r>
          </w:p>
        </w:tc>
        <w:tc>
          <w:tcPr>
            <w:tcW w:w="404" w:type="pct"/>
            <w:tcBorders>
              <w:top w:val="single" w:sz="4" w:space="0" w:color="auto"/>
              <w:left w:val="nil"/>
              <w:bottom w:val="single" w:sz="4" w:space="0" w:color="auto"/>
              <w:right w:val="single" w:sz="4" w:space="0" w:color="auto"/>
            </w:tcBorders>
            <w:shd w:val="pct10" w:color="auto" w:fill="FFFFFF" w:themeFill="background1"/>
            <w:noWrap/>
            <w:vAlign w:val="bottom"/>
          </w:tcPr>
          <w:p w:rsidR="00C22CBB" w:rsidRPr="00C22CBB" w:rsidRDefault="00C22CBB" w:rsidP="00E8178C">
            <w:pPr>
              <w:jc w:val="right"/>
              <w:rPr>
                <w:b/>
                <w:color w:val="000000"/>
                <w:sz w:val="20"/>
                <w:lang w:val="nl-BE" w:eastAsia="nl-BE"/>
              </w:rPr>
            </w:pPr>
            <w:r w:rsidRPr="00C22CBB">
              <w:rPr>
                <w:b/>
                <w:color w:val="000000"/>
                <w:sz w:val="20"/>
                <w:lang w:val="nl-BE" w:eastAsia="nl-BE"/>
              </w:rPr>
              <w:t>Aantal</w:t>
            </w:r>
          </w:p>
        </w:tc>
        <w:tc>
          <w:tcPr>
            <w:tcW w:w="483" w:type="pct"/>
            <w:tcBorders>
              <w:top w:val="single" w:sz="4" w:space="0" w:color="auto"/>
              <w:left w:val="nil"/>
              <w:bottom w:val="single" w:sz="4" w:space="0" w:color="auto"/>
              <w:right w:val="single" w:sz="4" w:space="0" w:color="auto"/>
            </w:tcBorders>
            <w:shd w:val="pct10" w:color="auto" w:fill="FFFFFF" w:themeFill="background1"/>
            <w:noWrap/>
            <w:vAlign w:val="bottom"/>
          </w:tcPr>
          <w:p w:rsidR="00C22CBB" w:rsidRPr="00C22CBB" w:rsidRDefault="00C22CBB" w:rsidP="00E8178C">
            <w:pPr>
              <w:jc w:val="right"/>
              <w:rPr>
                <w:b/>
                <w:color w:val="000000"/>
                <w:sz w:val="20"/>
                <w:lang w:val="nl-BE" w:eastAsia="nl-BE"/>
              </w:rPr>
            </w:pPr>
            <w:r w:rsidRPr="00C22CBB">
              <w:rPr>
                <w:b/>
                <w:color w:val="000000"/>
                <w:sz w:val="20"/>
                <w:lang w:val="nl-BE" w:eastAsia="nl-BE"/>
              </w:rPr>
              <w:t>%</w:t>
            </w:r>
          </w:p>
        </w:tc>
        <w:tc>
          <w:tcPr>
            <w:tcW w:w="796" w:type="pct"/>
            <w:tcBorders>
              <w:top w:val="single" w:sz="4" w:space="0" w:color="auto"/>
              <w:left w:val="nil"/>
              <w:bottom w:val="single" w:sz="4" w:space="0" w:color="auto"/>
              <w:right w:val="single" w:sz="4" w:space="0" w:color="auto"/>
            </w:tcBorders>
            <w:shd w:val="pct10" w:color="auto" w:fill="FFFFFF" w:themeFill="background1"/>
            <w:noWrap/>
            <w:vAlign w:val="bottom"/>
          </w:tcPr>
          <w:p w:rsidR="00C22CBB" w:rsidRPr="00C22CBB" w:rsidRDefault="00C22CBB" w:rsidP="00E8178C">
            <w:pPr>
              <w:jc w:val="right"/>
              <w:rPr>
                <w:b/>
                <w:color w:val="000000"/>
                <w:sz w:val="20"/>
                <w:lang w:val="nl-BE" w:eastAsia="nl-BE"/>
              </w:rPr>
            </w:pPr>
            <w:r w:rsidRPr="00C22CBB">
              <w:rPr>
                <w:b/>
                <w:color w:val="000000"/>
                <w:sz w:val="20"/>
                <w:lang w:val="nl-BE" w:eastAsia="nl-BE"/>
              </w:rPr>
              <w:t>Bedrag</w:t>
            </w:r>
          </w:p>
        </w:tc>
        <w:tc>
          <w:tcPr>
            <w:tcW w:w="514" w:type="pct"/>
            <w:tcBorders>
              <w:top w:val="single" w:sz="4" w:space="0" w:color="auto"/>
              <w:left w:val="nil"/>
              <w:bottom w:val="single" w:sz="4" w:space="0" w:color="auto"/>
              <w:right w:val="single" w:sz="4" w:space="0" w:color="auto"/>
            </w:tcBorders>
            <w:shd w:val="pct10" w:color="auto" w:fill="FFFFFF" w:themeFill="background1"/>
            <w:noWrap/>
            <w:vAlign w:val="bottom"/>
          </w:tcPr>
          <w:p w:rsidR="00C22CBB" w:rsidRPr="00C22CBB" w:rsidRDefault="00C22CBB" w:rsidP="00E8178C">
            <w:pPr>
              <w:jc w:val="right"/>
              <w:rPr>
                <w:b/>
                <w:color w:val="000000"/>
                <w:sz w:val="20"/>
                <w:lang w:val="nl-BE" w:eastAsia="nl-BE"/>
              </w:rPr>
            </w:pPr>
            <w:r w:rsidRPr="00C22CBB">
              <w:rPr>
                <w:b/>
                <w:color w:val="000000"/>
                <w:sz w:val="20"/>
                <w:lang w:val="nl-BE" w:eastAsia="nl-BE"/>
              </w:rPr>
              <w:t>%</w:t>
            </w:r>
          </w:p>
        </w:tc>
      </w:tr>
      <w:tr w:rsidR="00C22CBB" w:rsidRPr="00C22CBB" w:rsidTr="00C22CBB">
        <w:trPr>
          <w:trHeight w:val="70"/>
        </w:trPr>
        <w:tc>
          <w:tcPr>
            <w:tcW w:w="28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Groot- en detailhandel; reparatie van auto's en motorfietsen</w:t>
            </w:r>
          </w:p>
        </w:tc>
        <w:tc>
          <w:tcPr>
            <w:tcW w:w="404" w:type="pct"/>
            <w:tcBorders>
              <w:top w:val="single" w:sz="4" w:space="0" w:color="auto"/>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720</w:t>
            </w:r>
          </w:p>
        </w:tc>
        <w:tc>
          <w:tcPr>
            <w:tcW w:w="483" w:type="pct"/>
            <w:tcBorders>
              <w:top w:val="single" w:sz="4" w:space="0" w:color="auto"/>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19,81%</w:t>
            </w:r>
          </w:p>
        </w:tc>
        <w:tc>
          <w:tcPr>
            <w:tcW w:w="796" w:type="pct"/>
            <w:tcBorders>
              <w:top w:val="single" w:sz="4" w:space="0" w:color="auto"/>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€ 20.485.850,22</w:t>
            </w:r>
          </w:p>
        </w:tc>
        <w:tc>
          <w:tcPr>
            <w:tcW w:w="514" w:type="pct"/>
            <w:tcBorders>
              <w:top w:val="single" w:sz="4" w:space="0" w:color="auto"/>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20,82%</w:t>
            </w:r>
          </w:p>
        </w:tc>
      </w:tr>
      <w:tr w:rsidR="00C22CBB" w:rsidRPr="00C22CBB" w:rsidTr="00C22CBB">
        <w:trPr>
          <w:trHeight w:val="70"/>
        </w:trPr>
        <w:tc>
          <w:tcPr>
            <w:tcW w:w="2803" w:type="pct"/>
            <w:tcBorders>
              <w:top w:val="nil"/>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Vrije beroepen en wetenschappelijke en technische activiteiten</w:t>
            </w:r>
          </w:p>
        </w:tc>
        <w:tc>
          <w:tcPr>
            <w:tcW w:w="404" w:type="pct"/>
            <w:tcBorders>
              <w:top w:val="nil"/>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621</w:t>
            </w:r>
          </w:p>
        </w:tc>
        <w:tc>
          <w:tcPr>
            <w:tcW w:w="483" w:type="pct"/>
            <w:tcBorders>
              <w:top w:val="nil"/>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17,09%</w:t>
            </w:r>
          </w:p>
        </w:tc>
        <w:tc>
          <w:tcPr>
            <w:tcW w:w="796" w:type="pct"/>
            <w:tcBorders>
              <w:top w:val="nil"/>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€ 17.974.635,00</w:t>
            </w:r>
          </w:p>
        </w:tc>
        <w:tc>
          <w:tcPr>
            <w:tcW w:w="514" w:type="pct"/>
            <w:tcBorders>
              <w:top w:val="nil"/>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18,27%</w:t>
            </w:r>
          </w:p>
        </w:tc>
      </w:tr>
      <w:tr w:rsidR="00C22CBB" w:rsidRPr="00C22CBB" w:rsidTr="00C22CBB">
        <w:trPr>
          <w:trHeight w:val="70"/>
        </w:trPr>
        <w:tc>
          <w:tcPr>
            <w:tcW w:w="2803" w:type="pct"/>
            <w:tcBorders>
              <w:top w:val="nil"/>
              <w:left w:val="single" w:sz="4" w:space="0" w:color="auto"/>
              <w:bottom w:val="single" w:sz="4" w:space="0" w:color="auto"/>
              <w:right w:val="single" w:sz="4" w:space="0" w:color="auto"/>
            </w:tcBorders>
            <w:shd w:val="clear" w:color="auto" w:fill="auto"/>
            <w:noWrap/>
            <w:vAlign w:val="bottom"/>
            <w:hideMark/>
          </w:tcPr>
          <w:p w:rsidR="00C22CBB" w:rsidRPr="00C22CBB" w:rsidRDefault="00CB46C2" w:rsidP="00E8178C">
            <w:pPr>
              <w:rPr>
                <w:color w:val="000000"/>
                <w:sz w:val="20"/>
                <w:lang w:val="nl-BE" w:eastAsia="nl-BE"/>
              </w:rPr>
            </w:pPr>
            <w:r w:rsidRPr="00C22CBB">
              <w:rPr>
                <w:color w:val="000000"/>
                <w:sz w:val="20"/>
                <w:lang w:val="nl-BE" w:eastAsia="nl-BE"/>
              </w:rPr>
              <w:t>Bouwnijverheid</w:t>
            </w:r>
          </w:p>
        </w:tc>
        <w:tc>
          <w:tcPr>
            <w:tcW w:w="404" w:type="pct"/>
            <w:tcBorders>
              <w:top w:val="nil"/>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371</w:t>
            </w:r>
          </w:p>
        </w:tc>
        <w:tc>
          <w:tcPr>
            <w:tcW w:w="483" w:type="pct"/>
            <w:tcBorders>
              <w:top w:val="nil"/>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10,21%</w:t>
            </w:r>
          </w:p>
        </w:tc>
        <w:tc>
          <w:tcPr>
            <w:tcW w:w="796" w:type="pct"/>
            <w:tcBorders>
              <w:top w:val="nil"/>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€ 9.774.825,81</w:t>
            </w:r>
          </w:p>
        </w:tc>
        <w:tc>
          <w:tcPr>
            <w:tcW w:w="514" w:type="pct"/>
            <w:tcBorders>
              <w:top w:val="nil"/>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9,94%</w:t>
            </w:r>
          </w:p>
        </w:tc>
      </w:tr>
      <w:tr w:rsidR="00C22CBB" w:rsidRPr="00C22CBB" w:rsidTr="00C22CBB">
        <w:trPr>
          <w:trHeight w:val="70"/>
        </w:trPr>
        <w:tc>
          <w:tcPr>
            <w:tcW w:w="2803" w:type="pct"/>
            <w:tcBorders>
              <w:top w:val="nil"/>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Verschaffen van accommodatie en maaltijden</w:t>
            </w:r>
          </w:p>
        </w:tc>
        <w:tc>
          <w:tcPr>
            <w:tcW w:w="404" w:type="pct"/>
            <w:tcBorders>
              <w:top w:val="nil"/>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354</w:t>
            </w:r>
          </w:p>
        </w:tc>
        <w:tc>
          <w:tcPr>
            <w:tcW w:w="483" w:type="pct"/>
            <w:tcBorders>
              <w:top w:val="nil"/>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9,74%</w:t>
            </w:r>
          </w:p>
        </w:tc>
        <w:tc>
          <w:tcPr>
            <w:tcW w:w="796" w:type="pct"/>
            <w:tcBorders>
              <w:top w:val="nil"/>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€ 8.853.550,00</w:t>
            </w:r>
          </w:p>
        </w:tc>
        <w:tc>
          <w:tcPr>
            <w:tcW w:w="514" w:type="pct"/>
            <w:tcBorders>
              <w:top w:val="nil"/>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9,00%</w:t>
            </w:r>
          </w:p>
        </w:tc>
      </w:tr>
      <w:tr w:rsidR="00C22CBB" w:rsidRPr="00C22CBB" w:rsidTr="00C22CBB">
        <w:trPr>
          <w:trHeight w:val="70"/>
        </w:trPr>
        <w:tc>
          <w:tcPr>
            <w:tcW w:w="2803" w:type="pct"/>
            <w:tcBorders>
              <w:top w:val="nil"/>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Overige diensten</w:t>
            </w:r>
          </w:p>
        </w:tc>
        <w:tc>
          <w:tcPr>
            <w:tcW w:w="404" w:type="pct"/>
            <w:tcBorders>
              <w:top w:val="nil"/>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278</w:t>
            </w:r>
          </w:p>
        </w:tc>
        <w:tc>
          <w:tcPr>
            <w:tcW w:w="483" w:type="pct"/>
            <w:tcBorders>
              <w:top w:val="nil"/>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7,65%</w:t>
            </w:r>
          </w:p>
        </w:tc>
        <w:tc>
          <w:tcPr>
            <w:tcW w:w="796" w:type="pct"/>
            <w:tcBorders>
              <w:top w:val="nil"/>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€ 6.584.947,03</w:t>
            </w:r>
          </w:p>
        </w:tc>
        <w:tc>
          <w:tcPr>
            <w:tcW w:w="514" w:type="pct"/>
            <w:tcBorders>
              <w:top w:val="nil"/>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6,69%</w:t>
            </w:r>
          </w:p>
        </w:tc>
      </w:tr>
      <w:tr w:rsidR="00C22CBB" w:rsidRPr="00C22CBB" w:rsidTr="00C22CBB">
        <w:trPr>
          <w:trHeight w:val="70"/>
        </w:trPr>
        <w:tc>
          <w:tcPr>
            <w:tcW w:w="2803" w:type="pct"/>
            <w:tcBorders>
              <w:top w:val="nil"/>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Informatie en communicatie</w:t>
            </w:r>
          </w:p>
        </w:tc>
        <w:tc>
          <w:tcPr>
            <w:tcW w:w="404" w:type="pct"/>
            <w:tcBorders>
              <w:top w:val="nil"/>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258</w:t>
            </w:r>
          </w:p>
        </w:tc>
        <w:tc>
          <w:tcPr>
            <w:tcW w:w="483" w:type="pct"/>
            <w:tcBorders>
              <w:top w:val="nil"/>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7,10%</w:t>
            </w:r>
          </w:p>
        </w:tc>
        <w:tc>
          <w:tcPr>
            <w:tcW w:w="796" w:type="pct"/>
            <w:tcBorders>
              <w:top w:val="nil"/>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€ 4.889.010,00</w:t>
            </w:r>
          </w:p>
        </w:tc>
        <w:tc>
          <w:tcPr>
            <w:tcW w:w="514" w:type="pct"/>
            <w:tcBorders>
              <w:top w:val="nil"/>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4,97%</w:t>
            </w:r>
          </w:p>
        </w:tc>
      </w:tr>
      <w:tr w:rsidR="00C22CBB" w:rsidRPr="00C22CBB" w:rsidTr="00C22CBB">
        <w:trPr>
          <w:trHeight w:val="70"/>
        </w:trPr>
        <w:tc>
          <w:tcPr>
            <w:tcW w:w="2803" w:type="pct"/>
            <w:tcBorders>
              <w:top w:val="nil"/>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Financiële activiteiten en verzekeringen</w:t>
            </w:r>
          </w:p>
        </w:tc>
        <w:tc>
          <w:tcPr>
            <w:tcW w:w="404" w:type="pct"/>
            <w:tcBorders>
              <w:top w:val="nil"/>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215</w:t>
            </w:r>
          </w:p>
        </w:tc>
        <w:tc>
          <w:tcPr>
            <w:tcW w:w="483" w:type="pct"/>
            <w:tcBorders>
              <w:top w:val="nil"/>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5,92%</w:t>
            </w:r>
          </w:p>
        </w:tc>
        <w:tc>
          <w:tcPr>
            <w:tcW w:w="796" w:type="pct"/>
            <w:tcBorders>
              <w:top w:val="nil"/>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€ 7.118.555,43</w:t>
            </w:r>
          </w:p>
        </w:tc>
        <w:tc>
          <w:tcPr>
            <w:tcW w:w="514" w:type="pct"/>
            <w:tcBorders>
              <w:top w:val="nil"/>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7,24%</w:t>
            </w:r>
          </w:p>
        </w:tc>
      </w:tr>
      <w:tr w:rsidR="00C22CBB" w:rsidRPr="00C22CBB" w:rsidTr="00C22CBB">
        <w:trPr>
          <w:trHeight w:val="70"/>
        </w:trPr>
        <w:tc>
          <w:tcPr>
            <w:tcW w:w="2803" w:type="pct"/>
            <w:tcBorders>
              <w:top w:val="nil"/>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Administratieve en ondersteunende diensten</w:t>
            </w:r>
          </w:p>
        </w:tc>
        <w:tc>
          <w:tcPr>
            <w:tcW w:w="404" w:type="pct"/>
            <w:tcBorders>
              <w:top w:val="nil"/>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193</w:t>
            </w:r>
          </w:p>
        </w:tc>
        <w:tc>
          <w:tcPr>
            <w:tcW w:w="483" w:type="pct"/>
            <w:tcBorders>
              <w:top w:val="nil"/>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5,31%</w:t>
            </w:r>
          </w:p>
        </w:tc>
        <w:tc>
          <w:tcPr>
            <w:tcW w:w="796" w:type="pct"/>
            <w:tcBorders>
              <w:top w:val="nil"/>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€ 5.000.030,00</w:t>
            </w:r>
          </w:p>
        </w:tc>
        <w:tc>
          <w:tcPr>
            <w:tcW w:w="514" w:type="pct"/>
            <w:tcBorders>
              <w:top w:val="nil"/>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5,08%</w:t>
            </w:r>
          </w:p>
        </w:tc>
      </w:tr>
      <w:tr w:rsidR="00C22CBB" w:rsidRPr="00C22CBB" w:rsidTr="00C22CBB">
        <w:trPr>
          <w:trHeight w:val="70"/>
        </w:trPr>
        <w:tc>
          <w:tcPr>
            <w:tcW w:w="2803" w:type="pct"/>
            <w:tcBorders>
              <w:top w:val="nil"/>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Menselijke gezondheidszorg en maatschappelijke dienstverlening</w:t>
            </w:r>
          </w:p>
        </w:tc>
        <w:tc>
          <w:tcPr>
            <w:tcW w:w="404" w:type="pct"/>
            <w:tcBorders>
              <w:top w:val="nil"/>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165</w:t>
            </w:r>
          </w:p>
        </w:tc>
        <w:tc>
          <w:tcPr>
            <w:tcW w:w="483" w:type="pct"/>
            <w:tcBorders>
              <w:top w:val="nil"/>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4,54%</w:t>
            </w:r>
          </w:p>
        </w:tc>
        <w:tc>
          <w:tcPr>
            <w:tcW w:w="796" w:type="pct"/>
            <w:tcBorders>
              <w:top w:val="nil"/>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€ 4.714.775,00</w:t>
            </w:r>
          </w:p>
        </w:tc>
        <w:tc>
          <w:tcPr>
            <w:tcW w:w="514" w:type="pct"/>
            <w:tcBorders>
              <w:top w:val="nil"/>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4,79%</w:t>
            </w:r>
          </w:p>
        </w:tc>
      </w:tr>
      <w:tr w:rsidR="00C22CBB" w:rsidRPr="00C22CBB" w:rsidTr="00C22CBB">
        <w:trPr>
          <w:trHeight w:val="70"/>
        </w:trPr>
        <w:tc>
          <w:tcPr>
            <w:tcW w:w="2803" w:type="pct"/>
            <w:tcBorders>
              <w:top w:val="nil"/>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Industrie</w:t>
            </w:r>
          </w:p>
        </w:tc>
        <w:tc>
          <w:tcPr>
            <w:tcW w:w="404" w:type="pct"/>
            <w:tcBorders>
              <w:top w:val="nil"/>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145</w:t>
            </w:r>
          </w:p>
        </w:tc>
        <w:tc>
          <w:tcPr>
            <w:tcW w:w="483" w:type="pct"/>
            <w:tcBorders>
              <w:top w:val="nil"/>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3,99%</w:t>
            </w:r>
          </w:p>
        </w:tc>
        <w:tc>
          <w:tcPr>
            <w:tcW w:w="796" w:type="pct"/>
            <w:tcBorders>
              <w:top w:val="nil"/>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€ 3.810.540,00</w:t>
            </w:r>
          </w:p>
        </w:tc>
        <w:tc>
          <w:tcPr>
            <w:tcW w:w="514" w:type="pct"/>
            <w:tcBorders>
              <w:top w:val="nil"/>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3,87%</w:t>
            </w:r>
          </w:p>
        </w:tc>
      </w:tr>
      <w:tr w:rsidR="00C22CBB" w:rsidRPr="00C22CBB" w:rsidTr="00C22CBB">
        <w:trPr>
          <w:trHeight w:val="70"/>
        </w:trPr>
        <w:tc>
          <w:tcPr>
            <w:tcW w:w="28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Landbouw, bosbouw en visserij</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100</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2,75%</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€ 3.110.200,00</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3,16%</w:t>
            </w:r>
          </w:p>
        </w:tc>
      </w:tr>
      <w:tr w:rsidR="00C22CBB" w:rsidRPr="00C22CBB" w:rsidTr="00C22CBB">
        <w:trPr>
          <w:trHeight w:val="70"/>
        </w:trPr>
        <w:tc>
          <w:tcPr>
            <w:tcW w:w="28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Exploitatie van en handel in onroerend goed</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94</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2,59%</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€ 3.198.570,20</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3,25%</w:t>
            </w:r>
          </w:p>
        </w:tc>
      </w:tr>
      <w:tr w:rsidR="00C22CBB" w:rsidRPr="00C22CBB" w:rsidTr="00C22CBB">
        <w:trPr>
          <w:trHeight w:val="70"/>
        </w:trPr>
        <w:tc>
          <w:tcPr>
            <w:tcW w:w="28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Kunst, amusement en recreatie</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93</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2,56%</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€ 2.209.937,62</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2,25%</w:t>
            </w:r>
          </w:p>
        </w:tc>
      </w:tr>
      <w:tr w:rsidR="00C22CBB" w:rsidRPr="00C22CBB" w:rsidTr="00C22CBB">
        <w:trPr>
          <w:trHeight w:val="70"/>
        </w:trPr>
        <w:tc>
          <w:tcPr>
            <w:tcW w:w="28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Productie en distributie van elektriciteit, gas, stoom en gekoelde lucht</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12</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0,33%</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€ 282.000,00</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0,29%</w:t>
            </w:r>
          </w:p>
        </w:tc>
      </w:tr>
      <w:tr w:rsidR="00C22CBB" w:rsidRPr="00C22CBB" w:rsidTr="00C22CBB">
        <w:trPr>
          <w:trHeight w:val="70"/>
        </w:trPr>
        <w:tc>
          <w:tcPr>
            <w:tcW w:w="28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Openbaar bestuur en defensie; verplichte sociale verzekeringen</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12</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0,33%</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€ 279.000,00</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0,28%</w:t>
            </w:r>
          </w:p>
        </w:tc>
      </w:tr>
      <w:tr w:rsidR="00C22CBB" w:rsidRPr="00C22CBB" w:rsidTr="00C22CBB">
        <w:trPr>
          <w:trHeight w:val="70"/>
        </w:trPr>
        <w:tc>
          <w:tcPr>
            <w:tcW w:w="28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Distributie van water; afval- en afvalwaterbeheer en sanering</w:t>
            </w:r>
          </w:p>
        </w:tc>
        <w:tc>
          <w:tcPr>
            <w:tcW w:w="404" w:type="pct"/>
            <w:tcBorders>
              <w:top w:val="single" w:sz="4" w:space="0" w:color="auto"/>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3</w:t>
            </w:r>
          </w:p>
        </w:tc>
        <w:tc>
          <w:tcPr>
            <w:tcW w:w="483" w:type="pct"/>
            <w:tcBorders>
              <w:top w:val="single" w:sz="4" w:space="0" w:color="auto"/>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0,08%</w:t>
            </w:r>
          </w:p>
        </w:tc>
        <w:tc>
          <w:tcPr>
            <w:tcW w:w="796" w:type="pct"/>
            <w:tcBorders>
              <w:top w:val="single" w:sz="4" w:space="0" w:color="auto"/>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€ 98.000,00</w:t>
            </w:r>
          </w:p>
        </w:tc>
        <w:tc>
          <w:tcPr>
            <w:tcW w:w="514" w:type="pct"/>
            <w:tcBorders>
              <w:top w:val="single" w:sz="4" w:space="0" w:color="auto"/>
              <w:left w:val="nil"/>
              <w:bottom w:val="single" w:sz="4" w:space="0" w:color="auto"/>
              <w:right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0,10%</w:t>
            </w:r>
          </w:p>
        </w:tc>
      </w:tr>
      <w:tr w:rsidR="00C22CBB" w:rsidRPr="00C22CBB" w:rsidTr="00C22CBB">
        <w:trPr>
          <w:trHeight w:val="70"/>
        </w:trPr>
        <w:tc>
          <w:tcPr>
            <w:tcW w:w="2803" w:type="pct"/>
            <w:tcBorders>
              <w:top w:val="single" w:sz="4" w:space="0" w:color="auto"/>
              <w:left w:val="single" w:sz="4" w:space="0" w:color="auto"/>
              <w:bottom w:val="single" w:sz="4" w:space="0" w:color="auto"/>
              <w:right w:val="single" w:sz="4" w:space="0" w:color="auto"/>
            </w:tcBorders>
            <w:shd w:val="pct10" w:color="auto" w:fill="FFFFFF" w:themeFill="background1"/>
            <w:noWrap/>
            <w:vAlign w:val="bottom"/>
            <w:hideMark/>
          </w:tcPr>
          <w:p w:rsidR="00C22CBB" w:rsidRPr="00C22CBB" w:rsidRDefault="00C22CBB" w:rsidP="00E8178C">
            <w:pPr>
              <w:rPr>
                <w:b/>
                <w:color w:val="000000"/>
                <w:sz w:val="20"/>
                <w:lang w:val="nl-BE" w:eastAsia="nl-BE"/>
              </w:rPr>
            </w:pPr>
            <w:r w:rsidRPr="00C22CBB">
              <w:rPr>
                <w:b/>
                <w:color w:val="000000"/>
                <w:sz w:val="20"/>
                <w:lang w:val="nl-BE" w:eastAsia="nl-BE"/>
              </w:rPr>
              <w:t> </w:t>
            </w:r>
          </w:p>
        </w:tc>
        <w:tc>
          <w:tcPr>
            <w:tcW w:w="404" w:type="pct"/>
            <w:tcBorders>
              <w:top w:val="single" w:sz="4" w:space="0" w:color="auto"/>
              <w:left w:val="nil"/>
              <w:bottom w:val="single" w:sz="4" w:space="0" w:color="auto"/>
              <w:right w:val="single" w:sz="4" w:space="0" w:color="auto"/>
            </w:tcBorders>
            <w:shd w:val="pct10" w:color="auto" w:fill="FFFFFF" w:themeFill="background1"/>
            <w:noWrap/>
            <w:vAlign w:val="bottom"/>
            <w:hideMark/>
          </w:tcPr>
          <w:p w:rsidR="00C22CBB" w:rsidRPr="00C22CBB" w:rsidRDefault="00C22CBB" w:rsidP="00E8178C">
            <w:pPr>
              <w:jc w:val="right"/>
              <w:rPr>
                <w:b/>
                <w:color w:val="000000"/>
                <w:sz w:val="20"/>
                <w:lang w:val="nl-BE" w:eastAsia="nl-BE"/>
              </w:rPr>
            </w:pPr>
            <w:r w:rsidRPr="00C22CBB">
              <w:rPr>
                <w:b/>
                <w:color w:val="000000"/>
                <w:sz w:val="20"/>
                <w:lang w:val="nl-BE" w:eastAsia="nl-BE"/>
              </w:rPr>
              <w:t>3634</w:t>
            </w:r>
          </w:p>
        </w:tc>
        <w:tc>
          <w:tcPr>
            <w:tcW w:w="483" w:type="pct"/>
            <w:tcBorders>
              <w:top w:val="single" w:sz="4" w:space="0" w:color="auto"/>
              <w:left w:val="nil"/>
              <w:bottom w:val="single" w:sz="4" w:space="0" w:color="auto"/>
              <w:right w:val="single" w:sz="4" w:space="0" w:color="auto"/>
            </w:tcBorders>
            <w:shd w:val="pct10" w:color="auto" w:fill="FFFFFF" w:themeFill="background1"/>
            <w:noWrap/>
            <w:vAlign w:val="bottom"/>
            <w:hideMark/>
          </w:tcPr>
          <w:p w:rsidR="00C22CBB" w:rsidRPr="00C22CBB" w:rsidRDefault="00C22CBB" w:rsidP="00E8178C">
            <w:pPr>
              <w:jc w:val="right"/>
              <w:rPr>
                <w:b/>
                <w:color w:val="000000"/>
                <w:sz w:val="20"/>
                <w:lang w:val="nl-BE" w:eastAsia="nl-BE"/>
              </w:rPr>
            </w:pPr>
            <w:r w:rsidRPr="00C22CBB">
              <w:rPr>
                <w:b/>
                <w:color w:val="000000"/>
                <w:sz w:val="20"/>
                <w:lang w:val="nl-BE" w:eastAsia="nl-BE"/>
              </w:rPr>
              <w:t>100,00%</w:t>
            </w:r>
          </w:p>
        </w:tc>
        <w:tc>
          <w:tcPr>
            <w:tcW w:w="796" w:type="pct"/>
            <w:tcBorders>
              <w:top w:val="single" w:sz="4" w:space="0" w:color="auto"/>
              <w:left w:val="nil"/>
              <w:bottom w:val="single" w:sz="4" w:space="0" w:color="auto"/>
              <w:right w:val="single" w:sz="4" w:space="0" w:color="auto"/>
            </w:tcBorders>
            <w:shd w:val="pct10" w:color="auto" w:fill="FFFFFF" w:themeFill="background1"/>
            <w:noWrap/>
            <w:vAlign w:val="bottom"/>
            <w:hideMark/>
          </w:tcPr>
          <w:p w:rsidR="00C22CBB" w:rsidRPr="00C22CBB" w:rsidRDefault="00C22CBB" w:rsidP="00E8178C">
            <w:pPr>
              <w:jc w:val="right"/>
              <w:rPr>
                <w:b/>
                <w:color w:val="000000"/>
                <w:sz w:val="20"/>
                <w:lang w:val="nl-BE" w:eastAsia="nl-BE"/>
              </w:rPr>
            </w:pPr>
            <w:r w:rsidRPr="00C22CBB">
              <w:rPr>
                <w:b/>
                <w:color w:val="000000"/>
                <w:sz w:val="20"/>
                <w:lang w:val="nl-BE" w:eastAsia="nl-BE"/>
              </w:rPr>
              <w:t>€ 98.384.426,31</w:t>
            </w:r>
          </w:p>
        </w:tc>
        <w:tc>
          <w:tcPr>
            <w:tcW w:w="514" w:type="pct"/>
            <w:tcBorders>
              <w:top w:val="single" w:sz="4" w:space="0" w:color="auto"/>
              <w:left w:val="nil"/>
              <w:bottom w:val="single" w:sz="4" w:space="0" w:color="auto"/>
              <w:right w:val="single" w:sz="4" w:space="0" w:color="auto"/>
            </w:tcBorders>
            <w:shd w:val="pct10" w:color="auto" w:fill="FFFFFF" w:themeFill="background1"/>
            <w:noWrap/>
            <w:vAlign w:val="bottom"/>
            <w:hideMark/>
          </w:tcPr>
          <w:p w:rsidR="00C22CBB" w:rsidRPr="00C22CBB" w:rsidRDefault="00C22CBB" w:rsidP="00E8178C">
            <w:pPr>
              <w:jc w:val="right"/>
              <w:rPr>
                <w:b/>
                <w:color w:val="000000"/>
                <w:sz w:val="20"/>
                <w:lang w:val="nl-BE" w:eastAsia="nl-BE"/>
              </w:rPr>
            </w:pPr>
            <w:r w:rsidRPr="00C22CBB">
              <w:rPr>
                <w:b/>
                <w:color w:val="000000"/>
                <w:sz w:val="20"/>
                <w:lang w:val="nl-BE" w:eastAsia="nl-BE"/>
              </w:rPr>
              <w:t>100,00%</w:t>
            </w:r>
          </w:p>
        </w:tc>
      </w:tr>
    </w:tbl>
    <w:p w:rsidR="00C22CBB" w:rsidRDefault="00C22CBB">
      <w:pPr>
        <w:rPr>
          <w:sz w:val="22"/>
        </w:rPr>
      </w:pPr>
      <w:r>
        <w:br w:type="page"/>
      </w:r>
    </w:p>
    <w:p w:rsidR="005C7756" w:rsidRDefault="005C7756" w:rsidP="00C22CBB">
      <w:pPr>
        <w:pStyle w:val="StandaardSV"/>
        <w:numPr>
          <w:ilvl w:val="0"/>
          <w:numId w:val="41"/>
        </w:numPr>
      </w:pPr>
      <w:r>
        <w:lastRenderedPageBreak/>
        <w:t>Op deelvragen 4a en 4b wordt een gezamenlijk antwoord geformuleerd aan de hand van onde</w:t>
      </w:r>
      <w:r>
        <w:t>r</w:t>
      </w:r>
      <w:r>
        <w:t>staande tabellen.</w:t>
      </w:r>
    </w:p>
    <w:p w:rsidR="005C7756" w:rsidRDefault="005C7756" w:rsidP="00C22CBB">
      <w:pPr>
        <w:pStyle w:val="StandaardSV"/>
        <w:ind w:left="360"/>
      </w:pPr>
    </w:p>
    <w:p w:rsidR="005C7756" w:rsidRDefault="005C7756" w:rsidP="00C22CBB">
      <w:pPr>
        <w:pStyle w:val="StandaardSV"/>
        <w:ind w:left="360"/>
      </w:pPr>
      <w:r w:rsidRPr="00C22CBB">
        <w:t>Geweigerde Winwinleningen per jaar en per maand</w:t>
      </w:r>
      <w:r w:rsidR="00C22CBB" w:rsidRPr="00C22CBB">
        <w:t>:</w:t>
      </w:r>
    </w:p>
    <w:p w:rsidR="005C7756" w:rsidRDefault="005C7756" w:rsidP="00C22CBB">
      <w:pPr>
        <w:pStyle w:val="StandaardSV"/>
        <w:ind w:left="705" w:hanging="345"/>
      </w:pPr>
    </w:p>
    <w:tbl>
      <w:tblPr>
        <w:tblW w:w="2736"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7"/>
        <w:gridCol w:w="1686"/>
        <w:gridCol w:w="818"/>
        <w:gridCol w:w="1290"/>
      </w:tblGrid>
      <w:tr w:rsidR="00C22CBB" w:rsidRPr="00C22CBB" w:rsidTr="00C22CBB">
        <w:trPr>
          <w:trHeight w:val="70"/>
        </w:trPr>
        <w:tc>
          <w:tcPr>
            <w:tcW w:w="1237" w:type="pct"/>
            <w:shd w:val="pct10" w:color="auto" w:fill="FFFFFF" w:themeFill="background1"/>
            <w:noWrap/>
            <w:vAlign w:val="bottom"/>
            <w:hideMark/>
          </w:tcPr>
          <w:p w:rsidR="00C22CBB" w:rsidRPr="00C22CBB" w:rsidRDefault="00C22CBB" w:rsidP="00E8178C">
            <w:pPr>
              <w:rPr>
                <w:b/>
                <w:color w:val="000000"/>
                <w:sz w:val="20"/>
                <w:lang w:val="nl-BE" w:eastAsia="nl-BE"/>
              </w:rPr>
            </w:pPr>
            <w:r w:rsidRPr="00C22CBB">
              <w:rPr>
                <w:b/>
                <w:color w:val="000000"/>
                <w:sz w:val="20"/>
                <w:lang w:val="nl-BE" w:eastAsia="nl-BE"/>
              </w:rPr>
              <w:t>Jaar</w:t>
            </w:r>
          </w:p>
        </w:tc>
        <w:tc>
          <w:tcPr>
            <w:tcW w:w="1672" w:type="pct"/>
            <w:shd w:val="pct10" w:color="auto" w:fill="FFFFFF" w:themeFill="background1"/>
            <w:noWrap/>
            <w:vAlign w:val="bottom"/>
            <w:hideMark/>
          </w:tcPr>
          <w:p w:rsidR="00C22CBB" w:rsidRPr="00C22CBB" w:rsidRDefault="00C22CBB" w:rsidP="00E8178C">
            <w:pPr>
              <w:rPr>
                <w:b/>
                <w:color w:val="000000"/>
                <w:sz w:val="20"/>
                <w:lang w:val="nl-BE" w:eastAsia="nl-BE"/>
              </w:rPr>
            </w:pPr>
            <w:r w:rsidRPr="00C22CBB">
              <w:rPr>
                <w:b/>
                <w:color w:val="000000"/>
                <w:sz w:val="20"/>
                <w:lang w:val="nl-BE" w:eastAsia="nl-BE"/>
              </w:rPr>
              <w:t>Ontvangstdatum</w:t>
            </w:r>
          </w:p>
        </w:tc>
        <w:tc>
          <w:tcPr>
            <w:tcW w:w="811" w:type="pct"/>
            <w:shd w:val="pct10" w:color="auto" w:fill="FFFFFF" w:themeFill="background1"/>
            <w:noWrap/>
            <w:vAlign w:val="bottom"/>
            <w:hideMark/>
          </w:tcPr>
          <w:p w:rsidR="00C22CBB" w:rsidRPr="00C22CBB" w:rsidRDefault="00C22CBB" w:rsidP="00E8178C">
            <w:pPr>
              <w:jc w:val="right"/>
              <w:rPr>
                <w:b/>
                <w:color w:val="000000"/>
                <w:sz w:val="20"/>
                <w:lang w:val="nl-BE" w:eastAsia="nl-BE"/>
              </w:rPr>
            </w:pPr>
            <w:r w:rsidRPr="00C22CBB">
              <w:rPr>
                <w:b/>
                <w:color w:val="000000"/>
                <w:sz w:val="20"/>
                <w:lang w:val="nl-BE" w:eastAsia="nl-BE"/>
              </w:rPr>
              <w:t>Aantal</w:t>
            </w:r>
          </w:p>
        </w:tc>
        <w:tc>
          <w:tcPr>
            <w:tcW w:w="1280" w:type="pct"/>
            <w:shd w:val="pct10" w:color="auto" w:fill="FFFFFF" w:themeFill="background1"/>
            <w:noWrap/>
            <w:vAlign w:val="bottom"/>
            <w:hideMark/>
          </w:tcPr>
          <w:p w:rsidR="00C22CBB" w:rsidRPr="00C22CBB" w:rsidRDefault="00C22CBB" w:rsidP="00E8178C">
            <w:pPr>
              <w:jc w:val="right"/>
              <w:rPr>
                <w:b/>
                <w:color w:val="000000"/>
                <w:sz w:val="20"/>
                <w:lang w:val="nl-BE" w:eastAsia="nl-BE"/>
              </w:rPr>
            </w:pPr>
            <w:r w:rsidRPr="00C22CBB">
              <w:rPr>
                <w:b/>
                <w:color w:val="000000"/>
                <w:sz w:val="20"/>
                <w:lang w:val="nl-BE" w:eastAsia="nl-BE"/>
              </w:rPr>
              <w:t>Bedrag</w:t>
            </w:r>
          </w:p>
        </w:tc>
      </w:tr>
      <w:tr w:rsidR="00C22CBB" w:rsidRPr="00C22CBB" w:rsidTr="00C22CBB">
        <w:trPr>
          <w:trHeight w:val="70"/>
        </w:trPr>
        <w:tc>
          <w:tcPr>
            <w:tcW w:w="1237" w:type="pct"/>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2011</w:t>
            </w:r>
          </w:p>
        </w:tc>
        <w:tc>
          <w:tcPr>
            <w:tcW w:w="1672" w:type="pct"/>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feb</w:t>
            </w:r>
          </w:p>
        </w:tc>
        <w:tc>
          <w:tcPr>
            <w:tcW w:w="811" w:type="pct"/>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1</w:t>
            </w:r>
          </w:p>
        </w:tc>
        <w:tc>
          <w:tcPr>
            <w:tcW w:w="1280" w:type="pct"/>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€ 17.000,00</w:t>
            </w:r>
          </w:p>
        </w:tc>
      </w:tr>
      <w:tr w:rsidR="00C22CBB" w:rsidRPr="00C22CBB" w:rsidTr="00C22CBB">
        <w:trPr>
          <w:trHeight w:val="70"/>
        </w:trPr>
        <w:tc>
          <w:tcPr>
            <w:tcW w:w="1237" w:type="pct"/>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 </w:t>
            </w:r>
          </w:p>
        </w:tc>
        <w:tc>
          <w:tcPr>
            <w:tcW w:w="1672" w:type="pct"/>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mrt</w:t>
            </w:r>
          </w:p>
        </w:tc>
        <w:tc>
          <w:tcPr>
            <w:tcW w:w="811" w:type="pct"/>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2</w:t>
            </w:r>
          </w:p>
        </w:tc>
        <w:tc>
          <w:tcPr>
            <w:tcW w:w="1280" w:type="pct"/>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€ 65.000,00</w:t>
            </w:r>
          </w:p>
        </w:tc>
      </w:tr>
      <w:tr w:rsidR="00C22CBB" w:rsidRPr="00C22CBB" w:rsidTr="00C22CBB">
        <w:trPr>
          <w:trHeight w:val="70"/>
        </w:trPr>
        <w:tc>
          <w:tcPr>
            <w:tcW w:w="1237" w:type="pct"/>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 </w:t>
            </w:r>
          </w:p>
        </w:tc>
        <w:tc>
          <w:tcPr>
            <w:tcW w:w="1672" w:type="pct"/>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apr</w:t>
            </w:r>
          </w:p>
        </w:tc>
        <w:tc>
          <w:tcPr>
            <w:tcW w:w="811" w:type="pct"/>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4</w:t>
            </w:r>
          </w:p>
        </w:tc>
        <w:tc>
          <w:tcPr>
            <w:tcW w:w="1280" w:type="pct"/>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€ 67.500,00</w:t>
            </w:r>
          </w:p>
        </w:tc>
      </w:tr>
      <w:tr w:rsidR="00C22CBB" w:rsidRPr="00C22CBB" w:rsidTr="00C22CBB">
        <w:trPr>
          <w:trHeight w:val="70"/>
        </w:trPr>
        <w:tc>
          <w:tcPr>
            <w:tcW w:w="1237" w:type="pct"/>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 </w:t>
            </w:r>
          </w:p>
        </w:tc>
        <w:tc>
          <w:tcPr>
            <w:tcW w:w="1672" w:type="pct"/>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mei</w:t>
            </w:r>
          </w:p>
        </w:tc>
        <w:tc>
          <w:tcPr>
            <w:tcW w:w="811" w:type="pct"/>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3</w:t>
            </w:r>
          </w:p>
        </w:tc>
        <w:tc>
          <w:tcPr>
            <w:tcW w:w="1280" w:type="pct"/>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€ 22.000,00</w:t>
            </w:r>
          </w:p>
        </w:tc>
      </w:tr>
      <w:tr w:rsidR="00C22CBB" w:rsidRPr="00C22CBB" w:rsidTr="00C22CBB">
        <w:trPr>
          <w:trHeight w:val="70"/>
        </w:trPr>
        <w:tc>
          <w:tcPr>
            <w:tcW w:w="1237" w:type="pct"/>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 </w:t>
            </w:r>
          </w:p>
        </w:tc>
        <w:tc>
          <w:tcPr>
            <w:tcW w:w="1672" w:type="pct"/>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jun</w:t>
            </w:r>
          </w:p>
        </w:tc>
        <w:tc>
          <w:tcPr>
            <w:tcW w:w="811" w:type="pct"/>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2</w:t>
            </w:r>
          </w:p>
        </w:tc>
        <w:tc>
          <w:tcPr>
            <w:tcW w:w="1280" w:type="pct"/>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€ 46.800,00</w:t>
            </w:r>
          </w:p>
        </w:tc>
      </w:tr>
      <w:tr w:rsidR="00C22CBB" w:rsidRPr="00C22CBB" w:rsidTr="00C22CBB">
        <w:trPr>
          <w:trHeight w:val="70"/>
        </w:trPr>
        <w:tc>
          <w:tcPr>
            <w:tcW w:w="1237" w:type="pct"/>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 </w:t>
            </w:r>
          </w:p>
        </w:tc>
        <w:tc>
          <w:tcPr>
            <w:tcW w:w="1672" w:type="pct"/>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jul</w:t>
            </w:r>
          </w:p>
        </w:tc>
        <w:tc>
          <w:tcPr>
            <w:tcW w:w="811" w:type="pct"/>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4</w:t>
            </w:r>
          </w:p>
        </w:tc>
        <w:tc>
          <w:tcPr>
            <w:tcW w:w="1280" w:type="pct"/>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€ 127.000,00</w:t>
            </w:r>
          </w:p>
        </w:tc>
      </w:tr>
      <w:tr w:rsidR="00C22CBB" w:rsidRPr="00C22CBB" w:rsidTr="00C22CBB">
        <w:trPr>
          <w:trHeight w:val="70"/>
        </w:trPr>
        <w:tc>
          <w:tcPr>
            <w:tcW w:w="1237" w:type="pct"/>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 </w:t>
            </w:r>
          </w:p>
        </w:tc>
        <w:tc>
          <w:tcPr>
            <w:tcW w:w="1672" w:type="pct"/>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aug</w:t>
            </w:r>
          </w:p>
        </w:tc>
        <w:tc>
          <w:tcPr>
            <w:tcW w:w="811" w:type="pct"/>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1</w:t>
            </w:r>
          </w:p>
        </w:tc>
        <w:tc>
          <w:tcPr>
            <w:tcW w:w="1280" w:type="pct"/>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€ 13.225,00</w:t>
            </w:r>
          </w:p>
        </w:tc>
      </w:tr>
      <w:tr w:rsidR="00C22CBB" w:rsidRPr="00C22CBB" w:rsidTr="00C22CBB">
        <w:trPr>
          <w:trHeight w:val="70"/>
        </w:trPr>
        <w:tc>
          <w:tcPr>
            <w:tcW w:w="1237" w:type="pct"/>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 </w:t>
            </w:r>
          </w:p>
        </w:tc>
        <w:tc>
          <w:tcPr>
            <w:tcW w:w="1672" w:type="pct"/>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sep</w:t>
            </w:r>
          </w:p>
        </w:tc>
        <w:tc>
          <w:tcPr>
            <w:tcW w:w="811" w:type="pct"/>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1</w:t>
            </w:r>
          </w:p>
        </w:tc>
        <w:tc>
          <w:tcPr>
            <w:tcW w:w="1280" w:type="pct"/>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€ 20.000,00</w:t>
            </w:r>
          </w:p>
        </w:tc>
      </w:tr>
      <w:tr w:rsidR="00C22CBB" w:rsidRPr="00C22CBB" w:rsidTr="00C22CBB">
        <w:trPr>
          <w:trHeight w:val="70"/>
        </w:trPr>
        <w:tc>
          <w:tcPr>
            <w:tcW w:w="1237" w:type="pct"/>
            <w:tcBorders>
              <w:bottom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 </w:t>
            </w:r>
          </w:p>
        </w:tc>
        <w:tc>
          <w:tcPr>
            <w:tcW w:w="1672" w:type="pct"/>
            <w:tcBorders>
              <w:bottom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okt</w:t>
            </w:r>
          </w:p>
        </w:tc>
        <w:tc>
          <w:tcPr>
            <w:tcW w:w="811" w:type="pct"/>
            <w:tcBorders>
              <w:bottom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1</w:t>
            </w:r>
          </w:p>
        </w:tc>
        <w:tc>
          <w:tcPr>
            <w:tcW w:w="1280" w:type="pct"/>
            <w:tcBorders>
              <w:bottom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€ 3.000,00</w:t>
            </w:r>
          </w:p>
        </w:tc>
      </w:tr>
      <w:tr w:rsidR="00C22CBB" w:rsidRPr="00C22CBB" w:rsidTr="00C22CBB">
        <w:trPr>
          <w:trHeight w:val="70"/>
        </w:trPr>
        <w:tc>
          <w:tcPr>
            <w:tcW w:w="1237" w:type="pct"/>
            <w:shd w:val="pct10" w:color="auto" w:fill="FFFFFF" w:themeFill="background1"/>
            <w:noWrap/>
            <w:vAlign w:val="bottom"/>
            <w:hideMark/>
          </w:tcPr>
          <w:p w:rsidR="00C22CBB" w:rsidRPr="00C22CBB" w:rsidRDefault="00C22CBB" w:rsidP="00E8178C">
            <w:pPr>
              <w:rPr>
                <w:b/>
                <w:color w:val="000000"/>
                <w:sz w:val="20"/>
                <w:lang w:val="nl-BE" w:eastAsia="nl-BE"/>
              </w:rPr>
            </w:pPr>
            <w:r w:rsidRPr="00C22CBB">
              <w:rPr>
                <w:b/>
                <w:color w:val="000000"/>
                <w:sz w:val="20"/>
                <w:lang w:val="nl-BE" w:eastAsia="nl-BE"/>
              </w:rPr>
              <w:t>Totaal 2011</w:t>
            </w:r>
          </w:p>
        </w:tc>
        <w:tc>
          <w:tcPr>
            <w:tcW w:w="1672" w:type="pct"/>
            <w:shd w:val="pct10" w:color="auto" w:fill="FFFFFF" w:themeFill="background1"/>
            <w:noWrap/>
            <w:vAlign w:val="bottom"/>
            <w:hideMark/>
          </w:tcPr>
          <w:p w:rsidR="00C22CBB" w:rsidRPr="00C22CBB" w:rsidRDefault="00C22CBB" w:rsidP="00E8178C">
            <w:pPr>
              <w:rPr>
                <w:b/>
                <w:color w:val="000000"/>
                <w:sz w:val="20"/>
                <w:lang w:val="nl-BE" w:eastAsia="nl-BE"/>
              </w:rPr>
            </w:pPr>
            <w:r w:rsidRPr="00C22CBB">
              <w:rPr>
                <w:b/>
                <w:color w:val="000000"/>
                <w:sz w:val="20"/>
                <w:lang w:val="nl-BE" w:eastAsia="nl-BE"/>
              </w:rPr>
              <w:t> </w:t>
            </w:r>
          </w:p>
        </w:tc>
        <w:tc>
          <w:tcPr>
            <w:tcW w:w="811" w:type="pct"/>
            <w:shd w:val="pct10" w:color="auto" w:fill="FFFFFF" w:themeFill="background1"/>
            <w:noWrap/>
            <w:vAlign w:val="bottom"/>
            <w:hideMark/>
          </w:tcPr>
          <w:p w:rsidR="00C22CBB" w:rsidRPr="00C22CBB" w:rsidRDefault="00C22CBB" w:rsidP="00E8178C">
            <w:pPr>
              <w:jc w:val="right"/>
              <w:rPr>
                <w:b/>
                <w:color w:val="000000"/>
                <w:sz w:val="20"/>
                <w:lang w:val="nl-BE" w:eastAsia="nl-BE"/>
              </w:rPr>
            </w:pPr>
            <w:r w:rsidRPr="00C22CBB">
              <w:rPr>
                <w:b/>
                <w:color w:val="000000"/>
                <w:sz w:val="20"/>
                <w:lang w:val="nl-BE" w:eastAsia="nl-BE"/>
              </w:rPr>
              <w:t>19</w:t>
            </w:r>
          </w:p>
        </w:tc>
        <w:tc>
          <w:tcPr>
            <w:tcW w:w="1280" w:type="pct"/>
            <w:shd w:val="pct10" w:color="auto" w:fill="FFFFFF" w:themeFill="background1"/>
            <w:noWrap/>
            <w:vAlign w:val="bottom"/>
            <w:hideMark/>
          </w:tcPr>
          <w:p w:rsidR="00C22CBB" w:rsidRPr="00C22CBB" w:rsidRDefault="00C22CBB" w:rsidP="00E8178C">
            <w:pPr>
              <w:jc w:val="right"/>
              <w:rPr>
                <w:b/>
                <w:color w:val="000000"/>
                <w:sz w:val="20"/>
                <w:lang w:val="nl-BE" w:eastAsia="nl-BE"/>
              </w:rPr>
            </w:pPr>
            <w:r w:rsidRPr="00C22CBB">
              <w:rPr>
                <w:b/>
                <w:color w:val="000000"/>
                <w:sz w:val="20"/>
                <w:lang w:val="nl-BE" w:eastAsia="nl-BE"/>
              </w:rPr>
              <w:t>€ 381.525,00</w:t>
            </w:r>
          </w:p>
        </w:tc>
      </w:tr>
      <w:tr w:rsidR="00C22CBB" w:rsidRPr="00C22CBB" w:rsidTr="00C22CBB">
        <w:trPr>
          <w:trHeight w:val="70"/>
        </w:trPr>
        <w:tc>
          <w:tcPr>
            <w:tcW w:w="1237" w:type="pct"/>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2012</w:t>
            </w:r>
          </w:p>
        </w:tc>
        <w:tc>
          <w:tcPr>
            <w:tcW w:w="1672" w:type="pct"/>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jan</w:t>
            </w:r>
          </w:p>
        </w:tc>
        <w:tc>
          <w:tcPr>
            <w:tcW w:w="811" w:type="pct"/>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1</w:t>
            </w:r>
          </w:p>
        </w:tc>
        <w:tc>
          <w:tcPr>
            <w:tcW w:w="1280" w:type="pct"/>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€ 35.000,00</w:t>
            </w:r>
          </w:p>
        </w:tc>
      </w:tr>
      <w:tr w:rsidR="00C22CBB" w:rsidRPr="00C22CBB" w:rsidTr="00C22CBB">
        <w:trPr>
          <w:trHeight w:val="70"/>
        </w:trPr>
        <w:tc>
          <w:tcPr>
            <w:tcW w:w="1237" w:type="pct"/>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 </w:t>
            </w:r>
          </w:p>
        </w:tc>
        <w:tc>
          <w:tcPr>
            <w:tcW w:w="1672" w:type="pct"/>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feb</w:t>
            </w:r>
          </w:p>
        </w:tc>
        <w:tc>
          <w:tcPr>
            <w:tcW w:w="811" w:type="pct"/>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1</w:t>
            </w:r>
          </w:p>
        </w:tc>
        <w:tc>
          <w:tcPr>
            <w:tcW w:w="1280" w:type="pct"/>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€ 8.259,22</w:t>
            </w:r>
          </w:p>
        </w:tc>
      </w:tr>
      <w:tr w:rsidR="00C22CBB" w:rsidRPr="00C22CBB" w:rsidTr="00C22CBB">
        <w:trPr>
          <w:trHeight w:val="70"/>
        </w:trPr>
        <w:tc>
          <w:tcPr>
            <w:tcW w:w="1237" w:type="pct"/>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 </w:t>
            </w:r>
          </w:p>
        </w:tc>
        <w:tc>
          <w:tcPr>
            <w:tcW w:w="1672" w:type="pct"/>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mrt</w:t>
            </w:r>
          </w:p>
        </w:tc>
        <w:tc>
          <w:tcPr>
            <w:tcW w:w="811" w:type="pct"/>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1</w:t>
            </w:r>
          </w:p>
        </w:tc>
        <w:tc>
          <w:tcPr>
            <w:tcW w:w="1280" w:type="pct"/>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€ 12.333,33</w:t>
            </w:r>
          </w:p>
        </w:tc>
      </w:tr>
      <w:tr w:rsidR="00C22CBB" w:rsidRPr="00C22CBB" w:rsidTr="00C22CBB">
        <w:trPr>
          <w:trHeight w:val="70"/>
        </w:trPr>
        <w:tc>
          <w:tcPr>
            <w:tcW w:w="1237" w:type="pct"/>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 </w:t>
            </w:r>
          </w:p>
        </w:tc>
        <w:tc>
          <w:tcPr>
            <w:tcW w:w="1672" w:type="pct"/>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apr</w:t>
            </w:r>
          </w:p>
        </w:tc>
        <w:tc>
          <w:tcPr>
            <w:tcW w:w="811" w:type="pct"/>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1</w:t>
            </w:r>
          </w:p>
        </w:tc>
        <w:tc>
          <w:tcPr>
            <w:tcW w:w="1280" w:type="pct"/>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€ 10.000,00</w:t>
            </w:r>
          </w:p>
        </w:tc>
      </w:tr>
      <w:tr w:rsidR="00C22CBB" w:rsidRPr="00C22CBB" w:rsidTr="00C22CBB">
        <w:trPr>
          <w:trHeight w:val="70"/>
        </w:trPr>
        <w:tc>
          <w:tcPr>
            <w:tcW w:w="1237" w:type="pct"/>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 </w:t>
            </w:r>
          </w:p>
        </w:tc>
        <w:tc>
          <w:tcPr>
            <w:tcW w:w="1672" w:type="pct"/>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jun</w:t>
            </w:r>
          </w:p>
        </w:tc>
        <w:tc>
          <w:tcPr>
            <w:tcW w:w="811" w:type="pct"/>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8</w:t>
            </w:r>
          </w:p>
        </w:tc>
        <w:tc>
          <w:tcPr>
            <w:tcW w:w="1280" w:type="pct"/>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€ 223.000,00</w:t>
            </w:r>
          </w:p>
        </w:tc>
      </w:tr>
      <w:tr w:rsidR="00C22CBB" w:rsidRPr="00C22CBB" w:rsidTr="00C22CBB">
        <w:trPr>
          <w:trHeight w:val="70"/>
        </w:trPr>
        <w:tc>
          <w:tcPr>
            <w:tcW w:w="1237" w:type="pct"/>
            <w:tcBorders>
              <w:bottom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 </w:t>
            </w:r>
          </w:p>
        </w:tc>
        <w:tc>
          <w:tcPr>
            <w:tcW w:w="1672" w:type="pct"/>
            <w:tcBorders>
              <w:bottom w:val="single" w:sz="4" w:space="0" w:color="auto"/>
            </w:tcBorders>
            <w:shd w:val="clear" w:color="auto" w:fill="auto"/>
            <w:noWrap/>
            <w:vAlign w:val="bottom"/>
            <w:hideMark/>
          </w:tcPr>
          <w:p w:rsidR="00C22CBB" w:rsidRPr="00C22CBB" w:rsidRDefault="00C22CBB" w:rsidP="00E8178C">
            <w:pPr>
              <w:rPr>
                <w:color w:val="000000"/>
                <w:sz w:val="20"/>
                <w:lang w:val="nl-BE" w:eastAsia="nl-BE"/>
              </w:rPr>
            </w:pPr>
            <w:r w:rsidRPr="00C22CBB">
              <w:rPr>
                <w:color w:val="000000"/>
                <w:sz w:val="20"/>
                <w:lang w:val="nl-BE" w:eastAsia="nl-BE"/>
              </w:rPr>
              <w:t>dec</w:t>
            </w:r>
          </w:p>
        </w:tc>
        <w:tc>
          <w:tcPr>
            <w:tcW w:w="811" w:type="pct"/>
            <w:tcBorders>
              <w:bottom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1</w:t>
            </w:r>
          </w:p>
        </w:tc>
        <w:tc>
          <w:tcPr>
            <w:tcW w:w="1280" w:type="pct"/>
            <w:tcBorders>
              <w:bottom w:val="single" w:sz="4" w:space="0" w:color="auto"/>
            </w:tcBorders>
            <w:shd w:val="clear" w:color="auto" w:fill="auto"/>
            <w:noWrap/>
            <w:vAlign w:val="bottom"/>
            <w:hideMark/>
          </w:tcPr>
          <w:p w:rsidR="00C22CBB" w:rsidRPr="00C22CBB" w:rsidRDefault="00C22CBB" w:rsidP="00E8178C">
            <w:pPr>
              <w:jc w:val="right"/>
              <w:rPr>
                <w:color w:val="000000"/>
                <w:sz w:val="20"/>
                <w:lang w:val="nl-BE" w:eastAsia="nl-BE"/>
              </w:rPr>
            </w:pPr>
            <w:r w:rsidRPr="00C22CBB">
              <w:rPr>
                <w:color w:val="000000"/>
                <w:sz w:val="20"/>
                <w:lang w:val="nl-BE" w:eastAsia="nl-BE"/>
              </w:rPr>
              <w:t>€ 22.651,20</w:t>
            </w:r>
          </w:p>
        </w:tc>
      </w:tr>
      <w:tr w:rsidR="00C22CBB" w:rsidRPr="00C22CBB" w:rsidTr="00C22CBB">
        <w:trPr>
          <w:trHeight w:val="70"/>
        </w:trPr>
        <w:tc>
          <w:tcPr>
            <w:tcW w:w="1237" w:type="pct"/>
            <w:shd w:val="pct10" w:color="auto" w:fill="FFFFFF" w:themeFill="background1"/>
            <w:noWrap/>
            <w:vAlign w:val="bottom"/>
            <w:hideMark/>
          </w:tcPr>
          <w:p w:rsidR="00C22CBB" w:rsidRPr="00C22CBB" w:rsidRDefault="00C22CBB" w:rsidP="00E8178C">
            <w:pPr>
              <w:rPr>
                <w:b/>
                <w:color w:val="000000"/>
                <w:sz w:val="20"/>
                <w:lang w:val="nl-BE" w:eastAsia="nl-BE"/>
              </w:rPr>
            </w:pPr>
            <w:r w:rsidRPr="00C22CBB">
              <w:rPr>
                <w:b/>
                <w:color w:val="000000"/>
                <w:sz w:val="20"/>
                <w:lang w:val="nl-BE" w:eastAsia="nl-BE"/>
              </w:rPr>
              <w:t>Totaal 2012</w:t>
            </w:r>
          </w:p>
        </w:tc>
        <w:tc>
          <w:tcPr>
            <w:tcW w:w="1672" w:type="pct"/>
            <w:shd w:val="pct10" w:color="auto" w:fill="FFFFFF" w:themeFill="background1"/>
            <w:noWrap/>
            <w:vAlign w:val="bottom"/>
            <w:hideMark/>
          </w:tcPr>
          <w:p w:rsidR="00C22CBB" w:rsidRPr="00C22CBB" w:rsidRDefault="00C22CBB" w:rsidP="00E8178C">
            <w:pPr>
              <w:rPr>
                <w:b/>
                <w:color w:val="000000"/>
                <w:sz w:val="20"/>
                <w:lang w:val="nl-BE" w:eastAsia="nl-BE"/>
              </w:rPr>
            </w:pPr>
            <w:r w:rsidRPr="00C22CBB">
              <w:rPr>
                <w:b/>
                <w:color w:val="000000"/>
                <w:sz w:val="20"/>
                <w:lang w:val="nl-BE" w:eastAsia="nl-BE"/>
              </w:rPr>
              <w:t> </w:t>
            </w:r>
          </w:p>
        </w:tc>
        <w:tc>
          <w:tcPr>
            <w:tcW w:w="811" w:type="pct"/>
            <w:shd w:val="pct10" w:color="auto" w:fill="FFFFFF" w:themeFill="background1"/>
            <w:noWrap/>
            <w:vAlign w:val="bottom"/>
            <w:hideMark/>
          </w:tcPr>
          <w:p w:rsidR="00C22CBB" w:rsidRPr="00C22CBB" w:rsidRDefault="00C22CBB" w:rsidP="00E8178C">
            <w:pPr>
              <w:jc w:val="right"/>
              <w:rPr>
                <w:b/>
                <w:color w:val="000000"/>
                <w:sz w:val="20"/>
                <w:lang w:val="nl-BE" w:eastAsia="nl-BE"/>
              </w:rPr>
            </w:pPr>
            <w:r w:rsidRPr="00C22CBB">
              <w:rPr>
                <w:b/>
                <w:color w:val="000000"/>
                <w:sz w:val="20"/>
                <w:lang w:val="nl-BE" w:eastAsia="nl-BE"/>
              </w:rPr>
              <w:t>13</w:t>
            </w:r>
          </w:p>
        </w:tc>
        <w:tc>
          <w:tcPr>
            <w:tcW w:w="1280" w:type="pct"/>
            <w:shd w:val="pct10" w:color="auto" w:fill="FFFFFF" w:themeFill="background1"/>
            <w:noWrap/>
            <w:vAlign w:val="bottom"/>
            <w:hideMark/>
          </w:tcPr>
          <w:p w:rsidR="00C22CBB" w:rsidRPr="00C22CBB" w:rsidRDefault="00C22CBB" w:rsidP="00E8178C">
            <w:pPr>
              <w:jc w:val="right"/>
              <w:rPr>
                <w:b/>
                <w:color w:val="000000"/>
                <w:sz w:val="20"/>
                <w:lang w:val="nl-BE" w:eastAsia="nl-BE"/>
              </w:rPr>
            </w:pPr>
            <w:r w:rsidRPr="00C22CBB">
              <w:rPr>
                <w:b/>
                <w:color w:val="000000"/>
                <w:sz w:val="20"/>
                <w:lang w:val="nl-BE" w:eastAsia="nl-BE"/>
              </w:rPr>
              <w:t>€ 311.243,75</w:t>
            </w:r>
          </w:p>
        </w:tc>
      </w:tr>
    </w:tbl>
    <w:p w:rsidR="00C22CBB" w:rsidRDefault="00C22CBB" w:rsidP="00C22CBB">
      <w:pPr>
        <w:pStyle w:val="StandaardSV"/>
        <w:ind w:left="705" w:hanging="345"/>
      </w:pPr>
    </w:p>
    <w:p w:rsidR="00C22CBB" w:rsidRDefault="00C22CBB" w:rsidP="00C22CBB">
      <w:pPr>
        <w:pStyle w:val="StandaardSV"/>
        <w:ind w:left="705" w:hanging="345"/>
      </w:pPr>
      <w:r>
        <w:t>Opdeling geweigerde Winwinleningen per provincie (op jaarbasis)</w:t>
      </w:r>
      <w:r w:rsidR="00CB46C2">
        <w:t>:</w:t>
      </w:r>
    </w:p>
    <w:p w:rsidR="00C22CBB" w:rsidRDefault="00C22CBB" w:rsidP="00C22CBB">
      <w:pPr>
        <w:pStyle w:val="StandaardSV"/>
        <w:ind w:left="705" w:hanging="345"/>
      </w:pPr>
    </w:p>
    <w:tbl>
      <w:tblPr>
        <w:tblW w:w="2720" w:type="pct"/>
        <w:tblInd w:w="496" w:type="dxa"/>
        <w:tblCellMar>
          <w:left w:w="70" w:type="dxa"/>
          <w:right w:w="70" w:type="dxa"/>
        </w:tblCellMar>
        <w:tblLook w:val="04A0" w:firstRow="1" w:lastRow="0" w:firstColumn="1" w:lastColumn="0" w:noHBand="0" w:noVBand="1"/>
      </w:tblPr>
      <w:tblGrid>
        <w:gridCol w:w="1246"/>
        <w:gridCol w:w="1658"/>
        <w:gridCol w:w="817"/>
        <w:gridCol w:w="1290"/>
      </w:tblGrid>
      <w:tr w:rsidR="00CB46C2" w:rsidRPr="00CB46C2" w:rsidTr="00CB46C2">
        <w:trPr>
          <w:trHeight w:val="70"/>
        </w:trPr>
        <w:tc>
          <w:tcPr>
            <w:tcW w:w="1244" w:type="pct"/>
            <w:tcBorders>
              <w:top w:val="single" w:sz="4" w:space="0" w:color="auto"/>
              <w:left w:val="single" w:sz="4" w:space="0" w:color="auto"/>
              <w:bottom w:val="single" w:sz="4" w:space="0" w:color="auto"/>
              <w:right w:val="single" w:sz="4" w:space="0" w:color="auto"/>
            </w:tcBorders>
            <w:shd w:val="pct10" w:color="auto" w:fill="FFFFFF" w:themeFill="background1"/>
            <w:noWrap/>
            <w:vAlign w:val="bottom"/>
            <w:hideMark/>
          </w:tcPr>
          <w:p w:rsidR="00CB46C2" w:rsidRPr="00CB46C2" w:rsidRDefault="00CB46C2" w:rsidP="00E8178C">
            <w:pPr>
              <w:rPr>
                <w:b/>
                <w:color w:val="000000"/>
                <w:sz w:val="20"/>
                <w:lang w:val="nl-BE" w:eastAsia="nl-BE"/>
              </w:rPr>
            </w:pPr>
            <w:r w:rsidRPr="00CB46C2">
              <w:rPr>
                <w:b/>
                <w:color w:val="000000"/>
                <w:sz w:val="20"/>
                <w:lang w:val="nl-BE" w:eastAsia="nl-BE"/>
              </w:rPr>
              <w:t>Jaar</w:t>
            </w:r>
          </w:p>
        </w:tc>
        <w:tc>
          <w:tcPr>
            <w:tcW w:w="1654" w:type="pct"/>
            <w:tcBorders>
              <w:top w:val="single" w:sz="4" w:space="0" w:color="auto"/>
              <w:left w:val="single" w:sz="4" w:space="0" w:color="auto"/>
              <w:bottom w:val="single" w:sz="4" w:space="0" w:color="auto"/>
              <w:right w:val="single" w:sz="4" w:space="0" w:color="auto"/>
            </w:tcBorders>
            <w:shd w:val="pct10" w:color="auto" w:fill="FFFFFF" w:themeFill="background1"/>
            <w:noWrap/>
            <w:vAlign w:val="bottom"/>
            <w:hideMark/>
          </w:tcPr>
          <w:p w:rsidR="00CB46C2" w:rsidRPr="00CB46C2" w:rsidRDefault="00CB46C2" w:rsidP="00E8178C">
            <w:pPr>
              <w:rPr>
                <w:b/>
                <w:color w:val="000000"/>
                <w:sz w:val="20"/>
                <w:lang w:val="nl-BE" w:eastAsia="nl-BE"/>
              </w:rPr>
            </w:pPr>
            <w:r w:rsidRPr="00CB46C2">
              <w:rPr>
                <w:b/>
                <w:color w:val="000000"/>
                <w:sz w:val="20"/>
                <w:lang w:val="nl-BE" w:eastAsia="nl-BE"/>
              </w:rPr>
              <w:t>Provincie</w:t>
            </w:r>
          </w:p>
        </w:tc>
        <w:tc>
          <w:tcPr>
            <w:tcW w:w="815" w:type="pct"/>
            <w:tcBorders>
              <w:top w:val="single" w:sz="4" w:space="0" w:color="auto"/>
              <w:left w:val="single" w:sz="4" w:space="0" w:color="auto"/>
              <w:bottom w:val="single" w:sz="4" w:space="0" w:color="auto"/>
              <w:right w:val="single" w:sz="4" w:space="0" w:color="auto"/>
            </w:tcBorders>
            <w:shd w:val="pct10" w:color="auto" w:fill="FFFFFF" w:themeFill="background1"/>
            <w:noWrap/>
            <w:vAlign w:val="bottom"/>
            <w:hideMark/>
          </w:tcPr>
          <w:p w:rsidR="00CB46C2" w:rsidRPr="00CB46C2" w:rsidRDefault="00CB46C2" w:rsidP="00E8178C">
            <w:pPr>
              <w:jc w:val="right"/>
              <w:rPr>
                <w:b/>
                <w:color w:val="000000"/>
                <w:sz w:val="20"/>
                <w:lang w:val="nl-BE" w:eastAsia="nl-BE"/>
              </w:rPr>
            </w:pPr>
            <w:r w:rsidRPr="00CB46C2">
              <w:rPr>
                <w:b/>
                <w:color w:val="000000"/>
                <w:sz w:val="20"/>
                <w:lang w:val="nl-BE" w:eastAsia="nl-BE"/>
              </w:rPr>
              <w:t>Aantal</w:t>
            </w:r>
          </w:p>
        </w:tc>
        <w:tc>
          <w:tcPr>
            <w:tcW w:w="1287" w:type="pct"/>
            <w:tcBorders>
              <w:top w:val="single" w:sz="4" w:space="0" w:color="auto"/>
              <w:left w:val="single" w:sz="4" w:space="0" w:color="auto"/>
              <w:bottom w:val="single" w:sz="4" w:space="0" w:color="auto"/>
              <w:right w:val="single" w:sz="4" w:space="0" w:color="auto"/>
            </w:tcBorders>
            <w:shd w:val="pct10" w:color="auto" w:fill="FFFFFF" w:themeFill="background1"/>
            <w:noWrap/>
            <w:vAlign w:val="bottom"/>
            <w:hideMark/>
          </w:tcPr>
          <w:p w:rsidR="00CB46C2" w:rsidRPr="00CB46C2" w:rsidRDefault="00CB46C2" w:rsidP="00E8178C">
            <w:pPr>
              <w:jc w:val="right"/>
              <w:rPr>
                <w:b/>
                <w:color w:val="000000"/>
                <w:sz w:val="20"/>
                <w:lang w:val="nl-BE" w:eastAsia="nl-BE"/>
              </w:rPr>
            </w:pPr>
            <w:r w:rsidRPr="00CB46C2">
              <w:rPr>
                <w:b/>
                <w:color w:val="000000"/>
                <w:sz w:val="20"/>
                <w:lang w:val="nl-BE" w:eastAsia="nl-BE"/>
              </w:rPr>
              <w:t>Bedrag</w:t>
            </w:r>
          </w:p>
        </w:tc>
      </w:tr>
      <w:tr w:rsidR="00CB46C2" w:rsidRPr="00CB46C2" w:rsidTr="00CB46C2">
        <w:trPr>
          <w:trHeight w:val="70"/>
        </w:trPr>
        <w:tc>
          <w:tcPr>
            <w:tcW w:w="1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rPr>
                <w:color w:val="000000"/>
                <w:sz w:val="20"/>
                <w:lang w:val="nl-BE" w:eastAsia="nl-BE"/>
              </w:rPr>
            </w:pPr>
            <w:r w:rsidRPr="00CB46C2">
              <w:rPr>
                <w:color w:val="000000"/>
                <w:sz w:val="20"/>
                <w:lang w:val="nl-BE" w:eastAsia="nl-BE"/>
              </w:rPr>
              <w:t>2011</w:t>
            </w:r>
          </w:p>
        </w:tc>
        <w:tc>
          <w:tcPr>
            <w:tcW w:w="16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rPr>
                <w:color w:val="000000"/>
                <w:sz w:val="20"/>
                <w:lang w:val="nl-BE" w:eastAsia="nl-BE"/>
              </w:rPr>
            </w:pPr>
            <w:r w:rsidRPr="00CB46C2">
              <w:rPr>
                <w:color w:val="000000"/>
                <w:sz w:val="20"/>
                <w:lang w:val="nl-BE" w:eastAsia="nl-BE"/>
              </w:rPr>
              <w:t>Antwerpen</w:t>
            </w:r>
          </w:p>
        </w:tc>
        <w:tc>
          <w:tcPr>
            <w:tcW w:w="8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jc w:val="right"/>
              <w:rPr>
                <w:color w:val="000000"/>
                <w:sz w:val="20"/>
                <w:lang w:val="nl-BE" w:eastAsia="nl-BE"/>
              </w:rPr>
            </w:pPr>
            <w:r w:rsidRPr="00CB46C2">
              <w:rPr>
                <w:color w:val="000000"/>
                <w:sz w:val="20"/>
                <w:lang w:val="nl-BE" w:eastAsia="nl-BE"/>
              </w:rPr>
              <w:t>6</w:t>
            </w:r>
          </w:p>
        </w:tc>
        <w:tc>
          <w:tcPr>
            <w:tcW w:w="1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jc w:val="right"/>
              <w:rPr>
                <w:color w:val="000000"/>
                <w:sz w:val="20"/>
                <w:lang w:val="nl-BE" w:eastAsia="nl-BE"/>
              </w:rPr>
            </w:pPr>
            <w:r w:rsidRPr="00CB46C2">
              <w:rPr>
                <w:color w:val="000000"/>
                <w:sz w:val="20"/>
                <w:lang w:val="nl-BE" w:eastAsia="nl-BE"/>
              </w:rPr>
              <w:t>€ 105.725,00</w:t>
            </w:r>
          </w:p>
        </w:tc>
      </w:tr>
      <w:tr w:rsidR="00CB46C2" w:rsidRPr="00CB46C2" w:rsidTr="00CB46C2">
        <w:trPr>
          <w:trHeight w:val="70"/>
        </w:trPr>
        <w:tc>
          <w:tcPr>
            <w:tcW w:w="1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rPr>
                <w:color w:val="000000"/>
                <w:sz w:val="20"/>
                <w:lang w:val="nl-BE" w:eastAsia="nl-BE"/>
              </w:rPr>
            </w:pPr>
            <w:r w:rsidRPr="00CB46C2">
              <w:rPr>
                <w:color w:val="000000"/>
                <w:sz w:val="20"/>
                <w:lang w:val="nl-BE" w:eastAsia="nl-BE"/>
              </w:rPr>
              <w:t> </w:t>
            </w:r>
          </w:p>
        </w:tc>
        <w:tc>
          <w:tcPr>
            <w:tcW w:w="16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rPr>
                <w:color w:val="000000"/>
                <w:sz w:val="20"/>
                <w:lang w:val="nl-BE" w:eastAsia="nl-BE"/>
              </w:rPr>
            </w:pPr>
            <w:r w:rsidRPr="00CB46C2">
              <w:rPr>
                <w:color w:val="000000"/>
                <w:sz w:val="20"/>
                <w:lang w:val="nl-BE" w:eastAsia="nl-BE"/>
              </w:rPr>
              <w:t>Limburg</w:t>
            </w:r>
          </w:p>
        </w:tc>
        <w:tc>
          <w:tcPr>
            <w:tcW w:w="8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jc w:val="right"/>
              <w:rPr>
                <w:color w:val="000000"/>
                <w:sz w:val="20"/>
                <w:lang w:val="nl-BE" w:eastAsia="nl-BE"/>
              </w:rPr>
            </w:pPr>
            <w:r w:rsidRPr="00CB46C2">
              <w:rPr>
                <w:color w:val="000000"/>
                <w:sz w:val="20"/>
                <w:lang w:val="nl-BE" w:eastAsia="nl-BE"/>
              </w:rPr>
              <w:t>2</w:t>
            </w:r>
          </w:p>
        </w:tc>
        <w:tc>
          <w:tcPr>
            <w:tcW w:w="1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jc w:val="right"/>
              <w:rPr>
                <w:color w:val="000000"/>
                <w:sz w:val="20"/>
                <w:lang w:val="nl-BE" w:eastAsia="nl-BE"/>
              </w:rPr>
            </w:pPr>
            <w:r w:rsidRPr="00CB46C2">
              <w:rPr>
                <w:color w:val="000000"/>
                <w:sz w:val="20"/>
                <w:lang w:val="nl-BE" w:eastAsia="nl-BE"/>
              </w:rPr>
              <w:t>€ 28.000,00</w:t>
            </w:r>
          </w:p>
        </w:tc>
      </w:tr>
      <w:tr w:rsidR="00CB46C2" w:rsidRPr="00CB46C2" w:rsidTr="00CB46C2">
        <w:trPr>
          <w:trHeight w:val="70"/>
        </w:trPr>
        <w:tc>
          <w:tcPr>
            <w:tcW w:w="1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rPr>
                <w:color w:val="000000"/>
                <w:sz w:val="20"/>
                <w:lang w:val="nl-BE" w:eastAsia="nl-BE"/>
              </w:rPr>
            </w:pPr>
            <w:r w:rsidRPr="00CB46C2">
              <w:rPr>
                <w:color w:val="000000"/>
                <w:sz w:val="20"/>
                <w:lang w:val="nl-BE" w:eastAsia="nl-BE"/>
              </w:rPr>
              <w:t> </w:t>
            </w:r>
          </w:p>
        </w:tc>
        <w:tc>
          <w:tcPr>
            <w:tcW w:w="16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rPr>
                <w:color w:val="000000"/>
                <w:sz w:val="20"/>
                <w:lang w:val="nl-BE" w:eastAsia="nl-BE"/>
              </w:rPr>
            </w:pPr>
            <w:r w:rsidRPr="00CB46C2">
              <w:rPr>
                <w:color w:val="000000"/>
                <w:sz w:val="20"/>
                <w:lang w:val="nl-BE" w:eastAsia="nl-BE"/>
              </w:rPr>
              <w:t xml:space="preserve">Oost-Vlaanderen </w:t>
            </w:r>
          </w:p>
        </w:tc>
        <w:tc>
          <w:tcPr>
            <w:tcW w:w="8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jc w:val="right"/>
              <w:rPr>
                <w:color w:val="000000"/>
                <w:sz w:val="20"/>
                <w:lang w:val="nl-BE" w:eastAsia="nl-BE"/>
              </w:rPr>
            </w:pPr>
            <w:r w:rsidRPr="00CB46C2">
              <w:rPr>
                <w:color w:val="000000"/>
                <w:sz w:val="20"/>
                <w:lang w:val="nl-BE" w:eastAsia="nl-BE"/>
              </w:rPr>
              <w:t>5</w:t>
            </w:r>
          </w:p>
        </w:tc>
        <w:tc>
          <w:tcPr>
            <w:tcW w:w="1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jc w:val="right"/>
              <w:rPr>
                <w:color w:val="000000"/>
                <w:sz w:val="20"/>
                <w:lang w:val="nl-BE" w:eastAsia="nl-BE"/>
              </w:rPr>
            </w:pPr>
            <w:r w:rsidRPr="00CB46C2">
              <w:rPr>
                <w:color w:val="000000"/>
                <w:sz w:val="20"/>
                <w:lang w:val="nl-BE" w:eastAsia="nl-BE"/>
              </w:rPr>
              <w:t>€ 175.000,00</w:t>
            </w:r>
          </w:p>
        </w:tc>
      </w:tr>
      <w:tr w:rsidR="00CB46C2" w:rsidRPr="00CB46C2" w:rsidTr="00CB46C2">
        <w:trPr>
          <w:trHeight w:val="70"/>
        </w:trPr>
        <w:tc>
          <w:tcPr>
            <w:tcW w:w="1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rPr>
                <w:color w:val="000000"/>
                <w:sz w:val="20"/>
                <w:lang w:val="nl-BE" w:eastAsia="nl-BE"/>
              </w:rPr>
            </w:pPr>
            <w:r w:rsidRPr="00CB46C2">
              <w:rPr>
                <w:color w:val="000000"/>
                <w:sz w:val="20"/>
                <w:lang w:val="nl-BE" w:eastAsia="nl-BE"/>
              </w:rPr>
              <w:t> </w:t>
            </w:r>
          </w:p>
        </w:tc>
        <w:tc>
          <w:tcPr>
            <w:tcW w:w="16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rPr>
                <w:color w:val="000000"/>
                <w:sz w:val="20"/>
                <w:lang w:val="nl-BE" w:eastAsia="nl-BE"/>
              </w:rPr>
            </w:pPr>
            <w:r w:rsidRPr="00CB46C2">
              <w:rPr>
                <w:color w:val="000000"/>
                <w:sz w:val="20"/>
                <w:lang w:val="nl-BE" w:eastAsia="nl-BE"/>
              </w:rPr>
              <w:t>Vlaams-Brabant</w:t>
            </w:r>
          </w:p>
        </w:tc>
        <w:tc>
          <w:tcPr>
            <w:tcW w:w="8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jc w:val="right"/>
              <w:rPr>
                <w:color w:val="000000"/>
                <w:sz w:val="20"/>
                <w:lang w:val="nl-BE" w:eastAsia="nl-BE"/>
              </w:rPr>
            </w:pPr>
            <w:r w:rsidRPr="00CB46C2">
              <w:rPr>
                <w:color w:val="000000"/>
                <w:sz w:val="20"/>
                <w:lang w:val="nl-BE" w:eastAsia="nl-BE"/>
              </w:rPr>
              <w:t>1</w:t>
            </w:r>
          </w:p>
        </w:tc>
        <w:tc>
          <w:tcPr>
            <w:tcW w:w="1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jc w:val="right"/>
              <w:rPr>
                <w:color w:val="000000"/>
                <w:sz w:val="20"/>
                <w:lang w:val="nl-BE" w:eastAsia="nl-BE"/>
              </w:rPr>
            </w:pPr>
            <w:r w:rsidRPr="00CB46C2">
              <w:rPr>
                <w:color w:val="000000"/>
                <w:sz w:val="20"/>
                <w:lang w:val="nl-BE" w:eastAsia="nl-BE"/>
              </w:rPr>
              <w:t>€ 17.000,00</w:t>
            </w:r>
          </w:p>
        </w:tc>
      </w:tr>
      <w:tr w:rsidR="00CB46C2" w:rsidRPr="00CB46C2" w:rsidTr="00CB46C2">
        <w:trPr>
          <w:trHeight w:val="70"/>
        </w:trPr>
        <w:tc>
          <w:tcPr>
            <w:tcW w:w="1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rPr>
                <w:color w:val="000000"/>
                <w:sz w:val="20"/>
                <w:lang w:val="nl-BE" w:eastAsia="nl-BE"/>
              </w:rPr>
            </w:pPr>
            <w:r w:rsidRPr="00CB46C2">
              <w:rPr>
                <w:color w:val="000000"/>
                <w:sz w:val="20"/>
                <w:lang w:val="nl-BE" w:eastAsia="nl-BE"/>
              </w:rPr>
              <w:t> </w:t>
            </w:r>
          </w:p>
        </w:tc>
        <w:tc>
          <w:tcPr>
            <w:tcW w:w="16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rPr>
                <w:color w:val="000000"/>
                <w:sz w:val="20"/>
                <w:lang w:val="nl-BE" w:eastAsia="nl-BE"/>
              </w:rPr>
            </w:pPr>
            <w:r w:rsidRPr="00CB46C2">
              <w:rPr>
                <w:color w:val="000000"/>
                <w:sz w:val="20"/>
                <w:lang w:val="nl-BE" w:eastAsia="nl-BE"/>
              </w:rPr>
              <w:t>West-Vlaanderen</w:t>
            </w:r>
          </w:p>
        </w:tc>
        <w:tc>
          <w:tcPr>
            <w:tcW w:w="8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jc w:val="right"/>
              <w:rPr>
                <w:color w:val="000000"/>
                <w:sz w:val="20"/>
                <w:lang w:val="nl-BE" w:eastAsia="nl-BE"/>
              </w:rPr>
            </w:pPr>
            <w:r w:rsidRPr="00CB46C2">
              <w:rPr>
                <w:color w:val="000000"/>
                <w:sz w:val="20"/>
                <w:lang w:val="nl-BE" w:eastAsia="nl-BE"/>
              </w:rPr>
              <w:t>5</w:t>
            </w:r>
          </w:p>
        </w:tc>
        <w:tc>
          <w:tcPr>
            <w:tcW w:w="1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jc w:val="right"/>
              <w:rPr>
                <w:color w:val="000000"/>
                <w:sz w:val="20"/>
                <w:lang w:val="nl-BE" w:eastAsia="nl-BE"/>
              </w:rPr>
            </w:pPr>
            <w:r w:rsidRPr="00CB46C2">
              <w:rPr>
                <w:color w:val="000000"/>
                <w:sz w:val="20"/>
                <w:lang w:val="nl-BE" w:eastAsia="nl-BE"/>
              </w:rPr>
              <w:t>€ 55.800,00</w:t>
            </w:r>
          </w:p>
        </w:tc>
      </w:tr>
      <w:tr w:rsidR="00CB46C2" w:rsidRPr="00CB46C2" w:rsidTr="00CB46C2">
        <w:trPr>
          <w:trHeight w:val="70"/>
        </w:trPr>
        <w:tc>
          <w:tcPr>
            <w:tcW w:w="1244" w:type="pct"/>
            <w:tcBorders>
              <w:top w:val="single" w:sz="4" w:space="0" w:color="auto"/>
              <w:left w:val="single" w:sz="4" w:space="0" w:color="auto"/>
              <w:bottom w:val="single" w:sz="4" w:space="0" w:color="auto"/>
              <w:right w:val="single" w:sz="4" w:space="0" w:color="auto"/>
            </w:tcBorders>
            <w:shd w:val="pct10" w:color="auto" w:fill="FFFFFF" w:themeFill="background1"/>
            <w:noWrap/>
            <w:vAlign w:val="bottom"/>
            <w:hideMark/>
          </w:tcPr>
          <w:p w:rsidR="00CB46C2" w:rsidRPr="00CB46C2" w:rsidRDefault="00CB46C2" w:rsidP="00E8178C">
            <w:pPr>
              <w:rPr>
                <w:b/>
                <w:color w:val="000000"/>
                <w:sz w:val="20"/>
                <w:lang w:val="nl-BE" w:eastAsia="nl-BE"/>
              </w:rPr>
            </w:pPr>
            <w:r w:rsidRPr="00CB46C2">
              <w:rPr>
                <w:b/>
                <w:color w:val="000000"/>
                <w:sz w:val="20"/>
                <w:lang w:val="nl-BE" w:eastAsia="nl-BE"/>
              </w:rPr>
              <w:t>Totaal 2011</w:t>
            </w:r>
          </w:p>
        </w:tc>
        <w:tc>
          <w:tcPr>
            <w:tcW w:w="1654" w:type="pct"/>
            <w:tcBorders>
              <w:top w:val="single" w:sz="4" w:space="0" w:color="auto"/>
              <w:left w:val="single" w:sz="4" w:space="0" w:color="auto"/>
              <w:bottom w:val="single" w:sz="4" w:space="0" w:color="auto"/>
              <w:right w:val="single" w:sz="4" w:space="0" w:color="auto"/>
            </w:tcBorders>
            <w:shd w:val="pct10" w:color="auto" w:fill="FFFFFF" w:themeFill="background1"/>
            <w:noWrap/>
            <w:vAlign w:val="bottom"/>
            <w:hideMark/>
          </w:tcPr>
          <w:p w:rsidR="00CB46C2" w:rsidRPr="00CB46C2" w:rsidRDefault="00CB46C2" w:rsidP="00E8178C">
            <w:pPr>
              <w:rPr>
                <w:b/>
                <w:color w:val="000000"/>
                <w:sz w:val="20"/>
                <w:lang w:val="nl-BE" w:eastAsia="nl-BE"/>
              </w:rPr>
            </w:pPr>
            <w:r w:rsidRPr="00CB46C2">
              <w:rPr>
                <w:b/>
                <w:color w:val="000000"/>
                <w:sz w:val="20"/>
                <w:lang w:val="nl-BE" w:eastAsia="nl-BE"/>
              </w:rPr>
              <w:t> </w:t>
            </w:r>
          </w:p>
        </w:tc>
        <w:tc>
          <w:tcPr>
            <w:tcW w:w="815" w:type="pct"/>
            <w:tcBorders>
              <w:top w:val="single" w:sz="4" w:space="0" w:color="auto"/>
              <w:left w:val="single" w:sz="4" w:space="0" w:color="auto"/>
              <w:bottom w:val="single" w:sz="4" w:space="0" w:color="auto"/>
              <w:right w:val="single" w:sz="4" w:space="0" w:color="auto"/>
            </w:tcBorders>
            <w:shd w:val="pct10" w:color="auto" w:fill="FFFFFF" w:themeFill="background1"/>
            <w:noWrap/>
            <w:vAlign w:val="bottom"/>
            <w:hideMark/>
          </w:tcPr>
          <w:p w:rsidR="00CB46C2" w:rsidRPr="00CB46C2" w:rsidRDefault="00CB46C2" w:rsidP="00E8178C">
            <w:pPr>
              <w:jc w:val="right"/>
              <w:rPr>
                <w:b/>
                <w:color w:val="000000"/>
                <w:sz w:val="20"/>
                <w:lang w:val="nl-BE" w:eastAsia="nl-BE"/>
              </w:rPr>
            </w:pPr>
            <w:r w:rsidRPr="00CB46C2">
              <w:rPr>
                <w:b/>
                <w:color w:val="000000"/>
                <w:sz w:val="20"/>
                <w:lang w:val="nl-BE" w:eastAsia="nl-BE"/>
              </w:rPr>
              <w:t>19</w:t>
            </w:r>
          </w:p>
        </w:tc>
        <w:tc>
          <w:tcPr>
            <w:tcW w:w="1287" w:type="pct"/>
            <w:tcBorders>
              <w:top w:val="single" w:sz="4" w:space="0" w:color="auto"/>
              <w:left w:val="single" w:sz="4" w:space="0" w:color="auto"/>
              <w:bottom w:val="single" w:sz="4" w:space="0" w:color="auto"/>
              <w:right w:val="single" w:sz="4" w:space="0" w:color="auto"/>
            </w:tcBorders>
            <w:shd w:val="pct10" w:color="auto" w:fill="FFFFFF" w:themeFill="background1"/>
            <w:noWrap/>
            <w:vAlign w:val="bottom"/>
            <w:hideMark/>
          </w:tcPr>
          <w:p w:rsidR="00CB46C2" w:rsidRPr="00CB46C2" w:rsidRDefault="00CB46C2" w:rsidP="00E8178C">
            <w:pPr>
              <w:jc w:val="right"/>
              <w:rPr>
                <w:b/>
                <w:color w:val="000000"/>
                <w:sz w:val="20"/>
                <w:lang w:val="nl-BE" w:eastAsia="nl-BE"/>
              </w:rPr>
            </w:pPr>
            <w:r w:rsidRPr="00CB46C2">
              <w:rPr>
                <w:b/>
                <w:color w:val="000000"/>
                <w:sz w:val="20"/>
                <w:lang w:val="nl-BE" w:eastAsia="nl-BE"/>
              </w:rPr>
              <w:t>€ 381.525,00</w:t>
            </w:r>
          </w:p>
        </w:tc>
      </w:tr>
      <w:tr w:rsidR="00CB46C2" w:rsidRPr="00CB46C2" w:rsidTr="00CB46C2">
        <w:trPr>
          <w:trHeight w:val="70"/>
        </w:trPr>
        <w:tc>
          <w:tcPr>
            <w:tcW w:w="1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rPr>
                <w:color w:val="000000"/>
                <w:sz w:val="20"/>
                <w:lang w:val="nl-BE" w:eastAsia="nl-BE"/>
              </w:rPr>
            </w:pPr>
            <w:r w:rsidRPr="00CB46C2">
              <w:rPr>
                <w:color w:val="000000"/>
                <w:sz w:val="20"/>
                <w:lang w:val="nl-BE" w:eastAsia="nl-BE"/>
              </w:rPr>
              <w:t>2012</w:t>
            </w:r>
          </w:p>
        </w:tc>
        <w:tc>
          <w:tcPr>
            <w:tcW w:w="16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rPr>
                <w:color w:val="000000"/>
                <w:sz w:val="20"/>
                <w:lang w:val="nl-BE" w:eastAsia="nl-BE"/>
              </w:rPr>
            </w:pPr>
            <w:r w:rsidRPr="00CB46C2">
              <w:rPr>
                <w:color w:val="000000"/>
                <w:sz w:val="20"/>
                <w:lang w:val="nl-BE" w:eastAsia="nl-BE"/>
              </w:rPr>
              <w:t>Antwerpen</w:t>
            </w:r>
          </w:p>
        </w:tc>
        <w:tc>
          <w:tcPr>
            <w:tcW w:w="8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jc w:val="right"/>
              <w:rPr>
                <w:color w:val="000000"/>
                <w:sz w:val="20"/>
                <w:lang w:val="nl-BE" w:eastAsia="nl-BE"/>
              </w:rPr>
            </w:pPr>
            <w:r w:rsidRPr="00CB46C2">
              <w:rPr>
                <w:color w:val="000000"/>
                <w:sz w:val="20"/>
                <w:lang w:val="nl-BE" w:eastAsia="nl-BE"/>
              </w:rPr>
              <w:t>10</w:t>
            </w:r>
          </w:p>
        </w:tc>
        <w:tc>
          <w:tcPr>
            <w:tcW w:w="1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jc w:val="right"/>
              <w:rPr>
                <w:color w:val="000000"/>
                <w:sz w:val="20"/>
                <w:lang w:val="nl-BE" w:eastAsia="nl-BE"/>
              </w:rPr>
            </w:pPr>
            <w:r w:rsidRPr="00CB46C2">
              <w:rPr>
                <w:color w:val="000000"/>
                <w:sz w:val="20"/>
                <w:lang w:val="nl-BE" w:eastAsia="nl-BE"/>
              </w:rPr>
              <w:t>€ 270.651,20</w:t>
            </w:r>
          </w:p>
        </w:tc>
      </w:tr>
      <w:tr w:rsidR="00CB46C2" w:rsidRPr="00CB46C2" w:rsidTr="00CB46C2">
        <w:trPr>
          <w:trHeight w:val="70"/>
        </w:trPr>
        <w:tc>
          <w:tcPr>
            <w:tcW w:w="1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rPr>
                <w:color w:val="000000"/>
                <w:sz w:val="20"/>
                <w:lang w:val="nl-BE" w:eastAsia="nl-BE"/>
              </w:rPr>
            </w:pPr>
            <w:r w:rsidRPr="00CB46C2">
              <w:rPr>
                <w:color w:val="000000"/>
                <w:sz w:val="20"/>
                <w:lang w:val="nl-BE" w:eastAsia="nl-BE"/>
              </w:rPr>
              <w:t> </w:t>
            </w:r>
          </w:p>
        </w:tc>
        <w:tc>
          <w:tcPr>
            <w:tcW w:w="16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rPr>
                <w:color w:val="000000"/>
                <w:sz w:val="20"/>
                <w:lang w:val="nl-BE" w:eastAsia="nl-BE"/>
              </w:rPr>
            </w:pPr>
            <w:r w:rsidRPr="00CB46C2">
              <w:rPr>
                <w:color w:val="000000"/>
                <w:sz w:val="20"/>
                <w:lang w:val="nl-BE" w:eastAsia="nl-BE"/>
              </w:rPr>
              <w:t>Limburg</w:t>
            </w:r>
          </w:p>
        </w:tc>
        <w:tc>
          <w:tcPr>
            <w:tcW w:w="8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jc w:val="right"/>
              <w:rPr>
                <w:color w:val="000000"/>
                <w:sz w:val="20"/>
                <w:lang w:val="nl-BE" w:eastAsia="nl-BE"/>
              </w:rPr>
            </w:pPr>
            <w:r w:rsidRPr="00CB46C2">
              <w:rPr>
                <w:color w:val="000000"/>
                <w:sz w:val="20"/>
                <w:lang w:val="nl-BE" w:eastAsia="nl-BE"/>
              </w:rPr>
              <w:t>1</w:t>
            </w:r>
          </w:p>
        </w:tc>
        <w:tc>
          <w:tcPr>
            <w:tcW w:w="1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jc w:val="right"/>
              <w:rPr>
                <w:color w:val="000000"/>
                <w:sz w:val="20"/>
                <w:lang w:val="nl-BE" w:eastAsia="nl-BE"/>
              </w:rPr>
            </w:pPr>
            <w:r w:rsidRPr="00CB46C2">
              <w:rPr>
                <w:color w:val="000000"/>
                <w:sz w:val="20"/>
                <w:lang w:val="nl-BE" w:eastAsia="nl-BE"/>
              </w:rPr>
              <w:t>€ 8.259,22</w:t>
            </w:r>
          </w:p>
        </w:tc>
      </w:tr>
      <w:tr w:rsidR="00CB46C2" w:rsidRPr="00CB46C2" w:rsidTr="00CB46C2">
        <w:trPr>
          <w:trHeight w:val="70"/>
        </w:trPr>
        <w:tc>
          <w:tcPr>
            <w:tcW w:w="1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rPr>
                <w:color w:val="000000"/>
                <w:sz w:val="20"/>
                <w:lang w:val="nl-BE" w:eastAsia="nl-BE"/>
              </w:rPr>
            </w:pPr>
            <w:r w:rsidRPr="00CB46C2">
              <w:rPr>
                <w:color w:val="000000"/>
                <w:sz w:val="20"/>
                <w:lang w:val="nl-BE" w:eastAsia="nl-BE"/>
              </w:rPr>
              <w:t> </w:t>
            </w:r>
          </w:p>
        </w:tc>
        <w:tc>
          <w:tcPr>
            <w:tcW w:w="16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rPr>
                <w:color w:val="000000"/>
                <w:sz w:val="20"/>
                <w:lang w:val="nl-BE" w:eastAsia="nl-BE"/>
              </w:rPr>
            </w:pPr>
            <w:r w:rsidRPr="00CB46C2">
              <w:rPr>
                <w:color w:val="000000"/>
                <w:sz w:val="20"/>
                <w:lang w:val="nl-BE" w:eastAsia="nl-BE"/>
              </w:rPr>
              <w:t xml:space="preserve">Oost-Vlaanderen </w:t>
            </w:r>
          </w:p>
        </w:tc>
        <w:tc>
          <w:tcPr>
            <w:tcW w:w="8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jc w:val="right"/>
              <w:rPr>
                <w:color w:val="000000"/>
                <w:sz w:val="20"/>
                <w:lang w:val="nl-BE" w:eastAsia="nl-BE"/>
              </w:rPr>
            </w:pPr>
            <w:r w:rsidRPr="00CB46C2">
              <w:rPr>
                <w:color w:val="000000"/>
                <w:sz w:val="20"/>
                <w:lang w:val="nl-BE" w:eastAsia="nl-BE"/>
              </w:rPr>
              <w:t>1</w:t>
            </w:r>
          </w:p>
        </w:tc>
        <w:tc>
          <w:tcPr>
            <w:tcW w:w="1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jc w:val="right"/>
              <w:rPr>
                <w:color w:val="000000"/>
                <w:sz w:val="20"/>
                <w:lang w:val="nl-BE" w:eastAsia="nl-BE"/>
              </w:rPr>
            </w:pPr>
            <w:r w:rsidRPr="00CB46C2">
              <w:rPr>
                <w:color w:val="000000"/>
                <w:sz w:val="20"/>
                <w:lang w:val="nl-BE" w:eastAsia="nl-BE"/>
              </w:rPr>
              <w:t>€ 12.333,33</w:t>
            </w:r>
          </w:p>
        </w:tc>
      </w:tr>
      <w:tr w:rsidR="00CB46C2" w:rsidRPr="00CB46C2" w:rsidTr="00CB46C2">
        <w:trPr>
          <w:trHeight w:val="70"/>
        </w:trPr>
        <w:tc>
          <w:tcPr>
            <w:tcW w:w="1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rPr>
                <w:color w:val="000000"/>
                <w:sz w:val="20"/>
                <w:lang w:val="nl-BE" w:eastAsia="nl-BE"/>
              </w:rPr>
            </w:pPr>
            <w:r w:rsidRPr="00CB46C2">
              <w:rPr>
                <w:color w:val="000000"/>
                <w:sz w:val="20"/>
                <w:lang w:val="nl-BE" w:eastAsia="nl-BE"/>
              </w:rPr>
              <w:t> </w:t>
            </w:r>
          </w:p>
        </w:tc>
        <w:tc>
          <w:tcPr>
            <w:tcW w:w="16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rPr>
                <w:color w:val="000000"/>
                <w:sz w:val="20"/>
                <w:lang w:val="nl-BE" w:eastAsia="nl-BE"/>
              </w:rPr>
            </w:pPr>
            <w:r w:rsidRPr="00CB46C2">
              <w:rPr>
                <w:color w:val="000000"/>
                <w:sz w:val="20"/>
                <w:lang w:val="nl-BE" w:eastAsia="nl-BE"/>
              </w:rPr>
              <w:t>West-Vlaanderen</w:t>
            </w:r>
          </w:p>
        </w:tc>
        <w:tc>
          <w:tcPr>
            <w:tcW w:w="8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jc w:val="right"/>
              <w:rPr>
                <w:color w:val="000000"/>
                <w:sz w:val="20"/>
                <w:lang w:val="nl-BE" w:eastAsia="nl-BE"/>
              </w:rPr>
            </w:pPr>
            <w:r w:rsidRPr="00CB46C2">
              <w:rPr>
                <w:color w:val="000000"/>
                <w:sz w:val="20"/>
                <w:lang w:val="nl-BE" w:eastAsia="nl-BE"/>
              </w:rPr>
              <w:t>1</w:t>
            </w:r>
          </w:p>
        </w:tc>
        <w:tc>
          <w:tcPr>
            <w:tcW w:w="1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jc w:val="right"/>
              <w:rPr>
                <w:color w:val="000000"/>
                <w:sz w:val="20"/>
                <w:lang w:val="nl-BE" w:eastAsia="nl-BE"/>
              </w:rPr>
            </w:pPr>
            <w:r w:rsidRPr="00CB46C2">
              <w:rPr>
                <w:color w:val="000000"/>
                <w:sz w:val="20"/>
                <w:lang w:val="nl-BE" w:eastAsia="nl-BE"/>
              </w:rPr>
              <w:t>€ 20.000,00</w:t>
            </w:r>
          </w:p>
        </w:tc>
      </w:tr>
      <w:tr w:rsidR="00CB46C2" w:rsidRPr="00CB46C2" w:rsidTr="00CB46C2">
        <w:trPr>
          <w:trHeight w:val="70"/>
        </w:trPr>
        <w:tc>
          <w:tcPr>
            <w:tcW w:w="1244" w:type="pct"/>
            <w:tcBorders>
              <w:top w:val="single" w:sz="4" w:space="0" w:color="auto"/>
              <w:left w:val="single" w:sz="4" w:space="0" w:color="auto"/>
              <w:bottom w:val="single" w:sz="4" w:space="0" w:color="auto"/>
              <w:right w:val="single" w:sz="4" w:space="0" w:color="auto"/>
            </w:tcBorders>
            <w:shd w:val="pct10" w:color="auto" w:fill="FFFFFF" w:themeFill="background1"/>
            <w:noWrap/>
            <w:vAlign w:val="bottom"/>
            <w:hideMark/>
          </w:tcPr>
          <w:p w:rsidR="00CB46C2" w:rsidRPr="00CB46C2" w:rsidRDefault="00CB46C2" w:rsidP="00E8178C">
            <w:pPr>
              <w:rPr>
                <w:b/>
                <w:color w:val="000000"/>
                <w:sz w:val="20"/>
                <w:lang w:val="nl-BE" w:eastAsia="nl-BE"/>
              </w:rPr>
            </w:pPr>
            <w:r w:rsidRPr="00CB46C2">
              <w:rPr>
                <w:b/>
                <w:color w:val="000000"/>
                <w:sz w:val="20"/>
                <w:lang w:val="nl-BE" w:eastAsia="nl-BE"/>
              </w:rPr>
              <w:t>Totaal 2012</w:t>
            </w:r>
          </w:p>
        </w:tc>
        <w:tc>
          <w:tcPr>
            <w:tcW w:w="1654" w:type="pct"/>
            <w:tcBorders>
              <w:top w:val="single" w:sz="4" w:space="0" w:color="auto"/>
              <w:left w:val="single" w:sz="4" w:space="0" w:color="auto"/>
              <w:bottom w:val="single" w:sz="4" w:space="0" w:color="auto"/>
              <w:right w:val="single" w:sz="4" w:space="0" w:color="auto"/>
            </w:tcBorders>
            <w:shd w:val="pct10" w:color="auto" w:fill="FFFFFF" w:themeFill="background1"/>
            <w:noWrap/>
            <w:vAlign w:val="bottom"/>
            <w:hideMark/>
          </w:tcPr>
          <w:p w:rsidR="00CB46C2" w:rsidRPr="00CB46C2" w:rsidRDefault="00CB46C2" w:rsidP="00E8178C">
            <w:pPr>
              <w:rPr>
                <w:b/>
                <w:color w:val="000000"/>
                <w:sz w:val="20"/>
                <w:lang w:val="nl-BE" w:eastAsia="nl-BE"/>
              </w:rPr>
            </w:pPr>
            <w:r w:rsidRPr="00CB46C2">
              <w:rPr>
                <w:b/>
                <w:color w:val="000000"/>
                <w:sz w:val="20"/>
                <w:lang w:val="nl-BE" w:eastAsia="nl-BE"/>
              </w:rPr>
              <w:t> </w:t>
            </w:r>
          </w:p>
        </w:tc>
        <w:tc>
          <w:tcPr>
            <w:tcW w:w="815" w:type="pct"/>
            <w:tcBorders>
              <w:top w:val="single" w:sz="4" w:space="0" w:color="auto"/>
              <w:left w:val="single" w:sz="4" w:space="0" w:color="auto"/>
              <w:bottom w:val="single" w:sz="4" w:space="0" w:color="auto"/>
              <w:right w:val="single" w:sz="4" w:space="0" w:color="auto"/>
            </w:tcBorders>
            <w:shd w:val="pct10" w:color="auto" w:fill="FFFFFF" w:themeFill="background1"/>
            <w:noWrap/>
            <w:vAlign w:val="bottom"/>
            <w:hideMark/>
          </w:tcPr>
          <w:p w:rsidR="00CB46C2" w:rsidRPr="00CB46C2" w:rsidRDefault="00CB46C2" w:rsidP="00E8178C">
            <w:pPr>
              <w:jc w:val="right"/>
              <w:rPr>
                <w:b/>
                <w:color w:val="000000"/>
                <w:sz w:val="20"/>
                <w:lang w:val="nl-BE" w:eastAsia="nl-BE"/>
              </w:rPr>
            </w:pPr>
            <w:r w:rsidRPr="00CB46C2">
              <w:rPr>
                <w:b/>
                <w:color w:val="000000"/>
                <w:sz w:val="20"/>
                <w:lang w:val="nl-BE" w:eastAsia="nl-BE"/>
              </w:rPr>
              <w:t>13</w:t>
            </w:r>
          </w:p>
        </w:tc>
        <w:tc>
          <w:tcPr>
            <w:tcW w:w="1287" w:type="pct"/>
            <w:tcBorders>
              <w:top w:val="single" w:sz="4" w:space="0" w:color="auto"/>
              <w:left w:val="single" w:sz="4" w:space="0" w:color="auto"/>
              <w:bottom w:val="single" w:sz="4" w:space="0" w:color="auto"/>
              <w:right w:val="single" w:sz="4" w:space="0" w:color="auto"/>
            </w:tcBorders>
            <w:shd w:val="pct10" w:color="auto" w:fill="FFFFFF" w:themeFill="background1"/>
            <w:noWrap/>
            <w:vAlign w:val="bottom"/>
            <w:hideMark/>
          </w:tcPr>
          <w:p w:rsidR="00CB46C2" w:rsidRPr="00CB46C2" w:rsidRDefault="00CB46C2" w:rsidP="00E8178C">
            <w:pPr>
              <w:jc w:val="right"/>
              <w:rPr>
                <w:b/>
                <w:color w:val="000000"/>
                <w:sz w:val="20"/>
                <w:lang w:val="nl-BE" w:eastAsia="nl-BE"/>
              </w:rPr>
            </w:pPr>
            <w:r w:rsidRPr="00CB46C2">
              <w:rPr>
                <w:b/>
                <w:color w:val="000000"/>
                <w:sz w:val="20"/>
                <w:lang w:val="nl-BE" w:eastAsia="nl-BE"/>
              </w:rPr>
              <w:t>€ 311.243,75</w:t>
            </w:r>
          </w:p>
        </w:tc>
      </w:tr>
    </w:tbl>
    <w:p w:rsidR="00C22CBB" w:rsidRDefault="00C22CBB" w:rsidP="00C22CBB">
      <w:pPr>
        <w:pStyle w:val="StandaardSV"/>
        <w:ind w:left="705" w:hanging="345"/>
      </w:pPr>
    </w:p>
    <w:p w:rsidR="00C22CBB" w:rsidRDefault="00CB46C2" w:rsidP="00C22CBB">
      <w:pPr>
        <w:pStyle w:val="StandaardSV"/>
        <w:ind w:left="705" w:hanging="345"/>
      </w:pPr>
      <w:r w:rsidRPr="00CB46C2">
        <w:t>Opdeling geweigerde Winwinleningen starter en niet-starter (op jaarbasis)</w:t>
      </w:r>
      <w:r>
        <w:t>:</w:t>
      </w:r>
    </w:p>
    <w:p w:rsidR="00C22CBB" w:rsidRDefault="00C22CBB" w:rsidP="00C22CBB">
      <w:pPr>
        <w:pStyle w:val="StandaardSV"/>
        <w:ind w:left="705" w:hanging="345"/>
      </w:pPr>
    </w:p>
    <w:tbl>
      <w:tblPr>
        <w:tblW w:w="2282" w:type="pct"/>
        <w:tblInd w:w="496" w:type="dxa"/>
        <w:tblCellMar>
          <w:left w:w="70" w:type="dxa"/>
          <w:right w:w="70" w:type="dxa"/>
        </w:tblCellMar>
        <w:tblLook w:val="04A0" w:firstRow="1" w:lastRow="0" w:firstColumn="1" w:lastColumn="0" w:noHBand="0" w:noVBand="1"/>
      </w:tblPr>
      <w:tblGrid>
        <w:gridCol w:w="1247"/>
        <w:gridCol w:w="850"/>
        <w:gridCol w:w="818"/>
        <w:gridCol w:w="1289"/>
      </w:tblGrid>
      <w:tr w:rsidR="00CB46C2" w:rsidRPr="00E27ADA" w:rsidTr="00CB46C2">
        <w:trPr>
          <w:trHeight w:val="70"/>
        </w:trPr>
        <w:tc>
          <w:tcPr>
            <w:tcW w:w="1483" w:type="pct"/>
            <w:tcBorders>
              <w:top w:val="single" w:sz="4" w:space="0" w:color="auto"/>
              <w:left w:val="single" w:sz="4" w:space="0" w:color="auto"/>
              <w:bottom w:val="single" w:sz="4" w:space="0" w:color="auto"/>
              <w:right w:val="single" w:sz="4" w:space="0" w:color="auto"/>
            </w:tcBorders>
            <w:shd w:val="pct10" w:color="auto" w:fill="FFFFFF" w:themeFill="background1"/>
            <w:noWrap/>
            <w:vAlign w:val="bottom"/>
            <w:hideMark/>
          </w:tcPr>
          <w:p w:rsidR="00CB46C2" w:rsidRPr="00CB46C2" w:rsidRDefault="00CB46C2" w:rsidP="00E8178C">
            <w:pPr>
              <w:rPr>
                <w:b/>
                <w:color w:val="000000"/>
                <w:sz w:val="20"/>
                <w:lang w:val="nl-BE" w:eastAsia="nl-BE"/>
              </w:rPr>
            </w:pPr>
            <w:r w:rsidRPr="00CB46C2">
              <w:rPr>
                <w:b/>
                <w:color w:val="000000"/>
                <w:sz w:val="20"/>
                <w:lang w:val="nl-BE" w:eastAsia="nl-BE"/>
              </w:rPr>
              <w:t>Jaar</w:t>
            </w:r>
          </w:p>
        </w:tc>
        <w:tc>
          <w:tcPr>
            <w:tcW w:w="1011" w:type="pct"/>
            <w:tcBorders>
              <w:top w:val="single" w:sz="4" w:space="0" w:color="auto"/>
              <w:left w:val="single" w:sz="4" w:space="0" w:color="auto"/>
              <w:bottom w:val="single" w:sz="4" w:space="0" w:color="auto"/>
              <w:right w:val="single" w:sz="4" w:space="0" w:color="auto"/>
            </w:tcBorders>
            <w:shd w:val="pct10" w:color="auto" w:fill="FFFFFF" w:themeFill="background1"/>
            <w:noWrap/>
            <w:vAlign w:val="bottom"/>
            <w:hideMark/>
          </w:tcPr>
          <w:p w:rsidR="00CB46C2" w:rsidRPr="00CB46C2" w:rsidRDefault="00CB46C2" w:rsidP="00E8178C">
            <w:pPr>
              <w:rPr>
                <w:b/>
                <w:color w:val="000000"/>
                <w:sz w:val="20"/>
                <w:lang w:val="nl-BE" w:eastAsia="nl-BE"/>
              </w:rPr>
            </w:pPr>
            <w:r w:rsidRPr="00CB46C2">
              <w:rPr>
                <w:b/>
                <w:color w:val="000000"/>
                <w:sz w:val="20"/>
                <w:lang w:val="nl-BE" w:eastAsia="nl-BE"/>
              </w:rPr>
              <w:t>Starter</w:t>
            </w:r>
          </w:p>
        </w:tc>
        <w:tc>
          <w:tcPr>
            <w:tcW w:w="973" w:type="pct"/>
            <w:tcBorders>
              <w:top w:val="single" w:sz="4" w:space="0" w:color="auto"/>
              <w:left w:val="single" w:sz="4" w:space="0" w:color="auto"/>
              <w:bottom w:val="single" w:sz="4" w:space="0" w:color="auto"/>
              <w:right w:val="single" w:sz="4" w:space="0" w:color="auto"/>
            </w:tcBorders>
            <w:shd w:val="pct10" w:color="auto" w:fill="FFFFFF" w:themeFill="background1"/>
            <w:noWrap/>
            <w:vAlign w:val="bottom"/>
            <w:hideMark/>
          </w:tcPr>
          <w:p w:rsidR="00CB46C2" w:rsidRPr="00CB46C2" w:rsidRDefault="00CB46C2" w:rsidP="00E8178C">
            <w:pPr>
              <w:jc w:val="right"/>
              <w:rPr>
                <w:b/>
                <w:color w:val="000000"/>
                <w:sz w:val="20"/>
                <w:lang w:val="nl-BE" w:eastAsia="nl-BE"/>
              </w:rPr>
            </w:pPr>
            <w:r w:rsidRPr="00CB46C2">
              <w:rPr>
                <w:b/>
                <w:color w:val="000000"/>
                <w:sz w:val="20"/>
                <w:lang w:val="nl-BE" w:eastAsia="nl-BE"/>
              </w:rPr>
              <w:t>Aantal</w:t>
            </w:r>
          </w:p>
        </w:tc>
        <w:tc>
          <w:tcPr>
            <w:tcW w:w="1534" w:type="pct"/>
            <w:tcBorders>
              <w:top w:val="single" w:sz="4" w:space="0" w:color="auto"/>
              <w:left w:val="single" w:sz="4" w:space="0" w:color="auto"/>
              <w:bottom w:val="single" w:sz="4" w:space="0" w:color="auto"/>
              <w:right w:val="single" w:sz="4" w:space="0" w:color="auto"/>
            </w:tcBorders>
            <w:shd w:val="pct10" w:color="auto" w:fill="FFFFFF" w:themeFill="background1"/>
            <w:noWrap/>
            <w:vAlign w:val="bottom"/>
            <w:hideMark/>
          </w:tcPr>
          <w:p w:rsidR="00CB46C2" w:rsidRPr="00CB46C2" w:rsidRDefault="00CB46C2" w:rsidP="00E8178C">
            <w:pPr>
              <w:jc w:val="right"/>
              <w:rPr>
                <w:b/>
                <w:color w:val="000000"/>
                <w:sz w:val="20"/>
                <w:lang w:val="nl-BE" w:eastAsia="nl-BE"/>
              </w:rPr>
            </w:pPr>
            <w:r w:rsidRPr="00CB46C2">
              <w:rPr>
                <w:b/>
                <w:color w:val="000000"/>
                <w:sz w:val="20"/>
                <w:lang w:val="nl-BE" w:eastAsia="nl-BE"/>
              </w:rPr>
              <w:t>Bedrag</w:t>
            </w:r>
          </w:p>
        </w:tc>
      </w:tr>
      <w:tr w:rsidR="00CB46C2" w:rsidRPr="00E27ADA" w:rsidTr="00CB46C2">
        <w:trPr>
          <w:trHeight w:val="70"/>
        </w:trPr>
        <w:tc>
          <w:tcPr>
            <w:tcW w:w="1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rPr>
                <w:color w:val="000000"/>
                <w:sz w:val="20"/>
                <w:lang w:val="nl-BE" w:eastAsia="nl-BE"/>
              </w:rPr>
            </w:pPr>
            <w:r w:rsidRPr="00CB46C2">
              <w:rPr>
                <w:color w:val="000000"/>
                <w:sz w:val="20"/>
                <w:lang w:val="nl-BE" w:eastAsia="nl-BE"/>
              </w:rPr>
              <w:t>2011</w:t>
            </w:r>
          </w:p>
        </w:tc>
        <w:tc>
          <w:tcPr>
            <w:tcW w:w="10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rPr>
                <w:color w:val="000000"/>
                <w:sz w:val="20"/>
                <w:lang w:val="nl-BE" w:eastAsia="nl-BE"/>
              </w:rPr>
            </w:pPr>
            <w:r w:rsidRPr="00CB46C2">
              <w:rPr>
                <w:color w:val="000000"/>
                <w:sz w:val="20"/>
                <w:lang w:val="nl-BE" w:eastAsia="nl-BE"/>
              </w:rPr>
              <w:t>Nee</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jc w:val="right"/>
              <w:rPr>
                <w:color w:val="000000"/>
                <w:sz w:val="20"/>
                <w:lang w:val="nl-BE" w:eastAsia="nl-BE"/>
              </w:rPr>
            </w:pPr>
            <w:r w:rsidRPr="00CB46C2">
              <w:rPr>
                <w:color w:val="000000"/>
                <w:sz w:val="20"/>
                <w:lang w:val="nl-BE" w:eastAsia="nl-BE"/>
              </w:rPr>
              <w:t>6</w:t>
            </w:r>
          </w:p>
        </w:tc>
        <w:tc>
          <w:tcPr>
            <w:tcW w:w="15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jc w:val="right"/>
              <w:rPr>
                <w:color w:val="000000"/>
                <w:sz w:val="20"/>
                <w:lang w:val="nl-BE" w:eastAsia="nl-BE"/>
              </w:rPr>
            </w:pPr>
            <w:r w:rsidRPr="00CB46C2">
              <w:rPr>
                <w:color w:val="000000"/>
                <w:sz w:val="20"/>
                <w:lang w:val="nl-BE" w:eastAsia="nl-BE"/>
              </w:rPr>
              <w:t>€ 182.500,00</w:t>
            </w:r>
          </w:p>
        </w:tc>
      </w:tr>
      <w:tr w:rsidR="00CB46C2" w:rsidRPr="00E27ADA" w:rsidTr="00CB46C2">
        <w:trPr>
          <w:trHeight w:val="70"/>
        </w:trPr>
        <w:tc>
          <w:tcPr>
            <w:tcW w:w="1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rPr>
                <w:color w:val="000000"/>
                <w:sz w:val="20"/>
                <w:lang w:val="nl-BE" w:eastAsia="nl-BE"/>
              </w:rPr>
            </w:pPr>
            <w:r w:rsidRPr="00CB46C2">
              <w:rPr>
                <w:color w:val="000000"/>
                <w:sz w:val="20"/>
                <w:lang w:val="nl-BE" w:eastAsia="nl-BE"/>
              </w:rPr>
              <w:t> </w:t>
            </w:r>
          </w:p>
        </w:tc>
        <w:tc>
          <w:tcPr>
            <w:tcW w:w="10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rPr>
                <w:color w:val="000000"/>
                <w:sz w:val="20"/>
                <w:lang w:val="nl-BE" w:eastAsia="nl-BE"/>
              </w:rPr>
            </w:pPr>
            <w:r w:rsidRPr="00CB46C2">
              <w:rPr>
                <w:color w:val="000000"/>
                <w:sz w:val="20"/>
                <w:lang w:val="nl-BE" w:eastAsia="nl-BE"/>
              </w:rPr>
              <w:t>Ja</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jc w:val="right"/>
              <w:rPr>
                <w:color w:val="000000"/>
                <w:sz w:val="20"/>
                <w:lang w:val="nl-BE" w:eastAsia="nl-BE"/>
              </w:rPr>
            </w:pPr>
            <w:r w:rsidRPr="00CB46C2">
              <w:rPr>
                <w:color w:val="000000"/>
                <w:sz w:val="20"/>
                <w:lang w:val="nl-BE" w:eastAsia="nl-BE"/>
              </w:rPr>
              <w:t>13</w:t>
            </w:r>
          </w:p>
        </w:tc>
        <w:tc>
          <w:tcPr>
            <w:tcW w:w="15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jc w:val="right"/>
              <w:rPr>
                <w:color w:val="000000"/>
                <w:sz w:val="20"/>
                <w:lang w:val="nl-BE" w:eastAsia="nl-BE"/>
              </w:rPr>
            </w:pPr>
            <w:r w:rsidRPr="00CB46C2">
              <w:rPr>
                <w:color w:val="000000"/>
                <w:sz w:val="20"/>
                <w:lang w:val="nl-BE" w:eastAsia="nl-BE"/>
              </w:rPr>
              <w:t>€ 199.025,00</w:t>
            </w:r>
          </w:p>
        </w:tc>
      </w:tr>
      <w:tr w:rsidR="00CB46C2" w:rsidRPr="00E27ADA" w:rsidTr="00CB46C2">
        <w:trPr>
          <w:trHeight w:val="70"/>
        </w:trPr>
        <w:tc>
          <w:tcPr>
            <w:tcW w:w="1483" w:type="pct"/>
            <w:tcBorders>
              <w:top w:val="single" w:sz="4" w:space="0" w:color="auto"/>
              <w:left w:val="single" w:sz="4" w:space="0" w:color="auto"/>
              <w:bottom w:val="single" w:sz="4" w:space="0" w:color="auto"/>
              <w:right w:val="single" w:sz="4" w:space="0" w:color="auto"/>
            </w:tcBorders>
            <w:shd w:val="pct10" w:color="auto" w:fill="FFFFFF" w:themeFill="background1"/>
            <w:noWrap/>
            <w:vAlign w:val="bottom"/>
            <w:hideMark/>
          </w:tcPr>
          <w:p w:rsidR="00CB46C2" w:rsidRPr="00CB46C2" w:rsidRDefault="00CB46C2" w:rsidP="00E8178C">
            <w:pPr>
              <w:rPr>
                <w:b/>
                <w:color w:val="000000"/>
                <w:sz w:val="20"/>
                <w:lang w:val="nl-BE" w:eastAsia="nl-BE"/>
              </w:rPr>
            </w:pPr>
            <w:r w:rsidRPr="00CB46C2">
              <w:rPr>
                <w:b/>
                <w:color w:val="000000"/>
                <w:sz w:val="20"/>
                <w:lang w:val="nl-BE" w:eastAsia="nl-BE"/>
              </w:rPr>
              <w:t>Totaal 2011</w:t>
            </w:r>
          </w:p>
        </w:tc>
        <w:tc>
          <w:tcPr>
            <w:tcW w:w="1011" w:type="pct"/>
            <w:tcBorders>
              <w:top w:val="single" w:sz="4" w:space="0" w:color="auto"/>
              <w:left w:val="single" w:sz="4" w:space="0" w:color="auto"/>
              <w:bottom w:val="single" w:sz="4" w:space="0" w:color="auto"/>
              <w:right w:val="single" w:sz="4" w:space="0" w:color="auto"/>
            </w:tcBorders>
            <w:shd w:val="pct10" w:color="auto" w:fill="FFFFFF" w:themeFill="background1"/>
            <w:noWrap/>
            <w:vAlign w:val="bottom"/>
            <w:hideMark/>
          </w:tcPr>
          <w:p w:rsidR="00CB46C2" w:rsidRPr="00CB46C2" w:rsidRDefault="00CB46C2" w:rsidP="00E8178C">
            <w:pPr>
              <w:rPr>
                <w:b/>
                <w:color w:val="000000"/>
                <w:sz w:val="20"/>
                <w:lang w:val="nl-BE" w:eastAsia="nl-BE"/>
              </w:rPr>
            </w:pPr>
            <w:r w:rsidRPr="00CB46C2">
              <w:rPr>
                <w:b/>
                <w:color w:val="000000"/>
                <w:sz w:val="20"/>
                <w:lang w:val="nl-BE" w:eastAsia="nl-BE"/>
              </w:rPr>
              <w:t> </w:t>
            </w:r>
          </w:p>
        </w:tc>
        <w:tc>
          <w:tcPr>
            <w:tcW w:w="973" w:type="pct"/>
            <w:tcBorders>
              <w:top w:val="single" w:sz="4" w:space="0" w:color="auto"/>
              <w:left w:val="single" w:sz="4" w:space="0" w:color="auto"/>
              <w:bottom w:val="single" w:sz="4" w:space="0" w:color="auto"/>
              <w:right w:val="single" w:sz="4" w:space="0" w:color="auto"/>
            </w:tcBorders>
            <w:shd w:val="pct10" w:color="auto" w:fill="FFFFFF" w:themeFill="background1"/>
            <w:noWrap/>
            <w:vAlign w:val="bottom"/>
            <w:hideMark/>
          </w:tcPr>
          <w:p w:rsidR="00CB46C2" w:rsidRPr="00CB46C2" w:rsidRDefault="00CB46C2" w:rsidP="00E8178C">
            <w:pPr>
              <w:jc w:val="right"/>
              <w:rPr>
                <w:b/>
                <w:color w:val="000000"/>
                <w:sz w:val="20"/>
                <w:lang w:val="nl-BE" w:eastAsia="nl-BE"/>
              </w:rPr>
            </w:pPr>
            <w:r w:rsidRPr="00CB46C2">
              <w:rPr>
                <w:b/>
                <w:color w:val="000000"/>
                <w:sz w:val="20"/>
                <w:lang w:val="nl-BE" w:eastAsia="nl-BE"/>
              </w:rPr>
              <w:t>19</w:t>
            </w:r>
          </w:p>
        </w:tc>
        <w:tc>
          <w:tcPr>
            <w:tcW w:w="1534" w:type="pct"/>
            <w:tcBorders>
              <w:top w:val="single" w:sz="4" w:space="0" w:color="auto"/>
              <w:left w:val="single" w:sz="4" w:space="0" w:color="auto"/>
              <w:bottom w:val="single" w:sz="4" w:space="0" w:color="auto"/>
              <w:right w:val="single" w:sz="4" w:space="0" w:color="auto"/>
            </w:tcBorders>
            <w:shd w:val="pct10" w:color="auto" w:fill="FFFFFF" w:themeFill="background1"/>
            <w:noWrap/>
            <w:vAlign w:val="bottom"/>
            <w:hideMark/>
          </w:tcPr>
          <w:p w:rsidR="00CB46C2" w:rsidRPr="00CB46C2" w:rsidRDefault="00CB46C2" w:rsidP="00E8178C">
            <w:pPr>
              <w:jc w:val="right"/>
              <w:rPr>
                <w:b/>
                <w:color w:val="000000"/>
                <w:sz w:val="20"/>
                <w:lang w:val="nl-BE" w:eastAsia="nl-BE"/>
              </w:rPr>
            </w:pPr>
            <w:r w:rsidRPr="00CB46C2">
              <w:rPr>
                <w:b/>
                <w:color w:val="000000"/>
                <w:sz w:val="20"/>
                <w:lang w:val="nl-BE" w:eastAsia="nl-BE"/>
              </w:rPr>
              <w:t>€ 381.525,00</w:t>
            </w:r>
          </w:p>
        </w:tc>
      </w:tr>
      <w:tr w:rsidR="00CB46C2" w:rsidRPr="00E27ADA" w:rsidTr="00CB46C2">
        <w:trPr>
          <w:trHeight w:val="70"/>
        </w:trPr>
        <w:tc>
          <w:tcPr>
            <w:tcW w:w="1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rPr>
                <w:color w:val="000000"/>
                <w:sz w:val="20"/>
                <w:lang w:val="nl-BE" w:eastAsia="nl-BE"/>
              </w:rPr>
            </w:pPr>
            <w:r w:rsidRPr="00CB46C2">
              <w:rPr>
                <w:color w:val="000000"/>
                <w:sz w:val="20"/>
                <w:lang w:val="nl-BE" w:eastAsia="nl-BE"/>
              </w:rPr>
              <w:t>2012</w:t>
            </w:r>
          </w:p>
        </w:tc>
        <w:tc>
          <w:tcPr>
            <w:tcW w:w="10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rPr>
                <w:color w:val="000000"/>
                <w:sz w:val="20"/>
                <w:lang w:val="nl-BE" w:eastAsia="nl-BE"/>
              </w:rPr>
            </w:pPr>
            <w:r w:rsidRPr="00CB46C2">
              <w:rPr>
                <w:color w:val="000000"/>
                <w:sz w:val="20"/>
                <w:lang w:val="nl-BE" w:eastAsia="nl-BE"/>
              </w:rPr>
              <w:t>Nee</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jc w:val="right"/>
              <w:rPr>
                <w:color w:val="000000"/>
                <w:sz w:val="20"/>
                <w:lang w:val="nl-BE" w:eastAsia="nl-BE"/>
              </w:rPr>
            </w:pPr>
            <w:r w:rsidRPr="00CB46C2">
              <w:rPr>
                <w:color w:val="000000"/>
                <w:sz w:val="20"/>
                <w:lang w:val="nl-BE" w:eastAsia="nl-BE"/>
              </w:rPr>
              <w:t>7</w:t>
            </w:r>
          </w:p>
        </w:tc>
        <w:tc>
          <w:tcPr>
            <w:tcW w:w="15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jc w:val="right"/>
              <w:rPr>
                <w:color w:val="000000"/>
                <w:sz w:val="20"/>
                <w:lang w:val="nl-BE" w:eastAsia="nl-BE"/>
              </w:rPr>
            </w:pPr>
            <w:r w:rsidRPr="00CB46C2">
              <w:rPr>
                <w:color w:val="000000"/>
                <w:sz w:val="20"/>
                <w:lang w:val="nl-BE" w:eastAsia="nl-BE"/>
              </w:rPr>
              <w:t>€ 211.259,22</w:t>
            </w:r>
          </w:p>
        </w:tc>
      </w:tr>
      <w:tr w:rsidR="00CB46C2" w:rsidRPr="00E27ADA" w:rsidTr="00CB46C2">
        <w:trPr>
          <w:trHeight w:val="70"/>
        </w:trPr>
        <w:tc>
          <w:tcPr>
            <w:tcW w:w="1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rPr>
                <w:color w:val="000000"/>
                <w:sz w:val="20"/>
                <w:lang w:val="nl-BE" w:eastAsia="nl-BE"/>
              </w:rPr>
            </w:pPr>
            <w:r w:rsidRPr="00CB46C2">
              <w:rPr>
                <w:color w:val="000000"/>
                <w:sz w:val="20"/>
                <w:lang w:val="nl-BE" w:eastAsia="nl-BE"/>
              </w:rPr>
              <w:t> </w:t>
            </w:r>
          </w:p>
        </w:tc>
        <w:tc>
          <w:tcPr>
            <w:tcW w:w="10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rPr>
                <w:color w:val="000000"/>
                <w:sz w:val="20"/>
                <w:lang w:val="nl-BE" w:eastAsia="nl-BE"/>
              </w:rPr>
            </w:pPr>
            <w:r w:rsidRPr="00CB46C2">
              <w:rPr>
                <w:color w:val="000000"/>
                <w:sz w:val="20"/>
                <w:lang w:val="nl-BE" w:eastAsia="nl-BE"/>
              </w:rPr>
              <w:t>Ja</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jc w:val="right"/>
              <w:rPr>
                <w:color w:val="000000"/>
                <w:sz w:val="20"/>
                <w:lang w:val="nl-BE" w:eastAsia="nl-BE"/>
              </w:rPr>
            </w:pPr>
            <w:r w:rsidRPr="00CB46C2">
              <w:rPr>
                <w:color w:val="000000"/>
                <w:sz w:val="20"/>
                <w:lang w:val="nl-BE" w:eastAsia="nl-BE"/>
              </w:rPr>
              <w:t>6</w:t>
            </w:r>
          </w:p>
        </w:tc>
        <w:tc>
          <w:tcPr>
            <w:tcW w:w="15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6C2" w:rsidRPr="00CB46C2" w:rsidRDefault="00CB46C2" w:rsidP="00E8178C">
            <w:pPr>
              <w:jc w:val="right"/>
              <w:rPr>
                <w:color w:val="000000"/>
                <w:sz w:val="20"/>
                <w:lang w:val="nl-BE" w:eastAsia="nl-BE"/>
              </w:rPr>
            </w:pPr>
            <w:r w:rsidRPr="00CB46C2">
              <w:rPr>
                <w:color w:val="000000"/>
                <w:sz w:val="20"/>
                <w:lang w:val="nl-BE" w:eastAsia="nl-BE"/>
              </w:rPr>
              <w:t>€ 99.984,53</w:t>
            </w:r>
          </w:p>
        </w:tc>
      </w:tr>
      <w:tr w:rsidR="00CB46C2" w:rsidRPr="00E27ADA" w:rsidTr="00CB46C2">
        <w:trPr>
          <w:trHeight w:val="70"/>
        </w:trPr>
        <w:tc>
          <w:tcPr>
            <w:tcW w:w="1483" w:type="pct"/>
            <w:tcBorders>
              <w:top w:val="single" w:sz="4" w:space="0" w:color="auto"/>
              <w:left w:val="single" w:sz="4" w:space="0" w:color="auto"/>
              <w:bottom w:val="single" w:sz="4" w:space="0" w:color="auto"/>
              <w:right w:val="single" w:sz="4" w:space="0" w:color="auto"/>
            </w:tcBorders>
            <w:shd w:val="pct10" w:color="auto" w:fill="FFFFFF" w:themeFill="background1"/>
            <w:noWrap/>
            <w:vAlign w:val="bottom"/>
            <w:hideMark/>
          </w:tcPr>
          <w:p w:rsidR="00CB46C2" w:rsidRPr="00CB46C2" w:rsidRDefault="00CB46C2" w:rsidP="00CB46C2">
            <w:pPr>
              <w:rPr>
                <w:b/>
                <w:color w:val="000000"/>
                <w:sz w:val="20"/>
                <w:lang w:val="nl-BE" w:eastAsia="nl-BE"/>
              </w:rPr>
            </w:pPr>
            <w:r w:rsidRPr="00CB46C2">
              <w:rPr>
                <w:b/>
                <w:color w:val="000000"/>
                <w:sz w:val="20"/>
                <w:lang w:val="nl-BE" w:eastAsia="nl-BE"/>
              </w:rPr>
              <w:t>Totaal 2012</w:t>
            </w:r>
          </w:p>
        </w:tc>
        <w:tc>
          <w:tcPr>
            <w:tcW w:w="1011" w:type="pct"/>
            <w:tcBorders>
              <w:top w:val="single" w:sz="4" w:space="0" w:color="auto"/>
              <w:left w:val="single" w:sz="4" w:space="0" w:color="auto"/>
              <w:bottom w:val="single" w:sz="4" w:space="0" w:color="auto"/>
              <w:right w:val="single" w:sz="4" w:space="0" w:color="auto"/>
            </w:tcBorders>
            <w:shd w:val="pct10" w:color="auto" w:fill="FFFFFF" w:themeFill="background1"/>
            <w:noWrap/>
            <w:vAlign w:val="bottom"/>
            <w:hideMark/>
          </w:tcPr>
          <w:p w:rsidR="00CB46C2" w:rsidRPr="00CB46C2" w:rsidRDefault="00CB46C2" w:rsidP="00CB46C2">
            <w:pPr>
              <w:rPr>
                <w:b/>
                <w:color w:val="000000"/>
                <w:sz w:val="20"/>
                <w:lang w:val="nl-BE" w:eastAsia="nl-BE"/>
              </w:rPr>
            </w:pPr>
            <w:r w:rsidRPr="00CB46C2">
              <w:rPr>
                <w:b/>
                <w:color w:val="000000"/>
                <w:sz w:val="20"/>
                <w:lang w:val="nl-BE" w:eastAsia="nl-BE"/>
              </w:rPr>
              <w:t> </w:t>
            </w:r>
          </w:p>
        </w:tc>
        <w:tc>
          <w:tcPr>
            <w:tcW w:w="973" w:type="pct"/>
            <w:tcBorders>
              <w:top w:val="single" w:sz="4" w:space="0" w:color="auto"/>
              <w:left w:val="single" w:sz="4" w:space="0" w:color="auto"/>
              <w:bottom w:val="single" w:sz="4" w:space="0" w:color="auto"/>
              <w:right w:val="single" w:sz="4" w:space="0" w:color="auto"/>
            </w:tcBorders>
            <w:shd w:val="pct10" w:color="auto" w:fill="FFFFFF" w:themeFill="background1"/>
            <w:noWrap/>
            <w:vAlign w:val="bottom"/>
            <w:hideMark/>
          </w:tcPr>
          <w:p w:rsidR="00CB46C2" w:rsidRPr="00CB46C2" w:rsidRDefault="00CB46C2" w:rsidP="00CB46C2">
            <w:pPr>
              <w:rPr>
                <w:b/>
                <w:color w:val="000000"/>
                <w:sz w:val="20"/>
                <w:lang w:val="nl-BE" w:eastAsia="nl-BE"/>
              </w:rPr>
            </w:pPr>
            <w:r w:rsidRPr="00CB46C2">
              <w:rPr>
                <w:b/>
                <w:color w:val="000000"/>
                <w:sz w:val="20"/>
                <w:lang w:val="nl-BE" w:eastAsia="nl-BE"/>
              </w:rPr>
              <w:t>13</w:t>
            </w:r>
          </w:p>
        </w:tc>
        <w:tc>
          <w:tcPr>
            <w:tcW w:w="1534" w:type="pct"/>
            <w:tcBorders>
              <w:top w:val="single" w:sz="4" w:space="0" w:color="auto"/>
              <w:left w:val="single" w:sz="4" w:space="0" w:color="auto"/>
              <w:bottom w:val="single" w:sz="4" w:space="0" w:color="auto"/>
              <w:right w:val="single" w:sz="4" w:space="0" w:color="auto"/>
            </w:tcBorders>
            <w:shd w:val="pct10" w:color="auto" w:fill="FFFFFF" w:themeFill="background1"/>
            <w:noWrap/>
            <w:vAlign w:val="bottom"/>
            <w:hideMark/>
          </w:tcPr>
          <w:p w:rsidR="00CB46C2" w:rsidRPr="00CB46C2" w:rsidRDefault="00CB46C2" w:rsidP="00CB46C2">
            <w:pPr>
              <w:rPr>
                <w:b/>
                <w:color w:val="000000"/>
                <w:sz w:val="20"/>
                <w:lang w:val="nl-BE" w:eastAsia="nl-BE"/>
              </w:rPr>
            </w:pPr>
            <w:r w:rsidRPr="00CB46C2">
              <w:rPr>
                <w:b/>
                <w:color w:val="000000"/>
                <w:sz w:val="20"/>
                <w:lang w:val="nl-BE" w:eastAsia="nl-BE"/>
              </w:rPr>
              <w:t>€ 311.243,75</w:t>
            </w:r>
          </w:p>
        </w:tc>
      </w:tr>
    </w:tbl>
    <w:p w:rsidR="008956F3" w:rsidRDefault="008956F3" w:rsidP="00CB46C2">
      <w:pPr>
        <w:pStyle w:val="StandaardSV"/>
        <w:jc w:val="left"/>
      </w:pPr>
    </w:p>
    <w:p w:rsidR="008956F3" w:rsidRDefault="00CB46C2" w:rsidP="00CB46C2">
      <w:pPr>
        <w:pStyle w:val="StandaardSV"/>
        <w:ind w:left="360" w:hanging="360"/>
        <w:jc w:val="left"/>
      </w:pPr>
      <w:r>
        <w:t>4c.</w:t>
      </w:r>
      <w:r>
        <w:tab/>
        <w:t>D</w:t>
      </w:r>
      <w:r w:rsidR="008956F3">
        <w:t>e voornaamste redenen om niet tot registratie over te gaan en om m.a.w. de Winwinlening te weigeren zijn:</w:t>
      </w:r>
    </w:p>
    <w:p w:rsidR="008956F3" w:rsidRDefault="00CB46C2" w:rsidP="00CB46C2">
      <w:pPr>
        <w:pStyle w:val="StandaardSV"/>
        <w:numPr>
          <w:ilvl w:val="0"/>
          <w:numId w:val="42"/>
        </w:numPr>
        <w:jc w:val="left"/>
      </w:pPr>
      <w:r>
        <w:t>h</w:t>
      </w:r>
      <w:r w:rsidR="008956F3">
        <w:t>et niet of niet tijdig overmaken van de documenten (getekende akte Winwinlening en bijh</w:t>
      </w:r>
      <w:r w:rsidR="008956F3">
        <w:t>o</w:t>
      </w:r>
      <w:r w:rsidR="008956F3">
        <w:t>rende delgingstabel)</w:t>
      </w:r>
      <w:r>
        <w:t>;</w:t>
      </w:r>
    </w:p>
    <w:p w:rsidR="008956F3" w:rsidRDefault="00CB46C2" w:rsidP="00CB46C2">
      <w:pPr>
        <w:pStyle w:val="StandaardSV"/>
        <w:numPr>
          <w:ilvl w:val="0"/>
          <w:numId w:val="42"/>
        </w:numPr>
        <w:jc w:val="left"/>
      </w:pPr>
      <w:r>
        <w:t>d</w:t>
      </w:r>
      <w:r w:rsidR="008956F3">
        <w:t>e kredietnemer voldoet niet aan de voorwaarden van het toepasselijk wetgevend kader</w:t>
      </w:r>
      <w:r>
        <w:t>;</w:t>
      </w:r>
    </w:p>
    <w:p w:rsidR="008956F3" w:rsidRPr="00E90FC2" w:rsidRDefault="00CB46C2" w:rsidP="00CB46C2">
      <w:pPr>
        <w:pStyle w:val="StandaardSV"/>
        <w:numPr>
          <w:ilvl w:val="0"/>
          <w:numId w:val="42"/>
        </w:numPr>
        <w:jc w:val="left"/>
      </w:pPr>
      <w:r>
        <w:t>d</w:t>
      </w:r>
      <w:r w:rsidR="008956F3">
        <w:t>e kredietgever voldoet niet aan de voorwaarden van het toepasselijk wetgevend kader.</w:t>
      </w:r>
    </w:p>
    <w:p w:rsidR="00E90FC2" w:rsidRDefault="00E90FC2" w:rsidP="00CB46C2">
      <w:pPr>
        <w:pStyle w:val="StandaardSV"/>
        <w:jc w:val="left"/>
      </w:pPr>
    </w:p>
    <w:p w:rsidR="00424215" w:rsidRDefault="00424215" w:rsidP="00CB46C2">
      <w:pPr>
        <w:pStyle w:val="StandaardSV"/>
        <w:numPr>
          <w:ilvl w:val="0"/>
          <w:numId w:val="41"/>
        </w:numPr>
        <w:jc w:val="left"/>
      </w:pPr>
      <w:r>
        <w:lastRenderedPageBreak/>
        <w:t>De prognose</w:t>
      </w:r>
      <w:r w:rsidR="00752DC7">
        <w:t>s</w:t>
      </w:r>
      <w:r>
        <w:t xml:space="preserve"> m.b.t de impact op de Vlaamse begroting worden jaarlijks overgemaakt in het b</w:t>
      </w:r>
      <w:r>
        <w:t>e</w:t>
      </w:r>
      <w:r>
        <w:t>heersplan van de Winwinleningen.</w:t>
      </w:r>
    </w:p>
    <w:p w:rsidR="00424215" w:rsidRDefault="00424215" w:rsidP="00CB46C2">
      <w:pPr>
        <w:pStyle w:val="StandaardSV"/>
        <w:ind w:left="360"/>
        <w:jc w:val="left"/>
      </w:pPr>
    </w:p>
    <w:p w:rsidR="00424215" w:rsidRPr="00E27ADA" w:rsidRDefault="00424215" w:rsidP="00A2212B">
      <w:pPr>
        <w:pStyle w:val="Kop2"/>
        <w:ind w:left="927"/>
        <w:jc w:val="both"/>
        <w:rPr>
          <w:sz w:val="22"/>
          <w:szCs w:val="22"/>
        </w:rPr>
      </w:pPr>
      <w:r w:rsidRPr="00E27ADA">
        <w:rPr>
          <w:sz w:val="22"/>
          <w:szCs w:val="22"/>
        </w:rPr>
        <w:t>Jaarlijks fiscaal voordeel van 2,5%</w:t>
      </w:r>
    </w:p>
    <w:p w:rsidR="00424215" w:rsidRPr="00E27ADA" w:rsidRDefault="00424215" w:rsidP="00A2212B">
      <w:pPr>
        <w:ind w:left="360"/>
        <w:jc w:val="both"/>
        <w:rPr>
          <w:sz w:val="22"/>
          <w:szCs w:val="22"/>
        </w:rPr>
      </w:pPr>
      <w:r w:rsidRPr="00E27ADA">
        <w:rPr>
          <w:sz w:val="22"/>
          <w:szCs w:val="22"/>
        </w:rPr>
        <w:t>Rekening houdend met het feit dat er minimum twee jaar verloopt tussen de invulling van de aa</w:t>
      </w:r>
      <w:r w:rsidRPr="00E27ADA">
        <w:rPr>
          <w:sz w:val="22"/>
          <w:szCs w:val="22"/>
        </w:rPr>
        <w:t>n</w:t>
      </w:r>
      <w:r w:rsidRPr="00E27ADA">
        <w:rPr>
          <w:sz w:val="22"/>
          <w:szCs w:val="22"/>
        </w:rPr>
        <w:t>gifte personenbelasting en de facturatie door de FOD Financiën aan het Vlaamse Gewest dient de prognose voor 2013 berekend te worden op basis van de uitstaande saldi op 1/1/2011 en 31/12/2011. Die saldi werden immers door de kredietgevers ingevuld op hun aangifte in de pers</w:t>
      </w:r>
      <w:r w:rsidRPr="00E27ADA">
        <w:rPr>
          <w:sz w:val="22"/>
          <w:szCs w:val="22"/>
        </w:rPr>
        <w:t>o</w:t>
      </w:r>
      <w:r w:rsidRPr="00E27ADA">
        <w:rPr>
          <w:sz w:val="22"/>
          <w:szCs w:val="22"/>
        </w:rPr>
        <w:t xml:space="preserve">nenbelasting voor het aanslagjaar 2012 die door de fiscale administratie kunnen worden </w:t>
      </w:r>
      <w:r w:rsidR="00CB46C2" w:rsidRPr="00E27ADA">
        <w:rPr>
          <w:sz w:val="22"/>
          <w:szCs w:val="22"/>
        </w:rPr>
        <w:t>ge</w:t>
      </w:r>
      <w:r w:rsidR="00CB46C2">
        <w:rPr>
          <w:sz w:val="22"/>
          <w:szCs w:val="22"/>
        </w:rPr>
        <w:t>ï</w:t>
      </w:r>
      <w:r w:rsidR="00CB46C2" w:rsidRPr="00E27ADA">
        <w:rPr>
          <w:sz w:val="22"/>
          <w:szCs w:val="22"/>
        </w:rPr>
        <w:t>nk</w:t>
      </w:r>
      <w:r w:rsidR="00CB46C2" w:rsidRPr="00E27ADA">
        <w:rPr>
          <w:sz w:val="22"/>
          <w:szCs w:val="22"/>
        </w:rPr>
        <w:t>o</w:t>
      </w:r>
      <w:r w:rsidR="00CB46C2" w:rsidRPr="00E27ADA">
        <w:rPr>
          <w:sz w:val="22"/>
          <w:szCs w:val="22"/>
        </w:rPr>
        <w:t>hierd</w:t>
      </w:r>
      <w:r w:rsidRPr="00E27ADA">
        <w:rPr>
          <w:sz w:val="22"/>
          <w:szCs w:val="22"/>
        </w:rPr>
        <w:t xml:space="preserve"> tot 30/</w:t>
      </w:r>
      <w:r w:rsidR="00752DC7">
        <w:rPr>
          <w:sz w:val="22"/>
          <w:szCs w:val="22"/>
        </w:rPr>
        <w:t>0</w:t>
      </w:r>
      <w:r w:rsidRPr="00E27ADA">
        <w:rPr>
          <w:sz w:val="22"/>
          <w:szCs w:val="22"/>
        </w:rPr>
        <w:t>6/2013. De FOD Financiën kan dus ten vroegste einde 2013 factureren aan het Vlaamse gewest voor de in 2010 bestaande stock Winwinleningen.</w:t>
      </w:r>
    </w:p>
    <w:p w:rsidR="00424215" w:rsidRPr="00E27ADA" w:rsidRDefault="00424215" w:rsidP="00CB46C2">
      <w:pPr>
        <w:ind w:left="360"/>
        <w:rPr>
          <w:sz w:val="22"/>
          <w:szCs w:val="22"/>
        </w:rPr>
      </w:pPr>
    </w:p>
    <w:tbl>
      <w:tblPr>
        <w:tblW w:w="467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026"/>
        <w:gridCol w:w="2489"/>
        <w:gridCol w:w="2136"/>
      </w:tblGrid>
      <w:tr w:rsidR="00CB46C2" w:rsidRPr="00CB46C2" w:rsidTr="00CB46C2">
        <w:trPr>
          <w:trHeight w:val="70"/>
        </w:trPr>
        <w:tc>
          <w:tcPr>
            <w:tcW w:w="1167" w:type="pct"/>
            <w:shd w:val="pct10" w:color="auto" w:fill="FFFFFF" w:themeFill="background1"/>
          </w:tcPr>
          <w:p w:rsidR="00CB46C2" w:rsidRPr="00CB46C2" w:rsidRDefault="00424215" w:rsidP="00CB46C2">
            <w:pPr>
              <w:rPr>
                <w:rFonts w:eastAsia="SimSun"/>
                <w:b/>
                <w:sz w:val="20"/>
              </w:rPr>
            </w:pPr>
            <w:r w:rsidRPr="00CB46C2">
              <w:rPr>
                <w:rFonts w:eastAsia="SimSun"/>
                <w:b/>
                <w:sz w:val="20"/>
              </w:rPr>
              <w:t>Som van de saldi op</w:t>
            </w:r>
          </w:p>
          <w:p w:rsidR="00424215" w:rsidRPr="00CB46C2" w:rsidRDefault="00424215" w:rsidP="00CB46C2">
            <w:pPr>
              <w:rPr>
                <w:rFonts w:eastAsia="SimSun"/>
                <w:b/>
                <w:sz w:val="20"/>
              </w:rPr>
            </w:pPr>
            <w:r w:rsidRPr="00CB46C2">
              <w:rPr>
                <w:rFonts w:eastAsia="SimSun"/>
                <w:b/>
                <w:sz w:val="20"/>
              </w:rPr>
              <w:t>1/1/2011</w:t>
            </w:r>
          </w:p>
        </w:tc>
        <w:tc>
          <w:tcPr>
            <w:tcW w:w="1167" w:type="pct"/>
            <w:shd w:val="pct10" w:color="auto" w:fill="FFFFFF" w:themeFill="background1"/>
          </w:tcPr>
          <w:p w:rsidR="00CB46C2" w:rsidRPr="00CB46C2" w:rsidRDefault="00424215" w:rsidP="00CB46C2">
            <w:pPr>
              <w:rPr>
                <w:rFonts w:eastAsia="SimSun"/>
                <w:b/>
                <w:sz w:val="20"/>
              </w:rPr>
            </w:pPr>
            <w:r w:rsidRPr="00CB46C2">
              <w:rPr>
                <w:rFonts w:eastAsia="SimSun"/>
                <w:b/>
                <w:sz w:val="20"/>
              </w:rPr>
              <w:t>Som van de saldi op</w:t>
            </w:r>
          </w:p>
          <w:p w:rsidR="00424215" w:rsidRPr="00CB46C2" w:rsidRDefault="00424215" w:rsidP="00CB46C2">
            <w:pPr>
              <w:tabs>
                <w:tab w:val="right" w:pos="2106"/>
              </w:tabs>
              <w:rPr>
                <w:rFonts w:eastAsia="SimSun"/>
                <w:b/>
                <w:sz w:val="20"/>
              </w:rPr>
            </w:pPr>
            <w:r w:rsidRPr="00CB46C2">
              <w:rPr>
                <w:rFonts w:eastAsia="SimSun"/>
                <w:b/>
                <w:sz w:val="20"/>
              </w:rPr>
              <w:t>31/12/2011</w:t>
            </w:r>
          </w:p>
        </w:tc>
        <w:tc>
          <w:tcPr>
            <w:tcW w:w="1434" w:type="pct"/>
            <w:shd w:val="pct10" w:color="auto" w:fill="FFFFFF" w:themeFill="background1"/>
          </w:tcPr>
          <w:p w:rsidR="00424215" w:rsidRPr="00CB46C2" w:rsidRDefault="00424215" w:rsidP="00261D17">
            <w:pPr>
              <w:rPr>
                <w:rFonts w:eastAsia="SimSun"/>
                <w:b/>
                <w:sz w:val="20"/>
              </w:rPr>
            </w:pPr>
            <w:r w:rsidRPr="00CB46C2">
              <w:rPr>
                <w:rFonts w:eastAsia="SimSun"/>
                <w:b/>
                <w:sz w:val="20"/>
              </w:rPr>
              <w:t>Rekenkundig gemiddelde</w:t>
            </w:r>
          </w:p>
        </w:tc>
        <w:tc>
          <w:tcPr>
            <w:tcW w:w="1231" w:type="pct"/>
            <w:shd w:val="pct10" w:color="auto" w:fill="FFFFFF" w:themeFill="background1"/>
          </w:tcPr>
          <w:p w:rsidR="00CB46C2" w:rsidRPr="00CB46C2" w:rsidRDefault="00424215" w:rsidP="00CB46C2">
            <w:pPr>
              <w:rPr>
                <w:rFonts w:eastAsia="SimSun"/>
                <w:b/>
                <w:sz w:val="20"/>
              </w:rPr>
            </w:pPr>
            <w:r w:rsidRPr="00CB46C2">
              <w:rPr>
                <w:rFonts w:eastAsia="SimSun"/>
                <w:b/>
                <w:sz w:val="20"/>
              </w:rPr>
              <w:t>Fiscaal voordeel van</w:t>
            </w:r>
          </w:p>
          <w:p w:rsidR="00CB46C2" w:rsidRDefault="00424215" w:rsidP="00CB46C2">
            <w:pPr>
              <w:rPr>
                <w:rFonts w:eastAsia="SimSun"/>
                <w:b/>
                <w:sz w:val="20"/>
              </w:rPr>
            </w:pPr>
            <w:r w:rsidRPr="00CB46C2">
              <w:rPr>
                <w:rFonts w:eastAsia="SimSun"/>
                <w:b/>
                <w:sz w:val="20"/>
              </w:rPr>
              <w:t>2,5% ten laste van</w:t>
            </w:r>
          </w:p>
          <w:p w:rsidR="00424215" w:rsidRPr="00CB46C2" w:rsidRDefault="00CB46C2" w:rsidP="00CB46C2">
            <w:pPr>
              <w:rPr>
                <w:rFonts w:eastAsia="SimSun"/>
                <w:b/>
                <w:sz w:val="20"/>
              </w:rPr>
            </w:pPr>
            <w:r>
              <w:rPr>
                <w:rFonts w:eastAsia="SimSun"/>
                <w:b/>
                <w:sz w:val="20"/>
              </w:rPr>
              <w:t>d</w:t>
            </w:r>
            <w:r w:rsidRPr="00CB46C2">
              <w:rPr>
                <w:rFonts w:eastAsia="SimSun"/>
                <w:b/>
                <w:sz w:val="20"/>
              </w:rPr>
              <w:t>e</w:t>
            </w:r>
            <w:r>
              <w:rPr>
                <w:rFonts w:eastAsia="SimSun"/>
                <w:b/>
                <w:sz w:val="20"/>
              </w:rPr>
              <w:t xml:space="preserve"> </w:t>
            </w:r>
            <w:r w:rsidR="00424215" w:rsidRPr="00CB46C2">
              <w:rPr>
                <w:rFonts w:eastAsia="SimSun"/>
                <w:b/>
                <w:sz w:val="20"/>
              </w:rPr>
              <w:t>begroting 2013</w:t>
            </w:r>
          </w:p>
        </w:tc>
      </w:tr>
      <w:tr w:rsidR="00424215" w:rsidRPr="00CB46C2" w:rsidTr="00CB46C2">
        <w:trPr>
          <w:trHeight w:val="70"/>
        </w:trPr>
        <w:tc>
          <w:tcPr>
            <w:tcW w:w="1167" w:type="pct"/>
            <w:shd w:val="clear" w:color="auto" w:fill="auto"/>
          </w:tcPr>
          <w:p w:rsidR="00424215" w:rsidRPr="00CB46C2" w:rsidRDefault="00424215" w:rsidP="00261D17">
            <w:pPr>
              <w:rPr>
                <w:rFonts w:eastAsia="SimSun"/>
                <w:sz w:val="20"/>
              </w:rPr>
            </w:pPr>
            <w:r w:rsidRPr="00CB46C2">
              <w:rPr>
                <w:rFonts w:eastAsia="SimSun"/>
                <w:sz w:val="20"/>
              </w:rPr>
              <w:t>36.419.969,65</w:t>
            </w:r>
          </w:p>
        </w:tc>
        <w:tc>
          <w:tcPr>
            <w:tcW w:w="1167" w:type="pct"/>
            <w:shd w:val="clear" w:color="auto" w:fill="auto"/>
          </w:tcPr>
          <w:p w:rsidR="00424215" w:rsidRPr="00CB46C2" w:rsidRDefault="00424215" w:rsidP="00261D17">
            <w:pPr>
              <w:rPr>
                <w:rFonts w:eastAsia="SimSun"/>
                <w:sz w:val="20"/>
              </w:rPr>
            </w:pPr>
            <w:r w:rsidRPr="00CB46C2">
              <w:rPr>
                <w:rFonts w:eastAsia="SimSun"/>
                <w:sz w:val="20"/>
              </w:rPr>
              <w:t>60.411.488,51</w:t>
            </w:r>
          </w:p>
        </w:tc>
        <w:tc>
          <w:tcPr>
            <w:tcW w:w="1434" w:type="pct"/>
            <w:shd w:val="clear" w:color="auto" w:fill="auto"/>
          </w:tcPr>
          <w:p w:rsidR="00424215" w:rsidRPr="00CB46C2" w:rsidRDefault="00424215" w:rsidP="00261D17">
            <w:pPr>
              <w:rPr>
                <w:rFonts w:eastAsia="SimSun"/>
                <w:sz w:val="20"/>
              </w:rPr>
            </w:pPr>
            <w:r w:rsidRPr="00CB46C2">
              <w:rPr>
                <w:rFonts w:eastAsia="SimSun"/>
                <w:sz w:val="20"/>
              </w:rPr>
              <w:t>48.415.729,08</w:t>
            </w:r>
          </w:p>
        </w:tc>
        <w:tc>
          <w:tcPr>
            <w:tcW w:w="1231" w:type="pct"/>
            <w:shd w:val="clear" w:color="auto" w:fill="auto"/>
          </w:tcPr>
          <w:p w:rsidR="00424215" w:rsidRPr="00CB46C2" w:rsidRDefault="00424215" w:rsidP="00261D17">
            <w:pPr>
              <w:rPr>
                <w:rFonts w:eastAsia="SimSun"/>
                <w:sz w:val="20"/>
              </w:rPr>
            </w:pPr>
            <w:r w:rsidRPr="00CB46C2">
              <w:rPr>
                <w:rFonts w:eastAsia="SimSun"/>
                <w:sz w:val="20"/>
              </w:rPr>
              <w:t>1.210.393,23</w:t>
            </w:r>
          </w:p>
        </w:tc>
      </w:tr>
    </w:tbl>
    <w:p w:rsidR="00424215" w:rsidRPr="00E27ADA" w:rsidRDefault="00424215" w:rsidP="00CB46C2">
      <w:pPr>
        <w:ind w:left="360"/>
        <w:rPr>
          <w:sz w:val="22"/>
          <w:szCs w:val="22"/>
        </w:rPr>
      </w:pPr>
    </w:p>
    <w:p w:rsidR="00424215" w:rsidRPr="00E27ADA" w:rsidRDefault="00424215" w:rsidP="00A2212B">
      <w:pPr>
        <w:pStyle w:val="Kop2"/>
        <w:ind w:left="927"/>
        <w:jc w:val="both"/>
        <w:rPr>
          <w:sz w:val="22"/>
          <w:szCs w:val="22"/>
        </w:rPr>
      </w:pPr>
      <w:r w:rsidRPr="00E27ADA">
        <w:rPr>
          <w:sz w:val="22"/>
          <w:szCs w:val="22"/>
        </w:rPr>
        <w:t>Eénmalig fiscaal voordeel van 30%</w:t>
      </w:r>
    </w:p>
    <w:p w:rsidR="00424215" w:rsidRPr="00E27ADA" w:rsidRDefault="00424215" w:rsidP="00A2212B">
      <w:pPr>
        <w:ind w:left="360"/>
        <w:jc w:val="both"/>
        <w:rPr>
          <w:sz w:val="22"/>
          <w:szCs w:val="22"/>
        </w:rPr>
      </w:pPr>
      <w:r w:rsidRPr="00E27ADA">
        <w:rPr>
          <w:sz w:val="22"/>
          <w:szCs w:val="22"/>
        </w:rPr>
        <w:t>Het betreft hier alleen de in 2011 stopgezette leningen waarvoor de kredietgever het éénmalige voordeel van 30% van de verloren gegane hoofdsom claimt. Hier geldt dezelfde redenering als voor het jaarlijks fiscaal voordeel van 2,5%: de aanrekening door de FOD Financiën gebeurt dus eveneens twee jaar later. Het betreft bovendien alleen de gedwongen stopzettingen (falingen, st</w:t>
      </w:r>
      <w:r w:rsidRPr="00E27ADA">
        <w:rPr>
          <w:sz w:val="22"/>
          <w:szCs w:val="22"/>
        </w:rPr>
        <w:t>a</w:t>
      </w:r>
      <w:r w:rsidRPr="00E27ADA">
        <w:rPr>
          <w:sz w:val="22"/>
          <w:szCs w:val="22"/>
        </w:rPr>
        <w:t>king betalingen, …). Voor vrijwillige vervroegde terugbetalingen geldt dit niet.</w:t>
      </w:r>
    </w:p>
    <w:p w:rsidR="00424215" w:rsidRDefault="00424215" w:rsidP="00A2212B">
      <w:pPr>
        <w:ind w:left="360"/>
        <w:jc w:val="both"/>
        <w:rPr>
          <w:sz w:val="22"/>
          <w:szCs w:val="22"/>
        </w:rPr>
      </w:pPr>
      <w:r w:rsidRPr="00E27ADA">
        <w:rPr>
          <w:sz w:val="22"/>
          <w:szCs w:val="22"/>
        </w:rPr>
        <w:t>Tot 31/12/2010 was de kredietgever niet verplicht om PMV op de hoogte te brengen van een eve</w:t>
      </w:r>
      <w:r w:rsidRPr="00E27ADA">
        <w:rPr>
          <w:sz w:val="22"/>
          <w:szCs w:val="22"/>
        </w:rPr>
        <w:t>n</w:t>
      </w:r>
      <w:r w:rsidRPr="00E27ADA">
        <w:rPr>
          <w:sz w:val="22"/>
          <w:szCs w:val="22"/>
        </w:rPr>
        <w:t>tuele stopzetting. Bijgevolg dient voor deze raming het nodige voorbehoud gemaakt te worden.</w:t>
      </w:r>
    </w:p>
    <w:p w:rsidR="00E27ADA" w:rsidRPr="00E27ADA" w:rsidRDefault="00E27ADA" w:rsidP="00CB46C2">
      <w:pPr>
        <w:ind w:left="360"/>
        <w:rPr>
          <w:sz w:val="22"/>
          <w:szCs w:val="22"/>
        </w:rPr>
      </w:pPr>
    </w:p>
    <w:tbl>
      <w:tblPr>
        <w:tblW w:w="4063"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3635"/>
      </w:tblGrid>
      <w:tr w:rsidR="00424215" w:rsidRPr="00CB46C2" w:rsidTr="00CB46C2">
        <w:trPr>
          <w:trHeight w:val="70"/>
        </w:trPr>
        <w:tc>
          <w:tcPr>
            <w:tcW w:w="2592" w:type="pct"/>
            <w:shd w:val="pct10" w:color="auto" w:fill="FFFFFF" w:themeFill="background1"/>
          </w:tcPr>
          <w:p w:rsidR="00CB46C2" w:rsidRPr="00CB46C2" w:rsidRDefault="00424215" w:rsidP="00CB46C2">
            <w:pPr>
              <w:rPr>
                <w:rFonts w:eastAsia="SimSun"/>
                <w:b/>
                <w:sz w:val="20"/>
              </w:rPr>
            </w:pPr>
            <w:bookmarkStart w:id="0" w:name="_GoBack"/>
            <w:r w:rsidRPr="00CB46C2">
              <w:rPr>
                <w:rFonts w:eastAsia="SimSun"/>
                <w:b/>
                <w:sz w:val="20"/>
              </w:rPr>
              <w:t>Totaal van de opgegeven verliezen in 2011</w:t>
            </w:r>
          </w:p>
          <w:p w:rsidR="00424215" w:rsidRPr="00CB46C2" w:rsidRDefault="00424215" w:rsidP="00CB46C2">
            <w:pPr>
              <w:rPr>
                <w:rFonts w:eastAsia="SimSun"/>
                <w:b/>
                <w:sz w:val="20"/>
              </w:rPr>
            </w:pPr>
            <w:r w:rsidRPr="00CB46C2">
              <w:rPr>
                <w:rFonts w:eastAsia="SimSun"/>
                <w:b/>
                <w:sz w:val="20"/>
              </w:rPr>
              <w:t xml:space="preserve">(saldo bij stopzetting) </w:t>
            </w:r>
          </w:p>
        </w:tc>
        <w:tc>
          <w:tcPr>
            <w:tcW w:w="2408" w:type="pct"/>
            <w:shd w:val="pct10" w:color="auto" w:fill="FFFFFF" w:themeFill="background1"/>
          </w:tcPr>
          <w:p w:rsidR="00CB46C2" w:rsidRPr="00CB46C2" w:rsidRDefault="00424215" w:rsidP="00261D17">
            <w:pPr>
              <w:rPr>
                <w:rFonts w:eastAsia="SimSun"/>
                <w:b/>
                <w:sz w:val="20"/>
              </w:rPr>
            </w:pPr>
            <w:r w:rsidRPr="00CB46C2">
              <w:rPr>
                <w:rFonts w:eastAsia="SimSun"/>
                <w:b/>
                <w:sz w:val="20"/>
              </w:rPr>
              <w:t>Fiscaal voordeel van 30% ten laste van</w:t>
            </w:r>
          </w:p>
          <w:p w:rsidR="00424215" w:rsidRPr="00CB46C2" w:rsidRDefault="00CB46C2" w:rsidP="00261D17">
            <w:pPr>
              <w:rPr>
                <w:rFonts w:eastAsia="SimSun"/>
                <w:b/>
                <w:sz w:val="20"/>
              </w:rPr>
            </w:pPr>
            <w:r w:rsidRPr="00CB46C2">
              <w:rPr>
                <w:rFonts w:eastAsia="SimSun"/>
                <w:b/>
                <w:sz w:val="20"/>
              </w:rPr>
              <w:t xml:space="preserve">de </w:t>
            </w:r>
            <w:r w:rsidR="00424215" w:rsidRPr="00CB46C2">
              <w:rPr>
                <w:rFonts w:eastAsia="SimSun"/>
                <w:b/>
                <w:sz w:val="20"/>
              </w:rPr>
              <w:t>begroting 2013</w:t>
            </w:r>
          </w:p>
        </w:tc>
      </w:tr>
      <w:bookmarkEnd w:id="0"/>
      <w:tr w:rsidR="00424215" w:rsidRPr="00CB46C2" w:rsidTr="00CB46C2">
        <w:trPr>
          <w:trHeight w:val="70"/>
        </w:trPr>
        <w:tc>
          <w:tcPr>
            <w:tcW w:w="2592" w:type="pct"/>
            <w:shd w:val="clear" w:color="auto" w:fill="auto"/>
          </w:tcPr>
          <w:p w:rsidR="00424215" w:rsidRPr="00CB46C2" w:rsidRDefault="00424215" w:rsidP="00261D17">
            <w:pPr>
              <w:rPr>
                <w:rFonts w:eastAsia="SimSun"/>
                <w:sz w:val="20"/>
              </w:rPr>
            </w:pPr>
            <w:r w:rsidRPr="00CB46C2">
              <w:rPr>
                <w:rFonts w:eastAsia="SimSun"/>
                <w:sz w:val="20"/>
              </w:rPr>
              <w:t>257.035,95</w:t>
            </w:r>
          </w:p>
        </w:tc>
        <w:tc>
          <w:tcPr>
            <w:tcW w:w="2408" w:type="pct"/>
            <w:shd w:val="clear" w:color="auto" w:fill="auto"/>
          </w:tcPr>
          <w:p w:rsidR="00424215" w:rsidRPr="00CB46C2" w:rsidRDefault="00424215" w:rsidP="00261D17">
            <w:pPr>
              <w:rPr>
                <w:rFonts w:eastAsia="SimSun"/>
                <w:sz w:val="20"/>
              </w:rPr>
            </w:pPr>
            <w:r w:rsidRPr="00CB46C2">
              <w:rPr>
                <w:rFonts w:eastAsia="SimSun"/>
                <w:sz w:val="20"/>
              </w:rPr>
              <w:t>77.110,79</w:t>
            </w:r>
          </w:p>
        </w:tc>
      </w:tr>
    </w:tbl>
    <w:p w:rsidR="00424215" w:rsidRPr="00E90FC2" w:rsidRDefault="00424215" w:rsidP="00CB46C2">
      <w:pPr>
        <w:pStyle w:val="StandaardSV"/>
        <w:ind w:left="360"/>
        <w:jc w:val="left"/>
      </w:pPr>
    </w:p>
    <w:p w:rsidR="00E90FC2" w:rsidRDefault="00424215" w:rsidP="00CB46C2">
      <w:pPr>
        <w:pStyle w:val="StandaardSV"/>
        <w:ind w:left="360"/>
        <w:jc w:val="left"/>
        <w:rPr>
          <w:b/>
        </w:rPr>
      </w:pPr>
      <w:r w:rsidRPr="00424215">
        <w:rPr>
          <w:b/>
        </w:rPr>
        <w:t>Beheersvergoeding 2013</w:t>
      </w:r>
    </w:p>
    <w:p w:rsidR="00424215" w:rsidRPr="00424215" w:rsidRDefault="00424215" w:rsidP="00CB46C2">
      <w:pPr>
        <w:pStyle w:val="StandaardSV"/>
        <w:ind w:left="360"/>
        <w:jc w:val="left"/>
      </w:pPr>
      <w:r>
        <w:t>Voor 2013 bedraagt de beheersvergoeding 160.000 euro.</w:t>
      </w:r>
    </w:p>
    <w:p w:rsidR="00424215" w:rsidRDefault="00424215" w:rsidP="00CB46C2">
      <w:pPr>
        <w:pStyle w:val="StandaardSV"/>
        <w:ind w:left="360"/>
        <w:jc w:val="left"/>
      </w:pPr>
    </w:p>
    <w:p w:rsidR="001E6563" w:rsidRDefault="001E6563" w:rsidP="00CB46C2">
      <w:pPr>
        <w:pStyle w:val="StandaardSV"/>
        <w:ind w:left="360"/>
        <w:jc w:val="left"/>
      </w:pPr>
    </w:p>
    <w:p w:rsidR="00424215" w:rsidRPr="00E90FC2" w:rsidRDefault="00261D17" w:rsidP="00A2212B">
      <w:pPr>
        <w:pStyle w:val="StandaardSV"/>
        <w:numPr>
          <w:ilvl w:val="0"/>
          <w:numId w:val="41"/>
        </w:numPr>
      </w:pPr>
      <w:r>
        <w:t xml:space="preserve">Waarborgbeheer nv kan geen rapportering verschaffen over </w:t>
      </w:r>
      <w:r w:rsidR="00752DC7">
        <w:t>de</w:t>
      </w:r>
      <w:r>
        <w:t xml:space="preserve"> mate </w:t>
      </w:r>
      <w:r w:rsidR="00752DC7">
        <w:t xml:space="preserve">waarin </w:t>
      </w:r>
      <w:r>
        <w:t>het belastingvoordeel al dan niet heeft bijgedragen tot het effectief instappen in een Winwinlening. In 2012 is echter meer dan 50%, zowel in aantal als in bedrag, van de geregistreerde Winwinleningen toegekend aan startende ondernemingen. Op basis hiervan kan besloten worden dat de Winwinlening bi</w:t>
      </w:r>
      <w:r>
        <w:t>j</w:t>
      </w:r>
      <w:r>
        <w:t>draagt tot het verstrekken van de nodige financieringsmiddelen voor de kmo’s en zeker voor die groep van ondernemingen (waaronder onder meer de startende ondernemingen) die het moeilijk heeft om via de bestaande financieringskanalen (i.e. risicokapitaalverschaffers en</w:t>
      </w:r>
      <w:r w:rsidR="00752DC7">
        <w:t>/</w:t>
      </w:r>
      <w:r>
        <w:t>of financiële i</w:t>
      </w:r>
      <w:r>
        <w:t>n</w:t>
      </w:r>
      <w:r>
        <w:t>stellingen) de noodzakelijke liquiditeiten te verwerven.</w:t>
      </w:r>
    </w:p>
    <w:p w:rsidR="00CB46C2" w:rsidRDefault="00CB46C2" w:rsidP="00CB46C2">
      <w:pPr>
        <w:pStyle w:val="StandaardSV"/>
        <w:jc w:val="left"/>
      </w:pPr>
    </w:p>
    <w:p w:rsidR="001E6563" w:rsidRDefault="001E6563" w:rsidP="00CB46C2">
      <w:pPr>
        <w:pStyle w:val="StandaardSV"/>
        <w:jc w:val="left"/>
      </w:pPr>
    </w:p>
    <w:p w:rsidR="002A5D66" w:rsidRPr="00E90FC2" w:rsidRDefault="002A5D66" w:rsidP="00A2212B">
      <w:pPr>
        <w:pStyle w:val="StandaardSV"/>
        <w:numPr>
          <w:ilvl w:val="0"/>
          <w:numId w:val="41"/>
        </w:numPr>
      </w:pPr>
      <w:r>
        <w:t xml:space="preserve">Zoals reeds aangegeven in </w:t>
      </w:r>
      <w:r w:rsidR="00752DC7">
        <w:t xml:space="preserve">het antwoord op </w:t>
      </w:r>
      <w:r w:rsidR="003243F7">
        <w:t>deel</w:t>
      </w:r>
      <w:r>
        <w:t>vraag 6</w:t>
      </w:r>
      <w:r w:rsidR="00752DC7">
        <w:t>, draagt de W</w:t>
      </w:r>
      <w:r>
        <w:t xml:space="preserve">inwinlening </w:t>
      </w:r>
      <w:r w:rsidR="00752DC7">
        <w:t>b</w:t>
      </w:r>
      <w:r>
        <w:t>ij tot het ve</w:t>
      </w:r>
      <w:r>
        <w:t>r</w:t>
      </w:r>
      <w:r>
        <w:t>strekken van de nodige financieringsmiddelen voor de kmo’s en zeker voor die groep van onde</w:t>
      </w:r>
      <w:r>
        <w:t>r</w:t>
      </w:r>
      <w:r>
        <w:t>nemingen die het moeilijk heeft (ook omwille van het huidige economische klimaat) om via de b</w:t>
      </w:r>
      <w:r>
        <w:t>e</w:t>
      </w:r>
      <w:r>
        <w:t>staande financieringskanalen (i.e. risicokapitaalverschaffers en</w:t>
      </w:r>
      <w:r w:rsidR="00752DC7">
        <w:t>/</w:t>
      </w:r>
      <w:r>
        <w:t>of financiële instellingen) de noo</w:t>
      </w:r>
      <w:r>
        <w:t>d</w:t>
      </w:r>
      <w:r>
        <w:t>zakelijke liquiditeiten te verwerven.</w:t>
      </w:r>
    </w:p>
    <w:p w:rsidR="00E90FC2" w:rsidRDefault="00E90FC2" w:rsidP="00CB46C2">
      <w:pPr>
        <w:pStyle w:val="StandaardSV"/>
        <w:jc w:val="left"/>
        <w:rPr>
          <w:i/>
        </w:rPr>
      </w:pPr>
    </w:p>
    <w:p w:rsidR="001E6563" w:rsidRDefault="001E6563" w:rsidP="00CB46C2">
      <w:pPr>
        <w:pStyle w:val="StandaardSV"/>
        <w:jc w:val="left"/>
        <w:rPr>
          <w:i/>
        </w:rPr>
      </w:pPr>
    </w:p>
    <w:p w:rsidR="003243F7" w:rsidRDefault="003243F7" w:rsidP="00A2212B">
      <w:pPr>
        <w:pStyle w:val="SVTitel"/>
        <w:numPr>
          <w:ilvl w:val="0"/>
          <w:numId w:val="41"/>
        </w:numPr>
        <w:rPr>
          <w:i w:val="0"/>
        </w:rPr>
      </w:pPr>
      <w:r>
        <w:rPr>
          <w:i w:val="0"/>
        </w:rPr>
        <w:t>Door de voorziene aanpassing</w:t>
      </w:r>
      <w:r w:rsidR="00752DC7">
        <w:rPr>
          <w:i w:val="0"/>
        </w:rPr>
        <w:t xml:space="preserve"> (</w:t>
      </w:r>
      <w:r>
        <w:rPr>
          <w:i w:val="0"/>
        </w:rPr>
        <w:t xml:space="preserve">om het totale kredietbedrag per kredietnemer op te trekken naar 200.000 euro i.p.v. 100.000 euro) wordt verwacht dat de productie met 50% (zowel in aantal als in bedrag van de geregistreerde Winwinleningen) zal stijgen. </w:t>
      </w:r>
      <w:r w:rsidR="00F54906">
        <w:rPr>
          <w:i w:val="0"/>
        </w:rPr>
        <w:t>Deze stijging zal slechts een impact op de begroting hebben vanaf 2015.</w:t>
      </w:r>
    </w:p>
    <w:sectPr w:rsidR="003243F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0AD" w:rsidRDefault="00A320AD">
      <w:r>
        <w:separator/>
      </w:r>
    </w:p>
  </w:endnote>
  <w:endnote w:type="continuationSeparator" w:id="0">
    <w:p w:rsidR="00A320AD" w:rsidRDefault="00A3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0AD" w:rsidRDefault="00A320AD">
      <w:r>
        <w:separator/>
      </w:r>
    </w:p>
  </w:footnote>
  <w:footnote w:type="continuationSeparator" w:id="0">
    <w:p w:rsidR="00A320AD" w:rsidRDefault="00A320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06552015"/>
    <w:multiLevelType w:val="hybridMultilevel"/>
    <w:tmpl w:val="174616D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08C94229"/>
    <w:multiLevelType w:val="hybridMultilevel"/>
    <w:tmpl w:val="AC7C7F0A"/>
    <w:lvl w:ilvl="0" w:tplc="B106DEFA">
      <w:start w:val="1"/>
      <w:numFmt w:val="lowerLetter"/>
      <w:lvlText w:val="%1)"/>
      <w:lvlJc w:val="left"/>
      <w:pPr>
        <w:ind w:left="780" w:hanging="360"/>
      </w:pPr>
      <w:rPr>
        <w:rFonts w:hint="default"/>
      </w:rPr>
    </w:lvl>
    <w:lvl w:ilvl="1" w:tplc="08130019" w:tentative="1">
      <w:start w:val="1"/>
      <w:numFmt w:val="lowerLetter"/>
      <w:lvlText w:val="%2."/>
      <w:lvlJc w:val="left"/>
      <w:pPr>
        <w:ind w:left="1500" w:hanging="360"/>
      </w:pPr>
    </w:lvl>
    <w:lvl w:ilvl="2" w:tplc="0813001B" w:tentative="1">
      <w:start w:val="1"/>
      <w:numFmt w:val="lowerRoman"/>
      <w:lvlText w:val="%3."/>
      <w:lvlJc w:val="right"/>
      <w:pPr>
        <w:ind w:left="2220" w:hanging="180"/>
      </w:pPr>
    </w:lvl>
    <w:lvl w:ilvl="3" w:tplc="0813000F" w:tentative="1">
      <w:start w:val="1"/>
      <w:numFmt w:val="decimal"/>
      <w:lvlText w:val="%4."/>
      <w:lvlJc w:val="left"/>
      <w:pPr>
        <w:ind w:left="2940" w:hanging="360"/>
      </w:pPr>
    </w:lvl>
    <w:lvl w:ilvl="4" w:tplc="08130019" w:tentative="1">
      <w:start w:val="1"/>
      <w:numFmt w:val="lowerLetter"/>
      <w:lvlText w:val="%5."/>
      <w:lvlJc w:val="left"/>
      <w:pPr>
        <w:ind w:left="3660" w:hanging="360"/>
      </w:pPr>
    </w:lvl>
    <w:lvl w:ilvl="5" w:tplc="0813001B" w:tentative="1">
      <w:start w:val="1"/>
      <w:numFmt w:val="lowerRoman"/>
      <w:lvlText w:val="%6."/>
      <w:lvlJc w:val="right"/>
      <w:pPr>
        <w:ind w:left="4380" w:hanging="180"/>
      </w:pPr>
    </w:lvl>
    <w:lvl w:ilvl="6" w:tplc="0813000F" w:tentative="1">
      <w:start w:val="1"/>
      <w:numFmt w:val="decimal"/>
      <w:lvlText w:val="%7."/>
      <w:lvlJc w:val="left"/>
      <w:pPr>
        <w:ind w:left="5100" w:hanging="360"/>
      </w:pPr>
    </w:lvl>
    <w:lvl w:ilvl="7" w:tplc="08130019" w:tentative="1">
      <w:start w:val="1"/>
      <w:numFmt w:val="lowerLetter"/>
      <w:lvlText w:val="%8."/>
      <w:lvlJc w:val="left"/>
      <w:pPr>
        <w:ind w:left="5820" w:hanging="360"/>
      </w:pPr>
    </w:lvl>
    <w:lvl w:ilvl="8" w:tplc="0813001B" w:tentative="1">
      <w:start w:val="1"/>
      <w:numFmt w:val="lowerRoman"/>
      <w:lvlText w:val="%9."/>
      <w:lvlJc w:val="right"/>
      <w:pPr>
        <w:ind w:left="6540" w:hanging="180"/>
      </w:pPr>
    </w:lvl>
  </w:abstractNum>
  <w:abstractNum w:abstractNumId="3">
    <w:nsid w:val="09B227A0"/>
    <w:multiLevelType w:val="hybridMultilevel"/>
    <w:tmpl w:val="C2FAA96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0D330F3A"/>
    <w:multiLevelType w:val="hybridMultilevel"/>
    <w:tmpl w:val="03FEA73C"/>
    <w:lvl w:ilvl="0" w:tplc="0813000F">
      <w:start w:val="1"/>
      <w:numFmt w:val="decimal"/>
      <w:lvlText w:val="%1."/>
      <w:lvlJc w:val="left"/>
      <w:pPr>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B9D1CFC"/>
    <w:multiLevelType w:val="hybridMultilevel"/>
    <w:tmpl w:val="E3D29FCC"/>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8">
    <w:nsid w:val="1DB6012D"/>
    <w:multiLevelType w:val="hybridMultilevel"/>
    <w:tmpl w:val="B122F19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1FDF5AB8"/>
    <w:multiLevelType w:val="hybridMultilevel"/>
    <w:tmpl w:val="9BAC86C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0882B2B"/>
    <w:multiLevelType w:val="hybridMultilevel"/>
    <w:tmpl w:val="AC38580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2567209E"/>
    <w:multiLevelType w:val="hybridMultilevel"/>
    <w:tmpl w:val="9E9C4FFC"/>
    <w:lvl w:ilvl="0" w:tplc="9AEE03D0">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5C8313C"/>
    <w:multiLevelType w:val="hybridMultilevel"/>
    <w:tmpl w:val="4CD290EE"/>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8A74C44"/>
    <w:multiLevelType w:val="hybridMultilevel"/>
    <w:tmpl w:val="F65A704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nsid w:val="2E0D65A5"/>
    <w:multiLevelType w:val="hybridMultilevel"/>
    <w:tmpl w:val="A446C45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2F1F0393"/>
    <w:multiLevelType w:val="hybridMultilevel"/>
    <w:tmpl w:val="B3E0199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32547729"/>
    <w:multiLevelType w:val="hybridMultilevel"/>
    <w:tmpl w:val="6FD2496E"/>
    <w:lvl w:ilvl="0" w:tplc="EF58BB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35F95A02"/>
    <w:multiLevelType w:val="hybridMultilevel"/>
    <w:tmpl w:val="41B8BF4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38136873"/>
    <w:multiLevelType w:val="hybridMultilevel"/>
    <w:tmpl w:val="2502387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3A465110"/>
    <w:multiLevelType w:val="hybridMultilevel"/>
    <w:tmpl w:val="FDB80C3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nsid w:val="3BF61139"/>
    <w:multiLevelType w:val="hybridMultilevel"/>
    <w:tmpl w:val="987C3D46"/>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3BFF6CA2"/>
    <w:multiLevelType w:val="hybridMultilevel"/>
    <w:tmpl w:val="74880E0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nsid w:val="3D885D94"/>
    <w:multiLevelType w:val="hybridMultilevel"/>
    <w:tmpl w:val="5AD6447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nsid w:val="3EE47685"/>
    <w:multiLevelType w:val="hybridMultilevel"/>
    <w:tmpl w:val="5B3A25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443021BE"/>
    <w:multiLevelType w:val="hybridMultilevel"/>
    <w:tmpl w:val="7C14933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47D62EEF"/>
    <w:multiLevelType w:val="hybridMultilevel"/>
    <w:tmpl w:val="96301DC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7">
    <w:nsid w:val="482D3C3B"/>
    <w:multiLevelType w:val="hybridMultilevel"/>
    <w:tmpl w:val="92D0AA96"/>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8">
    <w:nsid w:val="4A183C2A"/>
    <w:multiLevelType w:val="hybridMultilevel"/>
    <w:tmpl w:val="B122F19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51BE21B8"/>
    <w:multiLevelType w:val="hybridMultilevel"/>
    <w:tmpl w:val="9B020E4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5446446E"/>
    <w:multiLevelType w:val="hybridMultilevel"/>
    <w:tmpl w:val="AE30FA8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1">
    <w:nsid w:val="555610A4"/>
    <w:multiLevelType w:val="hybridMultilevel"/>
    <w:tmpl w:val="B22827D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3">
    <w:nsid w:val="5EEF4B3C"/>
    <w:multiLevelType w:val="hybridMultilevel"/>
    <w:tmpl w:val="5D8064D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4">
    <w:nsid w:val="5F934B64"/>
    <w:multiLevelType w:val="hybridMultilevel"/>
    <w:tmpl w:val="47B6950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61360FEC"/>
    <w:multiLevelType w:val="hybridMultilevel"/>
    <w:tmpl w:val="E4506EE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6">
    <w:nsid w:val="6B9C11B3"/>
    <w:multiLevelType w:val="hybridMultilevel"/>
    <w:tmpl w:val="489298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nsid w:val="6C345D3C"/>
    <w:multiLevelType w:val="hybridMultilevel"/>
    <w:tmpl w:val="0D362CF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8">
    <w:nsid w:val="6C3F0049"/>
    <w:multiLevelType w:val="hybridMultilevel"/>
    <w:tmpl w:val="9508F9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9">
    <w:nsid w:val="6CE9033D"/>
    <w:multiLevelType w:val="hybridMultilevel"/>
    <w:tmpl w:val="F7DA1E0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7E096E14"/>
    <w:multiLevelType w:val="hybridMultilevel"/>
    <w:tmpl w:val="3E220A0E"/>
    <w:lvl w:ilvl="0" w:tplc="D4B6CB20">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0"/>
  </w:num>
  <w:num w:numId="4">
    <w:abstractNumId w:val="32"/>
  </w:num>
  <w:num w:numId="5">
    <w:abstractNumId w:val="24"/>
  </w:num>
  <w:num w:numId="6">
    <w:abstractNumId w:val="5"/>
  </w:num>
  <w:num w:numId="7">
    <w:abstractNumId w:val="38"/>
  </w:num>
  <w:num w:numId="8">
    <w:abstractNumId w:val="22"/>
  </w:num>
  <w:num w:numId="9">
    <w:abstractNumId w:val="19"/>
  </w:num>
  <w:num w:numId="10">
    <w:abstractNumId w:val="4"/>
  </w:num>
  <w:num w:numId="11">
    <w:abstractNumId w:val="17"/>
  </w:num>
  <w:num w:numId="12">
    <w:abstractNumId w:val="7"/>
  </w:num>
  <w:num w:numId="13">
    <w:abstractNumId w:val="14"/>
  </w:num>
  <w:num w:numId="14">
    <w:abstractNumId w:val="27"/>
  </w:num>
  <w:num w:numId="15">
    <w:abstractNumId w:val="15"/>
  </w:num>
  <w:num w:numId="16">
    <w:abstractNumId w:val="40"/>
  </w:num>
  <w:num w:numId="17">
    <w:abstractNumId w:val="21"/>
  </w:num>
  <w:num w:numId="18">
    <w:abstractNumId w:val="12"/>
  </w:num>
  <w:num w:numId="19">
    <w:abstractNumId w:val="30"/>
  </w:num>
  <w:num w:numId="20">
    <w:abstractNumId w:val="20"/>
  </w:num>
  <w:num w:numId="21">
    <w:abstractNumId w:val="35"/>
  </w:num>
  <w:num w:numId="22">
    <w:abstractNumId w:val="39"/>
  </w:num>
  <w:num w:numId="23">
    <w:abstractNumId w:val="3"/>
  </w:num>
  <w:num w:numId="24">
    <w:abstractNumId w:val="37"/>
  </w:num>
  <w:num w:numId="25">
    <w:abstractNumId w:val="31"/>
  </w:num>
  <w:num w:numId="26">
    <w:abstractNumId w:val="26"/>
  </w:num>
  <w:num w:numId="27">
    <w:abstractNumId w:val="25"/>
  </w:num>
  <w:num w:numId="28">
    <w:abstractNumId w:val="36"/>
  </w:num>
  <w:num w:numId="29">
    <w:abstractNumId w:val="29"/>
  </w:num>
  <w:num w:numId="30">
    <w:abstractNumId w:val="2"/>
  </w:num>
  <w:num w:numId="31">
    <w:abstractNumId w:val="34"/>
  </w:num>
  <w:num w:numId="32">
    <w:abstractNumId w:val="18"/>
  </w:num>
  <w:num w:numId="33">
    <w:abstractNumId w:val="1"/>
  </w:num>
  <w:num w:numId="34">
    <w:abstractNumId w:val="10"/>
  </w:num>
  <w:num w:numId="35">
    <w:abstractNumId w:val="9"/>
  </w:num>
  <w:num w:numId="36">
    <w:abstractNumId w:val="8"/>
  </w:num>
  <w:num w:numId="37">
    <w:abstractNumId w:val="28"/>
  </w:num>
  <w:num w:numId="38">
    <w:abstractNumId w:val="16"/>
  </w:num>
  <w:num w:numId="39">
    <w:abstractNumId w:val="33"/>
  </w:num>
  <w:num w:numId="40">
    <w:abstractNumId w:val="11"/>
  </w:num>
  <w:num w:numId="41">
    <w:abstractNumId w:val="13"/>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44"/>
    <w:rsid w:val="00010B84"/>
    <w:rsid w:val="00033082"/>
    <w:rsid w:val="0003727D"/>
    <w:rsid w:val="0008597D"/>
    <w:rsid w:val="000C6B7E"/>
    <w:rsid w:val="00102476"/>
    <w:rsid w:val="001058E4"/>
    <w:rsid w:val="001561C9"/>
    <w:rsid w:val="0016148B"/>
    <w:rsid w:val="001626D1"/>
    <w:rsid w:val="001755B2"/>
    <w:rsid w:val="001A4E37"/>
    <w:rsid w:val="001A650C"/>
    <w:rsid w:val="001A734D"/>
    <w:rsid w:val="001C08B3"/>
    <w:rsid w:val="001C0B52"/>
    <w:rsid w:val="001D50C6"/>
    <w:rsid w:val="001E6563"/>
    <w:rsid w:val="001F713E"/>
    <w:rsid w:val="00202FA9"/>
    <w:rsid w:val="002536A1"/>
    <w:rsid w:val="00261D17"/>
    <w:rsid w:val="002647FE"/>
    <w:rsid w:val="002A5D66"/>
    <w:rsid w:val="002B65A3"/>
    <w:rsid w:val="002F1544"/>
    <w:rsid w:val="00321F10"/>
    <w:rsid w:val="0032261D"/>
    <w:rsid w:val="00323AF3"/>
    <w:rsid w:val="003243F7"/>
    <w:rsid w:val="0034616F"/>
    <w:rsid w:val="00373426"/>
    <w:rsid w:val="003750D5"/>
    <w:rsid w:val="0039205C"/>
    <w:rsid w:val="003B2BB3"/>
    <w:rsid w:val="003B6A5C"/>
    <w:rsid w:val="00423F29"/>
    <w:rsid w:val="00424215"/>
    <w:rsid w:val="0046761C"/>
    <w:rsid w:val="0047032B"/>
    <w:rsid w:val="00472C97"/>
    <w:rsid w:val="00477EB3"/>
    <w:rsid w:val="004A56C3"/>
    <w:rsid w:val="004D21E2"/>
    <w:rsid w:val="004F3708"/>
    <w:rsid w:val="00507370"/>
    <w:rsid w:val="00512E83"/>
    <w:rsid w:val="00540203"/>
    <w:rsid w:val="00540740"/>
    <w:rsid w:val="00546E4C"/>
    <w:rsid w:val="00560124"/>
    <w:rsid w:val="00570922"/>
    <w:rsid w:val="00582294"/>
    <w:rsid w:val="005B3194"/>
    <w:rsid w:val="005C7756"/>
    <w:rsid w:val="005E0BB9"/>
    <w:rsid w:val="00602406"/>
    <w:rsid w:val="006318C7"/>
    <w:rsid w:val="00693A6C"/>
    <w:rsid w:val="006A5A3E"/>
    <w:rsid w:val="006F445E"/>
    <w:rsid w:val="006F5A20"/>
    <w:rsid w:val="00723B3F"/>
    <w:rsid w:val="007408E7"/>
    <w:rsid w:val="00752DC7"/>
    <w:rsid w:val="0076329B"/>
    <w:rsid w:val="00766C70"/>
    <w:rsid w:val="00767D37"/>
    <w:rsid w:val="007B0494"/>
    <w:rsid w:val="0082282B"/>
    <w:rsid w:val="00842183"/>
    <w:rsid w:val="00867AAA"/>
    <w:rsid w:val="00885C49"/>
    <w:rsid w:val="008956F3"/>
    <w:rsid w:val="008A6DA3"/>
    <w:rsid w:val="008E3430"/>
    <w:rsid w:val="008F3F19"/>
    <w:rsid w:val="009511C4"/>
    <w:rsid w:val="00995A04"/>
    <w:rsid w:val="00995F79"/>
    <w:rsid w:val="009A6335"/>
    <w:rsid w:val="00A06DD7"/>
    <w:rsid w:val="00A1235B"/>
    <w:rsid w:val="00A2212B"/>
    <w:rsid w:val="00A320AD"/>
    <w:rsid w:val="00A8473D"/>
    <w:rsid w:val="00AA7057"/>
    <w:rsid w:val="00AD549A"/>
    <w:rsid w:val="00AF66E8"/>
    <w:rsid w:val="00B063F8"/>
    <w:rsid w:val="00B16D19"/>
    <w:rsid w:val="00B82A3E"/>
    <w:rsid w:val="00BB2A82"/>
    <w:rsid w:val="00BB38B7"/>
    <w:rsid w:val="00BB6E27"/>
    <w:rsid w:val="00BD5B3C"/>
    <w:rsid w:val="00BE315B"/>
    <w:rsid w:val="00C22CBB"/>
    <w:rsid w:val="00C4492B"/>
    <w:rsid w:val="00C625C9"/>
    <w:rsid w:val="00C6725C"/>
    <w:rsid w:val="00C74868"/>
    <w:rsid w:val="00C824D9"/>
    <w:rsid w:val="00CB46C2"/>
    <w:rsid w:val="00CE2DB2"/>
    <w:rsid w:val="00CE5C0A"/>
    <w:rsid w:val="00D10A53"/>
    <w:rsid w:val="00D444A9"/>
    <w:rsid w:val="00D44CA5"/>
    <w:rsid w:val="00D5568D"/>
    <w:rsid w:val="00D61A12"/>
    <w:rsid w:val="00D67BAF"/>
    <w:rsid w:val="00D976C9"/>
    <w:rsid w:val="00DA3A9B"/>
    <w:rsid w:val="00DE405B"/>
    <w:rsid w:val="00E27ADA"/>
    <w:rsid w:val="00E45174"/>
    <w:rsid w:val="00E839E8"/>
    <w:rsid w:val="00E90FC2"/>
    <w:rsid w:val="00EB0A62"/>
    <w:rsid w:val="00F20FE7"/>
    <w:rsid w:val="00F26036"/>
    <w:rsid w:val="00F54906"/>
    <w:rsid w:val="00FC5DC9"/>
    <w:rsid w:val="00FD17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1626D1"/>
    <w:rPr>
      <w:rFonts w:ascii="Tahoma" w:hAnsi="Tahoma" w:cs="Tahoma"/>
      <w:sz w:val="16"/>
      <w:szCs w:val="16"/>
    </w:rPr>
  </w:style>
  <w:style w:type="character" w:customStyle="1" w:styleId="BallontekstChar">
    <w:name w:val="Ballontekst Char"/>
    <w:link w:val="Ballontekst"/>
    <w:rsid w:val="001626D1"/>
    <w:rPr>
      <w:rFonts w:ascii="Tahoma" w:hAnsi="Tahoma" w:cs="Tahoma"/>
      <w:sz w:val="16"/>
      <w:szCs w:val="16"/>
      <w:lang w:val="nl-NL" w:eastAsia="nl-NL"/>
    </w:rPr>
  </w:style>
  <w:style w:type="paragraph" w:styleId="Tekstopmerking">
    <w:name w:val="annotation text"/>
    <w:basedOn w:val="Standaard"/>
    <w:link w:val="TekstopmerkingChar"/>
    <w:rsid w:val="00424215"/>
    <w:pPr>
      <w:spacing w:before="120" w:after="120" w:line="260" w:lineRule="exact"/>
    </w:pPr>
    <w:rPr>
      <w:rFonts w:ascii="Verdana" w:eastAsia="SimSun" w:hAnsi="Verdana"/>
      <w:sz w:val="20"/>
      <w:lang w:val="nl-BE" w:eastAsia="zh-CN"/>
    </w:rPr>
  </w:style>
  <w:style w:type="character" w:customStyle="1" w:styleId="TekstopmerkingChar">
    <w:name w:val="Tekst opmerking Char"/>
    <w:link w:val="Tekstopmerking"/>
    <w:rsid w:val="00424215"/>
    <w:rPr>
      <w:rFonts w:ascii="Verdana" w:eastAsia="SimSun" w:hAnsi="Verdana"/>
      <w:lang w:eastAsia="zh-CN"/>
    </w:rPr>
  </w:style>
  <w:style w:type="table" w:styleId="Tabelraster">
    <w:name w:val="Table Grid"/>
    <w:basedOn w:val="Standaardtabel"/>
    <w:rsid w:val="0042421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rsid w:val="0042421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1626D1"/>
    <w:rPr>
      <w:rFonts w:ascii="Tahoma" w:hAnsi="Tahoma" w:cs="Tahoma"/>
      <w:sz w:val="16"/>
      <w:szCs w:val="16"/>
    </w:rPr>
  </w:style>
  <w:style w:type="character" w:customStyle="1" w:styleId="BallontekstChar">
    <w:name w:val="Ballontekst Char"/>
    <w:link w:val="Ballontekst"/>
    <w:rsid w:val="001626D1"/>
    <w:rPr>
      <w:rFonts w:ascii="Tahoma" w:hAnsi="Tahoma" w:cs="Tahoma"/>
      <w:sz w:val="16"/>
      <w:szCs w:val="16"/>
      <w:lang w:val="nl-NL" w:eastAsia="nl-NL"/>
    </w:rPr>
  </w:style>
  <w:style w:type="paragraph" w:styleId="Tekstopmerking">
    <w:name w:val="annotation text"/>
    <w:basedOn w:val="Standaard"/>
    <w:link w:val="TekstopmerkingChar"/>
    <w:rsid w:val="00424215"/>
    <w:pPr>
      <w:spacing w:before="120" w:after="120" w:line="260" w:lineRule="exact"/>
    </w:pPr>
    <w:rPr>
      <w:rFonts w:ascii="Verdana" w:eastAsia="SimSun" w:hAnsi="Verdana"/>
      <w:sz w:val="20"/>
      <w:lang w:val="nl-BE" w:eastAsia="zh-CN"/>
    </w:rPr>
  </w:style>
  <w:style w:type="character" w:customStyle="1" w:styleId="TekstopmerkingChar">
    <w:name w:val="Tekst opmerking Char"/>
    <w:link w:val="Tekstopmerking"/>
    <w:rsid w:val="00424215"/>
    <w:rPr>
      <w:rFonts w:ascii="Verdana" w:eastAsia="SimSun" w:hAnsi="Verdana"/>
      <w:lang w:eastAsia="zh-CN"/>
    </w:rPr>
  </w:style>
  <w:style w:type="table" w:styleId="Tabelraster">
    <w:name w:val="Table Grid"/>
    <w:basedOn w:val="Standaardtabel"/>
    <w:rsid w:val="0042421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rsid w:val="004242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095">
      <w:bodyDiv w:val="1"/>
      <w:marLeft w:val="0"/>
      <w:marRight w:val="0"/>
      <w:marTop w:val="0"/>
      <w:marBottom w:val="0"/>
      <w:divBdr>
        <w:top w:val="none" w:sz="0" w:space="0" w:color="auto"/>
        <w:left w:val="none" w:sz="0" w:space="0" w:color="auto"/>
        <w:bottom w:val="none" w:sz="0" w:space="0" w:color="auto"/>
        <w:right w:val="none" w:sz="0" w:space="0" w:color="auto"/>
      </w:divBdr>
    </w:div>
    <w:div w:id="10186418">
      <w:bodyDiv w:val="1"/>
      <w:marLeft w:val="0"/>
      <w:marRight w:val="0"/>
      <w:marTop w:val="0"/>
      <w:marBottom w:val="0"/>
      <w:divBdr>
        <w:top w:val="none" w:sz="0" w:space="0" w:color="auto"/>
        <w:left w:val="none" w:sz="0" w:space="0" w:color="auto"/>
        <w:bottom w:val="none" w:sz="0" w:space="0" w:color="auto"/>
        <w:right w:val="none" w:sz="0" w:space="0" w:color="auto"/>
      </w:divBdr>
    </w:div>
    <w:div w:id="213083941">
      <w:bodyDiv w:val="1"/>
      <w:marLeft w:val="0"/>
      <w:marRight w:val="0"/>
      <w:marTop w:val="0"/>
      <w:marBottom w:val="0"/>
      <w:divBdr>
        <w:top w:val="none" w:sz="0" w:space="0" w:color="auto"/>
        <w:left w:val="none" w:sz="0" w:space="0" w:color="auto"/>
        <w:bottom w:val="none" w:sz="0" w:space="0" w:color="auto"/>
        <w:right w:val="none" w:sz="0" w:space="0" w:color="auto"/>
      </w:divBdr>
    </w:div>
    <w:div w:id="234096978">
      <w:bodyDiv w:val="1"/>
      <w:marLeft w:val="0"/>
      <w:marRight w:val="0"/>
      <w:marTop w:val="0"/>
      <w:marBottom w:val="0"/>
      <w:divBdr>
        <w:top w:val="none" w:sz="0" w:space="0" w:color="auto"/>
        <w:left w:val="none" w:sz="0" w:space="0" w:color="auto"/>
        <w:bottom w:val="none" w:sz="0" w:space="0" w:color="auto"/>
        <w:right w:val="none" w:sz="0" w:space="0" w:color="auto"/>
      </w:divBdr>
    </w:div>
    <w:div w:id="787748233">
      <w:bodyDiv w:val="1"/>
      <w:marLeft w:val="0"/>
      <w:marRight w:val="0"/>
      <w:marTop w:val="0"/>
      <w:marBottom w:val="0"/>
      <w:divBdr>
        <w:top w:val="none" w:sz="0" w:space="0" w:color="auto"/>
        <w:left w:val="none" w:sz="0" w:space="0" w:color="auto"/>
        <w:bottom w:val="none" w:sz="0" w:space="0" w:color="auto"/>
        <w:right w:val="none" w:sz="0" w:space="0" w:color="auto"/>
      </w:divBdr>
    </w:div>
    <w:div w:id="929242538">
      <w:bodyDiv w:val="1"/>
      <w:marLeft w:val="0"/>
      <w:marRight w:val="0"/>
      <w:marTop w:val="0"/>
      <w:marBottom w:val="0"/>
      <w:divBdr>
        <w:top w:val="none" w:sz="0" w:space="0" w:color="auto"/>
        <w:left w:val="none" w:sz="0" w:space="0" w:color="auto"/>
        <w:bottom w:val="none" w:sz="0" w:space="0" w:color="auto"/>
        <w:right w:val="none" w:sz="0" w:space="0" w:color="auto"/>
      </w:divBdr>
    </w:div>
    <w:div w:id="1087768316">
      <w:bodyDiv w:val="1"/>
      <w:marLeft w:val="0"/>
      <w:marRight w:val="0"/>
      <w:marTop w:val="0"/>
      <w:marBottom w:val="0"/>
      <w:divBdr>
        <w:top w:val="none" w:sz="0" w:space="0" w:color="auto"/>
        <w:left w:val="none" w:sz="0" w:space="0" w:color="auto"/>
        <w:bottom w:val="none" w:sz="0" w:space="0" w:color="auto"/>
        <w:right w:val="none" w:sz="0" w:space="0" w:color="auto"/>
      </w:divBdr>
    </w:div>
    <w:div w:id="1181969196">
      <w:bodyDiv w:val="1"/>
      <w:marLeft w:val="0"/>
      <w:marRight w:val="0"/>
      <w:marTop w:val="0"/>
      <w:marBottom w:val="0"/>
      <w:divBdr>
        <w:top w:val="none" w:sz="0" w:space="0" w:color="auto"/>
        <w:left w:val="none" w:sz="0" w:space="0" w:color="auto"/>
        <w:bottom w:val="none" w:sz="0" w:space="0" w:color="auto"/>
        <w:right w:val="none" w:sz="0" w:space="0" w:color="auto"/>
      </w:divBdr>
    </w:div>
    <w:div w:id="1324624664">
      <w:bodyDiv w:val="1"/>
      <w:marLeft w:val="0"/>
      <w:marRight w:val="0"/>
      <w:marTop w:val="0"/>
      <w:marBottom w:val="0"/>
      <w:divBdr>
        <w:top w:val="none" w:sz="0" w:space="0" w:color="auto"/>
        <w:left w:val="none" w:sz="0" w:space="0" w:color="auto"/>
        <w:bottom w:val="none" w:sz="0" w:space="0" w:color="auto"/>
        <w:right w:val="none" w:sz="0" w:space="0" w:color="auto"/>
      </w:divBdr>
    </w:div>
    <w:div w:id="1394811946">
      <w:bodyDiv w:val="1"/>
      <w:marLeft w:val="0"/>
      <w:marRight w:val="0"/>
      <w:marTop w:val="0"/>
      <w:marBottom w:val="0"/>
      <w:divBdr>
        <w:top w:val="none" w:sz="0" w:space="0" w:color="auto"/>
        <w:left w:val="none" w:sz="0" w:space="0" w:color="auto"/>
        <w:bottom w:val="none" w:sz="0" w:space="0" w:color="auto"/>
        <w:right w:val="none" w:sz="0" w:space="0" w:color="auto"/>
      </w:divBdr>
    </w:div>
    <w:div w:id="1469712939">
      <w:bodyDiv w:val="1"/>
      <w:marLeft w:val="0"/>
      <w:marRight w:val="0"/>
      <w:marTop w:val="0"/>
      <w:marBottom w:val="0"/>
      <w:divBdr>
        <w:top w:val="none" w:sz="0" w:space="0" w:color="auto"/>
        <w:left w:val="none" w:sz="0" w:space="0" w:color="auto"/>
        <w:bottom w:val="none" w:sz="0" w:space="0" w:color="auto"/>
        <w:right w:val="none" w:sz="0" w:space="0" w:color="auto"/>
      </w:divBdr>
    </w:div>
    <w:div w:id="1665741536">
      <w:bodyDiv w:val="1"/>
      <w:marLeft w:val="0"/>
      <w:marRight w:val="0"/>
      <w:marTop w:val="0"/>
      <w:marBottom w:val="0"/>
      <w:divBdr>
        <w:top w:val="none" w:sz="0" w:space="0" w:color="auto"/>
        <w:left w:val="none" w:sz="0" w:space="0" w:color="auto"/>
        <w:bottom w:val="none" w:sz="0" w:space="0" w:color="auto"/>
        <w:right w:val="none" w:sz="0" w:space="0" w:color="auto"/>
      </w:divBdr>
    </w:div>
    <w:div w:id="1953123676">
      <w:bodyDiv w:val="1"/>
      <w:marLeft w:val="0"/>
      <w:marRight w:val="0"/>
      <w:marTop w:val="0"/>
      <w:marBottom w:val="0"/>
      <w:divBdr>
        <w:top w:val="none" w:sz="0" w:space="0" w:color="auto"/>
        <w:left w:val="none" w:sz="0" w:space="0" w:color="auto"/>
        <w:bottom w:val="none" w:sz="0" w:space="0" w:color="auto"/>
        <w:right w:val="none" w:sz="0" w:space="0" w:color="auto"/>
      </w:divBdr>
    </w:div>
    <w:div w:id="208911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01CB7-5827-4F14-B033-DF5E4CFC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1479</Words>
  <Characters>8811</Characters>
  <Application>Microsoft Office Word</Application>
  <DocSecurity>4</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VLAAMS PARLEMENT</vt:lpstr>
      <vt:lpstr>VLAAMS PARLEMENT</vt:lpstr>
    </vt:vector>
  </TitlesOfParts>
  <Company>Vlaams Parlement</Company>
  <LinksUpToDate>false</LinksUpToDate>
  <CharactersWithSpaces>10270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Vlaams Parlement</cp:lastModifiedBy>
  <cp:revision>2</cp:revision>
  <cp:lastPrinted>2013-03-01T15:43:00Z</cp:lastPrinted>
  <dcterms:created xsi:type="dcterms:W3CDTF">2013-03-01T15:43:00Z</dcterms:created>
  <dcterms:modified xsi:type="dcterms:W3CDTF">2013-03-01T15:43:00Z</dcterms:modified>
</cp:coreProperties>
</file>