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16A" w:rsidRPr="005628FF" w:rsidRDefault="00E90545" w:rsidP="0068216A">
      <w:pPr>
        <w:jc w:val="both"/>
        <w:outlineLvl w:val="0"/>
        <w:rPr>
          <w:b/>
          <w:bCs/>
          <w:smallCaps/>
          <w:sz w:val="22"/>
          <w:szCs w:val="22"/>
          <w:lang w:val="nl-BE"/>
        </w:rPr>
      </w:pPr>
      <w:proofErr w:type="spellStart"/>
      <w:r>
        <w:rPr>
          <w:b/>
          <w:bCs/>
          <w:smallCaps/>
          <w:sz w:val="22"/>
          <w:szCs w:val="22"/>
          <w:lang w:val="nl-BE"/>
        </w:rPr>
        <w:t>philippe</w:t>
      </w:r>
      <w:proofErr w:type="spellEnd"/>
      <w:r>
        <w:rPr>
          <w:b/>
          <w:bCs/>
          <w:smallCaps/>
          <w:sz w:val="22"/>
          <w:szCs w:val="22"/>
          <w:lang w:val="nl-BE"/>
        </w:rPr>
        <w:t xml:space="preserve"> </w:t>
      </w:r>
      <w:proofErr w:type="spellStart"/>
      <w:r>
        <w:rPr>
          <w:b/>
          <w:bCs/>
          <w:smallCaps/>
          <w:sz w:val="22"/>
          <w:szCs w:val="22"/>
          <w:lang w:val="nl-BE"/>
        </w:rPr>
        <w:t>muyters</w:t>
      </w:r>
      <w:proofErr w:type="spellEnd"/>
    </w:p>
    <w:p w:rsidR="0068216A" w:rsidRPr="005628FF" w:rsidRDefault="0068216A" w:rsidP="0068216A">
      <w:pPr>
        <w:jc w:val="both"/>
        <w:outlineLvl w:val="0"/>
        <w:rPr>
          <w:smallCaps/>
          <w:sz w:val="22"/>
          <w:szCs w:val="22"/>
          <w:lang w:val="nl-BE"/>
        </w:rPr>
      </w:pPr>
      <w:r w:rsidRPr="005628FF">
        <w:rPr>
          <w:smallCaps/>
          <w:sz w:val="22"/>
          <w:szCs w:val="22"/>
          <w:lang w:val="nl-BE"/>
        </w:rPr>
        <w:t xml:space="preserve">Vlaams minister van </w:t>
      </w:r>
      <w:r w:rsidR="00E90545">
        <w:rPr>
          <w:smallCaps/>
          <w:sz w:val="22"/>
          <w:szCs w:val="22"/>
          <w:lang w:val="nl-BE"/>
        </w:rPr>
        <w:t>financiën, begroting, werk, ruimtelijke ordening en sport</w:t>
      </w:r>
    </w:p>
    <w:p w:rsidR="0068216A" w:rsidRPr="005628FF" w:rsidRDefault="0068216A" w:rsidP="0068216A">
      <w:pPr>
        <w:pBdr>
          <w:bottom w:val="single" w:sz="4" w:space="1" w:color="auto"/>
        </w:pBdr>
        <w:rPr>
          <w:sz w:val="22"/>
          <w:szCs w:val="22"/>
          <w:lang w:val="nl-BE"/>
        </w:rPr>
      </w:pPr>
    </w:p>
    <w:p w:rsidR="0068216A" w:rsidRPr="005628FF" w:rsidRDefault="0068216A" w:rsidP="0068216A">
      <w:pPr>
        <w:rPr>
          <w:sz w:val="22"/>
          <w:szCs w:val="22"/>
        </w:rPr>
      </w:pPr>
    </w:p>
    <w:p w:rsidR="00482870" w:rsidRDefault="00482870" w:rsidP="0068216A">
      <w:pPr>
        <w:rPr>
          <w:sz w:val="22"/>
          <w:szCs w:val="22"/>
        </w:rPr>
      </w:pPr>
      <w:r w:rsidRPr="005C4A96">
        <w:rPr>
          <w:b/>
          <w:smallCaps/>
          <w:sz w:val="22"/>
          <w:szCs w:val="22"/>
        </w:rPr>
        <w:t>antwoord</w:t>
      </w:r>
      <w:r w:rsidRPr="005628FF">
        <w:rPr>
          <w:sz w:val="22"/>
          <w:szCs w:val="22"/>
        </w:rPr>
        <w:t xml:space="preserve"> </w:t>
      </w:r>
    </w:p>
    <w:p w:rsidR="0068216A" w:rsidRPr="00E90545" w:rsidRDefault="0068216A" w:rsidP="0068216A">
      <w:pPr>
        <w:rPr>
          <w:sz w:val="22"/>
          <w:szCs w:val="22"/>
        </w:rPr>
      </w:pPr>
      <w:r w:rsidRPr="00E90545">
        <w:rPr>
          <w:sz w:val="22"/>
          <w:szCs w:val="22"/>
        </w:rPr>
        <w:t xml:space="preserve">op vraag nr. </w:t>
      </w:r>
      <w:sdt>
        <w:sdtPr>
          <w:rPr>
            <w:sz w:val="22"/>
            <w:szCs w:val="22"/>
          </w:rPr>
          <w:alias w:val="Vraagnummer"/>
          <w:tag w:val="Vraagnummer"/>
          <w:id w:val="2086416978"/>
          <w:placeholder>
            <w:docPart w:val="4EF7AD06E6974DD5A732B14EE779DC2F"/>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Vraagnummer[1]" w:storeItemID="{74298DB8-679A-49E4-AA34-B450138B57AB}"/>
          <w:text/>
        </w:sdtPr>
        <w:sdtEndPr/>
        <w:sdtContent>
          <w:r w:rsidR="00696C5E" w:rsidRPr="00E90545">
            <w:rPr>
              <w:sz w:val="22"/>
              <w:szCs w:val="22"/>
              <w:lang w:val="nl-BE"/>
            </w:rPr>
            <w:t>229</w:t>
          </w:r>
        </w:sdtContent>
      </w:sdt>
      <w:r w:rsidRPr="00E90545">
        <w:rPr>
          <w:sz w:val="22"/>
          <w:szCs w:val="22"/>
        </w:rPr>
        <w:t xml:space="preserve"> </w:t>
      </w:r>
      <w:r w:rsidR="00482870" w:rsidRPr="00E90545">
        <w:rPr>
          <w:sz w:val="22"/>
          <w:szCs w:val="22"/>
        </w:rPr>
        <w:t>v</w:t>
      </w:r>
      <w:r w:rsidRPr="00E90545">
        <w:rPr>
          <w:sz w:val="22"/>
          <w:szCs w:val="22"/>
        </w:rPr>
        <w:t xml:space="preserve">an </w:t>
      </w:r>
      <w:r w:rsidR="00FF053E">
        <w:rPr>
          <w:sz w:val="22"/>
          <w:szCs w:val="22"/>
        </w:rPr>
        <w:t>7</w:t>
      </w:r>
      <w:bookmarkStart w:id="0" w:name="_GoBack"/>
      <w:bookmarkEnd w:id="0"/>
      <w:r w:rsidR="006B6D92">
        <w:rPr>
          <w:sz w:val="22"/>
          <w:szCs w:val="22"/>
        </w:rPr>
        <w:t xml:space="preserve"> januari 2013</w:t>
      </w:r>
    </w:p>
    <w:p w:rsidR="0068216A" w:rsidRPr="005628FF" w:rsidRDefault="00482870" w:rsidP="0068216A">
      <w:pPr>
        <w:rPr>
          <w:sz w:val="22"/>
          <w:szCs w:val="22"/>
        </w:rPr>
      </w:pPr>
      <w:r>
        <w:rPr>
          <w:sz w:val="22"/>
          <w:szCs w:val="22"/>
        </w:rPr>
        <w:t>v</w:t>
      </w:r>
      <w:r w:rsidR="0068216A" w:rsidRPr="005628FF">
        <w:rPr>
          <w:sz w:val="22"/>
          <w:szCs w:val="22"/>
        </w:rPr>
        <w:t xml:space="preserve">an </w:t>
      </w:r>
      <w:sdt>
        <w:sdtPr>
          <w:rPr>
            <w:b/>
            <w:smallCaps/>
            <w:sz w:val="22"/>
            <w:szCs w:val="22"/>
          </w:rPr>
          <w:alias w:val="Parlementair"/>
          <w:tag w:val="Parlementair"/>
          <w:id w:val="-693540438"/>
          <w:placeholder>
            <w:docPart w:val="C6F539677CDF42EFA4B395BAC17B775D"/>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Parlementair[1]" w:storeItemID="{74298DB8-679A-49E4-AA34-B450138B57AB}"/>
          <w:text/>
        </w:sdtPr>
        <w:sdtEndPr/>
        <w:sdtContent>
          <w:proofErr w:type="spellStart"/>
          <w:r w:rsidR="00E90545" w:rsidRPr="00E90545">
            <w:rPr>
              <w:b/>
              <w:smallCaps/>
              <w:sz w:val="22"/>
              <w:szCs w:val="22"/>
              <w:lang w:val="nl-BE"/>
            </w:rPr>
            <w:t>robrecht</w:t>
          </w:r>
          <w:proofErr w:type="spellEnd"/>
          <w:r w:rsidR="00E90545" w:rsidRPr="00E90545">
            <w:rPr>
              <w:b/>
              <w:smallCaps/>
              <w:sz w:val="22"/>
              <w:szCs w:val="22"/>
              <w:lang w:val="nl-BE"/>
            </w:rPr>
            <w:t xml:space="preserve"> </w:t>
          </w:r>
          <w:proofErr w:type="spellStart"/>
          <w:r w:rsidR="00E90545" w:rsidRPr="00E90545">
            <w:rPr>
              <w:b/>
              <w:smallCaps/>
              <w:sz w:val="22"/>
              <w:szCs w:val="22"/>
              <w:lang w:val="nl-BE"/>
            </w:rPr>
            <w:t>bothyne</w:t>
          </w:r>
          <w:proofErr w:type="spellEnd"/>
        </w:sdtContent>
      </w:sdt>
    </w:p>
    <w:p w:rsidR="0068216A" w:rsidRPr="005628FF" w:rsidRDefault="0068216A" w:rsidP="0068216A">
      <w:pPr>
        <w:pBdr>
          <w:bottom w:val="single" w:sz="4" w:space="1" w:color="auto"/>
        </w:pBdr>
        <w:rPr>
          <w:sz w:val="22"/>
          <w:szCs w:val="22"/>
        </w:rPr>
      </w:pPr>
    </w:p>
    <w:p w:rsidR="0068216A" w:rsidRPr="005628FF" w:rsidRDefault="0068216A" w:rsidP="0068216A">
      <w:pPr>
        <w:rPr>
          <w:sz w:val="22"/>
          <w:szCs w:val="22"/>
        </w:rPr>
        <w:sectPr w:rsidR="0068216A" w:rsidRPr="005628FF">
          <w:pgSz w:w="11906" w:h="16838"/>
          <w:pgMar w:top="1417" w:right="1417" w:bottom="1417" w:left="1417" w:header="708" w:footer="708" w:gutter="0"/>
          <w:cols w:space="708"/>
          <w:docGrid w:linePitch="360"/>
        </w:sectPr>
      </w:pPr>
    </w:p>
    <w:p w:rsidR="0068216A" w:rsidRPr="005628FF" w:rsidRDefault="0068216A" w:rsidP="0068216A">
      <w:pPr>
        <w:jc w:val="both"/>
        <w:rPr>
          <w:sz w:val="22"/>
          <w:szCs w:val="22"/>
        </w:rPr>
      </w:pPr>
    </w:p>
    <w:p w:rsidR="00696C5E" w:rsidRDefault="00696C5E" w:rsidP="00696C5E">
      <w:pPr>
        <w:jc w:val="both"/>
        <w:rPr>
          <w:sz w:val="22"/>
          <w:szCs w:val="22"/>
        </w:rPr>
      </w:pPr>
    </w:p>
    <w:p w:rsidR="00696C5E" w:rsidRDefault="00696C5E" w:rsidP="00696C5E">
      <w:pPr>
        <w:pStyle w:val="Lijstalinea"/>
        <w:numPr>
          <w:ilvl w:val="0"/>
          <w:numId w:val="9"/>
        </w:numPr>
        <w:jc w:val="both"/>
        <w:rPr>
          <w:sz w:val="22"/>
          <w:szCs w:val="22"/>
        </w:rPr>
      </w:pPr>
      <w:r>
        <w:rPr>
          <w:sz w:val="22"/>
          <w:szCs w:val="22"/>
        </w:rPr>
        <w:t>Het objectief uit het JOP was om 22.500 unieke personen te bereiken.</w:t>
      </w:r>
      <w:r w:rsidRPr="00FB248F">
        <w:rPr>
          <w:sz w:val="22"/>
          <w:szCs w:val="22"/>
        </w:rPr>
        <w:t xml:space="preserve"> </w:t>
      </w:r>
      <w:r>
        <w:rPr>
          <w:sz w:val="22"/>
          <w:szCs w:val="22"/>
        </w:rPr>
        <w:t xml:space="preserve">Het bereikte resultaat in 2012 is 24.079 personen. Ook in 2011 werd dit objectief ruimschoots behaald. </w:t>
      </w:r>
    </w:p>
    <w:p w:rsidR="00696C5E" w:rsidRDefault="00696C5E" w:rsidP="00696C5E">
      <w:pPr>
        <w:jc w:val="both"/>
        <w:rPr>
          <w:sz w:val="22"/>
          <w:szCs w:val="22"/>
        </w:rPr>
      </w:pPr>
    </w:p>
    <w:p w:rsidR="00696C5E" w:rsidRPr="006B6D92" w:rsidRDefault="006B6D92" w:rsidP="006B6D92">
      <w:pPr>
        <w:pStyle w:val="Lijstalinea"/>
        <w:numPr>
          <w:ilvl w:val="0"/>
          <w:numId w:val="9"/>
        </w:numPr>
        <w:tabs>
          <w:tab w:val="left" w:pos="426"/>
        </w:tabs>
        <w:ind w:left="709" w:hanging="709"/>
        <w:jc w:val="both"/>
        <w:rPr>
          <w:sz w:val="22"/>
          <w:szCs w:val="22"/>
        </w:rPr>
      </w:pPr>
      <w:r>
        <w:rPr>
          <w:sz w:val="22"/>
          <w:szCs w:val="22"/>
        </w:rPr>
        <w:t>a)</w:t>
      </w:r>
      <w:r>
        <w:rPr>
          <w:sz w:val="22"/>
          <w:szCs w:val="22"/>
        </w:rPr>
        <w:tab/>
      </w:r>
      <w:r w:rsidR="00696C5E" w:rsidRPr="006B6D92">
        <w:rPr>
          <w:sz w:val="22"/>
          <w:szCs w:val="22"/>
        </w:rPr>
        <w:t xml:space="preserve">Sinds 2012 houdt VDAB geen aparte tabellen bij voor contracten </w:t>
      </w:r>
      <w:proofErr w:type="spellStart"/>
      <w:r w:rsidR="00696C5E" w:rsidRPr="006B6D92">
        <w:rPr>
          <w:sz w:val="22"/>
          <w:szCs w:val="22"/>
        </w:rPr>
        <w:t>ivm</w:t>
      </w:r>
      <w:proofErr w:type="spellEnd"/>
      <w:r w:rsidR="00696C5E" w:rsidRPr="006B6D92">
        <w:rPr>
          <w:sz w:val="22"/>
          <w:szCs w:val="22"/>
        </w:rPr>
        <w:t xml:space="preserve"> </w:t>
      </w:r>
      <w:proofErr w:type="spellStart"/>
      <w:r w:rsidR="00696C5E" w:rsidRPr="006B6D92">
        <w:rPr>
          <w:sz w:val="22"/>
          <w:szCs w:val="22"/>
        </w:rPr>
        <w:t>webleren</w:t>
      </w:r>
      <w:proofErr w:type="spellEnd"/>
      <w:r w:rsidR="00696C5E" w:rsidRPr="006B6D92">
        <w:rPr>
          <w:sz w:val="22"/>
          <w:szCs w:val="22"/>
        </w:rPr>
        <w:t xml:space="preserve"> of </w:t>
      </w:r>
      <w:proofErr w:type="spellStart"/>
      <w:r w:rsidR="00696C5E" w:rsidRPr="006B6D92">
        <w:rPr>
          <w:sz w:val="22"/>
          <w:szCs w:val="22"/>
        </w:rPr>
        <w:t>ivm</w:t>
      </w:r>
      <w:proofErr w:type="spellEnd"/>
      <w:r w:rsidR="00696C5E" w:rsidRPr="006B6D92">
        <w:rPr>
          <w:sz w:val="22"/>
          <w:szCs w:val="22"/>
        </w:rPr>
        <w:t xml:space="preserve"> cursusmateriaal. De dienst beperkt zich tot het oplijsten van de scholen die beroep doen op deze dienstverlening. Momenteel zijn dat er 228.</w:t>
      </w:r>
    </w:p>
    <w:p w:rsidR="00696C5E" w:rsidRDefault="00696C5E" w:rsidP="006B6D92">
      <w:pPr>
        <w:pStyle w:val="Lijstalinea"/>
        <w:numPr>
          <w:ilvl w:val="0"/>
          <w:numId w:val="20"/>
        </w:numPr>
        <w:ind w:left="709" w:hanging="283"/>
        <w:jc w:val="both"/>
        <w:rPr>
          <w:sz w:val="22"/>
          <w:szCs w:val="22"/>
        </w:rPr>
      </w:pPr>
      <w:proofErr w:type="spellStart"/>
      <w:r>
        <w:rPr>
          <w:sz w:val="22"/>
          <w:szCs w:val="22"/>
        </w:rPr>
        <w:t>Cfr</w:t>
      </w:r>
      <w:proofErr w:type="spellEnd"/>
      <w:r>
        <w:rPr>
          <w:sz w:val="22"/>
          <w:szCs w:val="22"/>
        </w:rPr>
        <w:t xml:space="preserve"> 2a</w:t>
      </w:r>
      <w:r w:rsidR="006B6D92">
        <w:rPr>
          <w:sz w:val="22"/>
          <w:szCs w:val="22"/>
        </w:rPr>
        <w:tab/>
      </w:r>
      <w:r>
        <w:rPr>
          <w:sz w:val="22"/>
          <w:szCs w:val="22"/>
        </w:rPr>
        <w:br/>
        <w:t>Gestructureerde initiatieven vanuit scholen, scholengroepen, scholengemeenschappen en koepels zijn zo goed als onbestaande, ondanks de ruime bekendmaking en participatie van VDAB in overlegstructuren met onderwijs.</w:t>
      </w:r>
      <w:r w:rsidR="006B6D92">
        <w:rPr>
          <w:sz w:val="22"/>
          <w:szCs w:val="22"/>
        </w:rPr>
        <w:tab/>
      </w:r>
      <w:r>
        <w:rPr>
          <w:sz w:val="22"/>
          <w:szCs w:val="22"/>
        </w:rPr>
        <w:br/>
        <w:t>Individuele leerkrachten gebruiken materiaal van VDAB-</w:t>
      </w:r>
      <w:proofErr w:type="spellStart"/>
      <w:r>
        <w:rPr>
          <w:sz w:val="22"/>
          <w:szCs w:val="22"/>
        </w:rPr>
        <w:t>Webleren</w:t>
      </w:r>
      <w:proofErr w:type="spellEnd"/>
      <w:r>
        <w:rPr>
          <w:sz w:val="22"/>
          <w:szCs w:val="22"/>
        </w:rPr>
        <w:t xml:space="preserve"> en zorgen zo voor duizenden inschrijvingen van leerlingen.</w:t>
      </w:r>
    </w:p>
    <w:p w:rsidR="00696C5E" w:rsidRDefault="00696C5E" w:rsidP="00696C5E">
      <w:pPr>
        <w:jc w:val="both"/>
        <w:rPr>
          <w:sz w:val="22"/>
          <w:szCs w:val="22"/>
        </w:rPr>
      </w:pPr>
    </w:p>
    <w:p w:rsidR="00696C5E" w:rsidRPr="006B6D92" w:rsidRDefault="00696C5E" w:rsidP="006B6D92">
      <w:pPr>
        <w:pStyle w:val="Lijstalinea"/>
        <w:numPr>
          <w:ilvl w:val="0"/>
          <w:numId w:val="9"/>
        </w:numPr>
        <w:jc w:val="both"/>
        <w:rPr>
          <w:sz w:val="22"/>
          <w:szCs w:val="22"/>
        </w:rPr>
      </w:pPr>
      <w:r w:rsidRPr="006B6D92">
        <w:rPr>
          <w:sz w:val="22"/>
          <w:szCs w:val="22"/>
        </w:rPr>
        <w:t>Het aantal cursisten en inschrijvingen stagneert sinds 2009. Promotie en bekendmaking van het aanbod gebeurt vooral door:</w:t>
      </w:r>
    </w:p>
    <w:p w:rsidR="00696C5E" w:rsidRPr="00D06CA5" w:rsidRDefault="00696C5E" w:rsidP="006B6D92">
      <w:pPr>
        <w:numPr>
          <w:ilvl w:val="0"/>
          <w:numId w:val="11"/>
        </w:numPr>
        <w:jc w:val="both"/>
        <w:rPr>
          <w:sz w:val="22"/>
          <w:szCs w:val="22"/>
        </w:rPr>
      </w:pPr>
      <w:r w:rsidRPr="00D06CA5">
        <w:rPr>
          <w:sz w:val="22"/>
          <w:szCs w:val="22"/>
        </w:rPr>
        <w:t>sensibilisering in Werkwinkels: via een nieuwsbrief worden VDAB-consulenten op de</w:t>
      </w:r>
      <w:r w:rsidR="004C2492">
        <w:rPr>
          <w:sz w:val="22"/>
          <w:szCs w:val="22"/>
        </w:rPr>
        <w:t xml:space="preserve"> hoogte gehouden van het aanbod;</w:t>
      </w:r>
    </w:p>
    <w:p w:rsidR="00696C5E" w:rsidRPr="00D06CA5" w:rsidRDefault="00696C5E" w:rsidP="006B6D92">
      <w:pPr>
        <w:numPr>
          <w:ilvl w:val="0"/>
          <w:numId w:val="11"/>
        </w:numPr>
        <w:jc w:val="both"/>
        <w:rPr>
          <w:sz w:val="22"/>
          <w:szCs w:val="22"/>
        </w:rPr>
      </w:pPr>
      <w:r w:rsidRPr="00D06CA5">
        <w:rPr>
          <w:sz w:val="22"/>
          <w:szCs w:val="22"/>
        </w:rPr>
        <w:t>bekendmaking en sensibilisering bij partners zoals sectorale vormingsfondsen, scholen, bedrijven</w:t>
      </w:r>
      <w:r w:rsidR="004C2492">
        <w:rPr>
          <w:sz w:val="22"/>
          <w:szCs w:val="22"/>
        </w:rPr>
        <w:t>;</w:t>
      </w:r>
    </w:p>
    <w:p w:rsidR="00696C5E" w:rsidRPr="00D06CA5" w:rsidRDefault="004C2492" w:rsidP="006B6D92">
      <w:pPr>
        <w:numPr>
          <w:ilvl w:val="0"/>
          <w:numId w:val="11"/>
        </w:numPr>
        <w:jc w:val="both"/>
        <w:rPr>
          <w:sz w:val="22"/>
          <w:szCs w:val="22"/>
        </w:rPr>
      </w:pPr>
      <w:r>
        <w:rPr>
          <w:sz w:val="22"/>
          <w:szCs w:val="22"/>
        </w:rPr>
        <w:t>h</w:t>
      </w:r>
      <w:r w:rsidR="00696C5E" w:rsidRPr="00D06CA5">
        <w:rPr>
          <w:sz w:val="22"/>
          <w:szCs w:val="22"/>
        </w:rPr>
        <w:t xml:space="preserve">et aanbod </w:t>
      </w:r>
      <w:proofErr w:type="spellStart"/>
      <w:r w:rsidR="00696C5E" w:rsidRPr="00D06CA5">
        <w:rPr>
          <w:sz w:val="22"/>
          <w:szCs w:val="22"/>
        </w:rPr>
        <w:t>webleren</w:t>
      </w:r>
      <w:proofErr w:type="spellEnd"/>
      <w:r w:rsidR="00696C5E" w:rsidRPr="00D06CA5">
        <w:rPr>
          <w:sz w:val="22"/>
          <w:szCs w:val="22"/>
        </w:rPr>
        <w:t xml:space="preserve"> wordt gratis aangeboden aan het individu</w:t>
      </w:r>
      <w:r w:rsidR="00696C5E">
        <w:rPr>
          <w:sz w:val="22"/>
          <w:szCs w:val="22"/>
        </w:rPr>
        <w:t xml:space="preserve"> sinds</w:t>
      </w:r>
      <w:r>
        <w:rPr>
          <w:sz w:val="22"/>
          <w:szCs w:val="22"/>
        </w:rPr>
        <w:t xml:space="preserve"> 2009 en werd gecontinueerd;</w:t>
      </w:r>
    </w:p>
    <w:p w:rsidR="00696C5E" w:rsidRPr="00D06CA5" w:rsidRDefault="004C2492" w:rsidP="006B6D92">
      <w:pPr>
        <w:numPr>
          <w:ilvl w:val="0"/>
          <w:numId w:val="11"/>
        </w:numPr>
        <w:jc w:val="both"/>
        <w:rPr>
          <w:sz w:val="22"/>
          <w:szCs w:val="22"/>
        </w:rPr>
      </w:pPr>
      <w:r>
        <w:rPr>
          <w:sz w:val="22"/>
          <w:szCs w:val="22"/>
        </w:rPr>
        <w:t>v</w:t>
      </w:r>
      <w:r w:rsidR="00696C5E" w:rsidRPr="00D06CA5">
        <w:rPr>
          <w:sz w:val="22"/>
          <w:szCs w:val="22"/>
        </w:rPr>
        <w:t>ia sociale media worden  intensieve campagnes opgezet om de naambekendheid en dienstverlenin</w:t>
      </w:r>
      <w:r>
        <w:rPr>
          <w:sz w:val="22"/>
          <w:szCs w:val="22"/>
        </w:rPr>
        <w:t>g van VDAB-</w:t>
      </w:r>
      <w:proofErr w:type="spellStart"/>
      <w:r>
        <w:rPr>
          <w:sz w:val="22"/>
          <w:szCs w:val="22"/>
        </w:rPr>
        <w:t>Webleren</w:t>
      </w:r>
      <w:proofErr w:type="spellEnd"/>
      <w:r>
        <w:rPr>
          <w:sz w:val="22"/>
          <w:szCs w:val="22"/>
        </w:rPr>
        <w:t xml:space="preserve"> te verhogen;</w:t>
      </w:r>
    </w:p>
    <w:p w:rsidR="00696C5E" w:rsidRPr="00D06CA5" w:rsidRDefault="004C2492" w:rsidP="006B6D92">
      <w:pPr>
        <w:numPr>
          <w:ilvl w:val="0"/>
          <w:numId w:val="11"/>
        </w:numPr>
        <w:jc w:val="both"/>
        <w:rPr>
          <w:sz w:val="22"/>
          <w:szCs w:val="22"/>
          <w:lang w:val="pt-BR"/>
        </w:rPr>
      </w:pPr>
      <w:r>
        <w:rPr>
          <w:sz w:val="22"/>
          <w:szCs w:val="22"/>
        </w:rPr>
        <w:t>r</w:t>
      </w:r>
      <w:r w:rsidR="00696C5E" w:rsidRPr="00D06CA5">
        <w:rPr>
          <w:sz w:val="22"/>
          <w:szCs w:val="22"/>
        </w:rPr>
        <w:t>egelmatige publicaties in Job@</w:t>
      </w:r>
      <w:r>
        <w:rPr>
          <w:sz w:val="22"/>
          <w:szCs w:val="22"/>
        </w:rPr>
        <w:t>.</w:t>
      </w:r>
    </w:p>
    <w:p w:rsidR="00696C5E" w:rsidRDefault="00696C5E" w:rsidP="006B6D92">
      <w:pPr>
        <w:ind w:left="360"/>
        <w:jc w:val="both"/>
        <w:rPr>
          <w:sz w:val="22"/>
          <w:szCs w:val="22"/>
          <w:lang w:val="pt-BR"/>
        </w:rPr>
      </w:pPr>
      <w:r w:rsidRPr="00D06CA5">
        <w:rPr>
          <w:sz w:val="22"/>
          <w:szCs w:val="22"/>
          <w:lang w:val="pt-BR"/>
        </w:rPr>
        <w:t>Deze inspanningen zullen in 2013 gecontinueerd worden.</w:t>
      </w:r>
    </w:p>
    <w:p w:rsidR="00696C5E" w:rsidRPr="00D06CA5" w:rsidRDefault="00696C5E" w:rsidP="00696C5E">
      <w:pPr>
        <w:rPr>
          <w:sz w:val="22"/>
          <w:szCs w:val="22"/>
          <w:lang w:val="pt-BR"/>
        </w:rPr>
      </w:pPr>
    </w:p>
    <w:p w:rsidR="00696C5E" w:rsidRPr="006B6D92" w:rsidRDefault="00696C5E" w:rsidP="006B6D92">
      <w:pPr>
        <w:pStyle w:val="Lijstalinea"/>
        <w:numPr>
          <w:ilvl w:val="1"/>
          <w:numId w:val="21"/>
        </w:numPr>
        <w:jc w:val="both"/>
        <w:rPr>
          <w:sz w:val="22"/>
          <w:szCs w:val="22"/>
        </w:rPr>
      </w:pPr>
      <w:r w:rsidRPr="006B6D92">
        <w:rPr>
          <w:sz w:val="22"/>
          <w:szCs w:val="22"/>
        </w:rPr>
        <w:t>Vragen 4 en 5 worden gebundeld op basis van cijfermateriaal. Een overzicht van de diverse opleidingen en het aantal inschrijvingen vindt u zowel voor 2011 als voor 2012 in bijlage.</w:t>
      </w:r>
    </w:p>
    <w:p w:rsidR="00696C5E" w:rsidRDefault="00696C5E" w:rsidP="00696C5E">
      <w:pPr>
        <w:jc w:val="both"/>
        <w:rPr>
          <w:sz w:val="22"/>
          <w:szCs w:val="22"/>
        </w:rPr>
      </w:pPr>
    </w:p>
    <w:p w:rsidR="00696C5E" w:rsidRPr="00F44674" w:rsidRDefault="00696C5E" w:rsidP="00696C5E">
      <w:pPr>
        <w:rPr>
          <w:b/>
          <w:sz w:val="22"/>
          <w:szCs w:val="22"/>
        </w:rPr>
      </w:pPr>
      <w:r w:rsidRPr="00F44674">
        <w:rPr>
          <w:b/>
          <w:sz w:val="22"/>
          <w:szCs w:val="22"/>
        </w:rPr>
        <w:t>Tabel 2</w:t>
      </w:r>
    </w:p>
    <w:tbl>
      <w:tblPr>
        <w:tblW w:w="5534" w:type="dxa"/>
        <w:tblInd w:w="65" w:type="dxa"/>
        <w:tblCellMar>
          <w:left w:w="70" w:type="dxa"/>
          <w:right w:w="70" w:type="dxa"/>
        </w:tblCellMar>
        <w:tblLook w:val="0000" w:firstRow="0" w:lastRow="0" w:firstColumn="0" w:lastColumn="0" w:noHBand="0" w:noVBand="0"/>
      </w:tblPr>
      <w:tblGrid>
        <w:gridCol w:w="2320"/>
        <w:gridCol w:w="745"/>
        <w:gridCol w:w="1080"/>
        <w:gridCol w:w="1389"/>
      </w:tblGrid>
      <w:tr w:rsidR="00696C5E" w:rsidRPr="00F44674" w:rsidTr="00D91AE0">
        <w:trPr>
          <w:trHeight w:val="255"/>
        </w:trPr>
        <w:tc>
          <w:tcPr>
            <w:tcW w:w="2320" w:type="dxa"/>
            <w:tcBorders>
              <w:top w:val="single" w:sz="4" w:space="0" w:color="000000"/>
              <w:left w:val="single" w:sz="4" w:space="0" w:color="000000"/>
              <w:bottom w:val="nil"/>
              <w:right w:val="nil"/>
            </w:tcBorders>
            <w:noWrap/>
            <w:vAlign w:val="bottom"/>
          </w:tcPr>
          <w:p w:rsidR="00696C5E" w:rsidRPr="00F44674" w:rsidRDefault="00696C5E" w:rsidP="00D91AE0"/>
        </w:tc>
        <w:tc>
          <w:tcPr>
            <w:tcW w:w="745" w:type="dxa"/>
            <w:tcBorders>
              <w:top w:val="single" w:sz="4" w:space="0" w:color="000000"/>
              <w:left w:val="single" w:sz="4" w:space="0" w:color="000000"/>
              <w:bottom w:val="nil"/>
              <w:right w:val="single" w:sz="4" w:space="0" w:color="000000"/>
            </w:tcBorders>
            <w:noWrap/>
            <w:vAlign w:val="bottom"/>
          </w:tcPr>
          <w:p w:rsidR="00696C5E" w:rsidRPr="00F44674" w:rsidRDefault="00696C5E" w:rsidP="00D91AE0">
            <w:pPr>
              <w:jc w:val="center"/>
            </w:pPr>
            <w:r w:rsidRPr="00F44674">
              <w:rPr>
                <w:b/>
                <w:sz w:val="22"/>
                <w:szCs w:val="22"/>
              </w:rPr>
              <w:t>2011</w:t>
            </w:r>
          </w:p>
        </w:tc>
        <w:tc>
          <w:tcPr>
            <w:tcW w:w="1080" w:type="dxa"/>
            <w:tcBorders>
              <w:top w:val="single" w:sz="4" w:space="0" w:color="000000"/>
              <w:left w:val="single" w:sz="4" w:space="0" w:color="000000"/>
              <w:bottom w:val="nil"/>
              <w:right w:val="single" w:sz="4" w:space="0" w:color="000000"/>
            </w:tcBorders>
            <w:vAlign w:val="bottom"/>
          </w:tcPr>
          <w:p w:rsidR="00696C5E" w:rsidRPr="00F44674" w:rsidRDefault="00696C5E" w:rsidP="00D91AE0">
            <w:pPr>
              <w:jc w:val="center"/>
            </w:pPr>
            <w:r w:rsidRPr="00F44674">
              <w:rPr>
                <w:b/>
                <w:sz w:val="22"/>
                <w:szCs w:val="22"/>
              </w:rPr>
              <w:t>2012</w:t>
            </w:r>
          </w:p>
        </w:tc>
        <w:tc>
          <w:tcPr>
            <w:tcW w:w="1389" w:type="dxa"/>
            <w:tcBorders>
              <w:top w:val="single" w:sz="4" w:space="0" w:color="000000"/>
              <w:left w:val="single" w:sz="4" w:space="0" w:color="000000"/>
              <w:bottom w:val="nil"/>
              <w:right w:val="single" w:sz="4" w:space="0" w:color="000000"/>
            </w:tcBorders>
          </w:tcPr>
          <w:p w:rsidR="00696C5E" w:rsidRPr="00F44674" w:rsidRDefault="00696C5E" w:rsidP="00D91AE0">
            <w:pPr>
              <w:jc w:val="right"/>
              <w:rPr>
                <w:b/>
              </w:rPr>
            </w:pPr>
            <w:r>
              <w:rPr>
                <w:b/>
                <w:sz w:val="22"/>
                <w:szCs w:val="22"/>
              </w:rPr>
              <w:t>Aandeel in totaal</w:t>
            </w:r>
          </w:p>
        </w:tc>
      </w:tr>
      <w:tr w:rsidR="00696C5E" w:rsidRPr="00F44674" w:rsidTr="00D91AE0">
        <w:trPr>
          <w:trHeight w:val="255"/>
        </w:trPr>
        <w:tc>
          <w:tcPr>
            <w:tcW w:w="2320" w:type="dxa"/>
            <w:tcBorders>
              <w:top w:val="single" w:sz="4" w:space="0" w:color="000000"/>
              <w:left w:val="single" w:sz="4" w:space="0" w:color="000000"/>
              <w:bottom w:val="nil"/>
              <w:right w:val="nil"/>
            </w:tcBorders>
            <w:noWrap/>
            <w:vAlign w:val="bottom"/>
          </w:tcPr>
          <w:p w:rsidR="00696C5E" w:rsidRPr="00F44674" w:rsidRDefault="00696C5E" w:rsidP="00D91AE0">
            <w:r w:rsidRPr="00F44674">
              <w:rPr>
                <w:sz w:val="22"/>
                <w:szCs w:val="22"/>
              </w:rPr>
              <w:t>Totaal Werknemer</w:t>
            </w:r>
          </w:p>
        </w:tc>
        <w:tc>
          <w:tcPr>
            <w:tcW w:w="745" w:type="dxa"/>
            <w:tcBorders>
              <w:top w:val="single" w:sz="4" w:space="0" w:color="000000"/>
              <w:left w:val="single" w:sz="4" w:space="0" w:color="000000"/>
              <w:bottom w:val="nil"/>
              <w:right w:val="single" w:sz="4" w:space="0" w:color="000000"/>
            </w:tcBorders>
            <w:noWrap/>
            <w:vAlign w:val="bottom"/>
          </w:tcPr>
          <w:p w:rsidR="00696C5E" w:rsidRPr="00F44674" w:rsidRDefault="00696C5E" w:rsidP="00D91AE0">
            <w:pPr>
              <w:jc w:val="right"/>
            </w:pPr>
            <w:r w:rsidRPr="00F44674">
              <w:rPr>
                <w:sz w:val="22"/>
                <w:szCs w:val="22"/>
              </w:rPr>
              <w:t>19.924</w:t>
            </w:r>
          </w:p>
        </w:tc>
        <w:tc>
          <w:tcPr>
            <w:tcW w:w="1080" w:type="dxa"/>
            <w:tcBorders>
              <w:top w:val="single" w:sz="4" w:space="0" w:color="000000"/>
              <w:left w:val="single" w:sz="4" w:space="0" w:color="000000"/>
              <w:bottom w:val="nil"/>
              <w:right w:val="single" w:sz="4" w:space="0" w:color="000000"/>
            </w:tcBorders>
          </w:tcPr>
          <w:p w:rsidR="00696C5E" w:rsidRPr="00F44674" w:rsidRDefault="00696C5E" w:rsidP="00D91AE0">
            <w:pPr>
              <w:jc w:val="right"/>
            </w:pPr>
            <w:r w:rsidRPr="00F44674">
              <w:rPr>
                <w:sz w:val="22"/>
                <w:szCs w:val="22"/>
              </w:rPr>
              <w:t>16.167</w:t>
            </w:r>
          </w:p>
        </w:tc>
        <w:tc>
          <w:tcPr>
            <w:tcW w:w="1389" w:type="dxa"/>
            <w:tcBorders>
              <w:top w:val="single" w:sz="4" w:space="0" w:color="000000"/>
              <w:left w:val="single" w:sz="4" w:space="0" w:color="000000"/>
              <w:bottom w:val="nil"/>
              <w:right w:val="single" w:sz="4" w:space="0" w:color="000000"/>
            </w:tcBorders>
          </w:tcPr>
          <w:p w:rsidR="00696C5E" w:rsidRPr="00F44674" w:rsidRDefault="00696C5E" w:rsidP="00D91AE0">
            <w:pPr>
              <w:jc w:val="right"/>
            </w:pPr>
            <w:r>
              <w:rPr>
                <w:sz w:val="22"/>
                <w:szCs w:val="22"/>
              </w:rPr>
              <w:t>40 %</w:t>
            </w:r>
          </w:p>
        </w:tc>
      </w:tr>
      <w:tr w:rsidR="00696C5E" w:rsidRPr="00F44674" w:rsidTr="00D91AE0">
        <w:trPr>
          <w:trHeight w:val="255"/>
        </w:trPr>
        <w:tc>
          <w:tcPr>
            <w:tcW w:w="2320" w:type="dxa"/>
            <w:tcBorders>
              <w:top w:val="single" w:sz="4" w:space="0" w:color="000000"/>
              <w:left w:val="single" w:sz="4" w:space="0" w:color="000000"/>
              <w:bottom w:val="nil"/>
              <w:right w:val="nil"/>
            </w:tcBorders>
            <w:noWrap/>
            <w:vAlign w:val="bottom"/>
          </w:tcPr>
          <w:p w:rsidR="00696C5E" w:rsidRPr="00F44674" w:rsidRDefault="00696C5E" w:rsidP="00D91AE0">
            <w:r w:rsidRPr="00F44674">
              <w:rPr>
                <w:sz w:val="22"/>
                <w:szCs w:val="22"/>
              </w:rPr>
              <w:t>Totaal Werkzoekende</w:t>
            </w:r>
          </w:p>
        </w:tc>
        <w:tc>
          <w:tcPr>
            <w:tcW w:w="745" w:type="dxa"/>
            <w:tcBorders>
              <w:top w:val="single" w:sz="4" w:space="0" w:color="000000"/>
              <w:left w:val="single" w:sz="4" w:space="0" w:color="000000"/>
              <w:bottom w:val="nil"/>
              <w:right w:val="single" w:sz="4" w:space="0" w:color="000000"/>
            </w:tcBorders>
            <w:noWrap/>
            <w:vAlign w:val="bottom"/>
          </w:tcPr>
          <w:p w:rsidR="00696C5E" w:rsidRPr="00F44674" w:rsidRDefault="00696C5E" w:rsidP="00D91AE0">
            <w:pPr>
              <w:jc w:val="right"/>
            </w:pPr>
            <w:r w:rsidRPr="00F44674">
              <w:rPr>
                <w:sz w:val="22"/>
                <w:szCs w:val="22"/>
              </w:rPr>
              <w:t>29.536</w:t>
            </w:r>
          </w:p>
        </w:tc>
        <w:tc>
          <w:tcPr>
            <w:tcW w:w="1080" w:type="dxa"/>
            <w:tcBorders>
              <w:top w:val="single" w:sz="4" w:space="0" w:color="000000"/>
              <w:left w:val="single" w:sz="4" w:space="0" w:color="000000"/>
              <w:bottom w:val="nil"/>
              <w:right w:val="single" w:sz="4" w:space="0" w:color="000000"/>
            </w:tcBorders>
          </w:tcPr>
          <w:p w:rsidR="00696C5E" w:rsidRPr="00F44674" w:rsidRDefault="00696C5E" w:rsidP="00D91AE0">
            <w:pPr>
              <w:jc w:val="right"/>
            </w:pPr>
            <w:r w:rsidRPr="00F44674">
              <w:rPr>
                <w:sz w:val="22"/>
                <w:szCs w:val="22"/>
              </w:rPr>
              <w:t>31.408</w:t>
            </w:r>
          </w:p>
        </w:tc>
        <w:tc>
          <w:tcPr>
            <w:tcW w:w="1389" w:type="dxa"/>
            <w:tcBorders>
              <w:top w:val="single" w:sz="4" w:space="0" w:color="000000"/>
              <w:left w:val="single" w:sz="4" w:space="0" w:color="000000"/>
              <w:bottom w:val="nil"/>
              <w:right w:val="single" w:sz="4" w:space="0" w:color="000000"/>
            </w:tcBorders>
          </w:tcPr>
          <w:p w:rsidR="00696C5E" w:rsidRPr="00F44674" w:rsidRDefault="00696C5E" w:rsidP="00D91AE0">
            <w:pPr>
              <w:jc w:val="right"/>
            </w:pPr>
            <w:r>
              <w:rPr>
                <w:sz w:val="22"/>
                <w:szCs w:val="22"/>
              </w:rPr>
              <w:t>66 %</w:t>
            </w:r>
          </w:p>
        </w:tc>
      </w:tr>
      <w:tr w:rsidR="00696C5E" w:rsidRPr="00F44674" w:rsidTr="00D91AE0">
        <w:trPr>
          <w:trHeight w:val="255"/>
        </w:trPr>
        <w:tc>
          <w:tcPr>
            <w:tcW w:w="2320" w:type="dxa"/>
            <w:tcBorders>
              <w:top w:val="single" w:sz="4" w:space="0" w:color="000000"/>
              <w:left w:val="single" w:sz="4" w:space="0" w:color="000000"/>
              <w:bottom w:val="single" w:sz="4" w:space="0" w:color="000000"/>
              <w:right w:val="nil"/>
            </w:tcBorders>
            <w:shd w:val="clear" w:color="auto" w:fill="auto"/>
            <w:noWrap/>
            <w:vAlign w:val="bottom"/>
          </w:tcPr>
          <w:p w:rsidR="00696C5E" w:rsidRPr="00D91AE0" w:rsidRDefault="00696C5E" w:rsidP="00D91AE0">
            <w:r w:rsidRPr="00D91AE0">
              <w:rPr>
                <w:sz w:val="22"/>
                <w:szCs w:val="22"/>
              </w:rPr>
              <w:t>Eindtotaal</w:t>
            </w:r>
          </w:p>
        </w:tc>
        <w:tc>
          <w:tcPr>
            <w:tcW w:w="74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96C5E" w:rsidRPr="00D91AE0" w:rsidRDefault="00696C5E" w:rsidP="00D91AE0">
            <w:pPr>
              <w:jc w:val="right"/>
            </w:pPr>
            <w:r w:rsidRPr="00D91AE0">
              <w:rPr>
                <w:sz w:val="22"/>
                <w:szCs w:val="22"/>
              </w:rPr>
              <w:t>49.460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96C5E" w:rsidRPr="00D91AE0" w:rsidRDefault="00696C5E" w:rsidP="00D91AE0">
            <w:pPr>
              <w:jc w:val="right"/>
            </w:pPr>
            <w:r w:rsidRPr="00D91AE0">
              <w:rPr>
                <w:sz w:val="22"/>
                <w:szCs w:val="22"/>
              </w:rPr>
              <w:t>47.575</w:t>
            </w:r>
          </w:p>
        </w:tc>
        <w:tc>
          <w:tcPr>
            <w:tcW w:w="1389" w:type="dxa"/>
            <w:tcBorders>
              <w:top w:val="single" w:sz="4" w:space="0" w:color="000000"/>
              <w:left w:val="single" w:sz="4" w:space="0" w:color="000000"/>
              <w:bottom w:val="single" w:sz="4" w:space="0" w:color="000000"/>
              <w:right w:val="single" w:sz="4" w:space="0" w:color="000000"/>
            </w:tcBorders>
            <w:shd w:val="clear" w:color="auto" w:fill="auto"/>
          </w:tcPr>
          <w:p w:rsidR="00696C5E" w:rsidRPr="00D91AE0" w:rsidRDefault="00696C5E" w:rsidP="00D91AE0">
            <w:pPr>
              <w:jc w:val="right"/>
              <w:rPr>
                <w:color w:val="FF0000"/>
              </w:rPr>
            </w:pPr>
          </w:p>
        </w:tc>
      </w:tr>
    </w:tbl>
    <w:p w:rsidR="00D91AE0" w:rsidRDefault="00D91AE0" w:rsidP="00696C5E">
      <w:pPr>
        <w:jc w:val="both"/>
        <w:rPr>
          <w:sz w:val="22"/>
          <w:szCs w:val="22"/>
        </w:rPr>
      </w:pPr>
    </w:p>
    <w:p w:rsidR="006B6D92" w:rsidRDefault="006B6D92">
      <w:pPr>
        <w:rPr>
          <w:b/>
          <w:sz w:val="22"/>
          <w:szCs w:val="22"/>
        </w:rPr>
      </w:pPr>
      <w:r>
        <w:rPr>
          <w:b/>
          <w:sz w:val="22"/>
          <w:szCs w:val="22"/>
        </w:rPr>
        <w:br w:type="page"/>
      </w:r>
    </w:p>
    <w:p w:rsidR="00696C5E" w:rsidRPr="00D91AE0" w:rsidRDefault="00696C5E" w:rsidP="00696C5E">
      <w:pPr>
        <w:rPr>
          <w:b/>
          <w:sz w:val="22"/>
          <w:szCs w:val="22"/>
        </w:rPr>
      </w:pPr>
      <w:r w:rsidRPr="00D91AE0">
        <w:rPr>
          <w:b/>
          <w:sz w:val="22"/>
          <w:szCs w:val="22"/>
        </w:rPr>
        <w:lastRenderedPageBreak/>
        <w:t>Tabel 3</w:t>
      </w:r>
      <w:r w:rsidR="00D91AE0" w:rsidRPr="00D91AE0">
        <w:rPr>
          <w:b/>
          <w:sz w:val="22"/>
          <w:szCs w:val="22"/>
        </w:rPr>
        <w:t xml:space="preserve"> kansengroepen</w:t>
      </w:r>
    </w:p>
    <w:tbl>
      <w:tblPr>
        <w:tblW w:w="4830" w:type="pct"/>
        <w:tblCellMar>
          <w:left w:w="70" w:type="dxa"/>
          <w:right w:w="70" w:type="dxa"/>
        </w:tblCellMar>
        <w:tblLook w:val="0000" w:firstRow="0" w:lastRow="0" w:firstColumn="0" w:lastColumn="0" w:noHBand="0" w:noVBand="0"/>
      </w:tblPr>
      <w:tblGrid>
        <w:gridCol w:w="1294"/>
        <w:gridCol w:w="731"/>
        <w:gridCol w:w="625"/>
        <w:gridCol w:w="697"/>
        <w:gridCol w:w="697"/>
        <w:gridCol w:w="625"/>
        <w:gridCol w:w="732"/>
        <w:gridCol w:w="697"/>
        <w:gridCol w:w="805"/>
        <w:gridCol w:w="805"/>
        <w:gridCol w:w="697"/>
        <w:gridCol w:w="805"/>
      </w:tblGrid>
      <w:tr w:rsidR="00D91AE0" w:rsidRPr="00290256" w:rsidTr="00D91AE0">
        <w:trPr>
          <w:trHeight w:val="2415"/>
        </w:trPr>
        <w:tc>
          <w:tcPr>
            <w:tcW w:w="704" w:type="pct"/>
            <w:tcBorders>
              <w:top w:val="single" w:sz="4" w:space="0" w:color="000000"/>
              <w:left w:val="single" w:sz="4" w:space="0" w:color="000000"/>
              <w:bottom w:val="nil"/>
              <w:right w:val="nil"/>
            </w:tcBorders>
            <w:noWrap/>
            <w:vAlign w:val="bottom"/>
          </w:tcPr>
          <w:p w:rsidR="00D91AE0" w:rsidRPr="00290256" w:rsidRDefault="00D91AE0" w:rsidP="00D91AE0">
            <w:pPr>
              <w:rPr>
                <w:rFonts w:ascii="MS Sans Serif" w:hAnsi="MS Sans Serif"/>
                <w:sz w:val="20"/>
                <w:szCs w:val="20"/>
              </w:rPr>
            </w:pPr>
          </w:p>
        </w:tc>
        <w:tc>
          <w:tcPr>
            <w:tcW w:w="397" w:type="pct"/>
            <w:tcBorders>
              <w:top w:val="single" w:sz="4" w:space="0" w:color="000000"/>
              <w:left w:val="single" w:sz="4" w:space="0" w:color="000000"/>
              <w:bottom w:val="nil"/>
              <w:right w:val="nil"/>
            </w:tcBorders>
            <w:noWrap/>
            <w:textDirection w:val="btLr"/>
            <w:vAlign w:val="bottom"/>
          </w:tcPr>
          <w:p w:rsidR="00D91AE0" w:rsidRPr="00290256" w:rsidRDefault="00D91AE0" w:rsidP="00D91AE0">
            <w:pPr>
              <w:jc w:val="right"/>
              <w:rPr>
                <w:rFonts w:ascii="MS Sans Serif" w:hAnsi="MS Sans Serif"/>
                <w:sz w:val="20"/>
                <w:szCs w:val="20"/>
              </w:rPr>
            </w:pPr>
            <w:r w:rsidRPr="00290256">
              <w:rPr>
                <w:rFonts w:ascii="MS Sans Serif" w:hAnsi="MS Sans Serif"/>
                <w:sz w:val="20"/>
                <w:szCs w:val="20"/>
              </w:rPr>
              <w:t>Aantal webopleidingen</w:t>
            </w:r>
          </w:p>
        </w:tc>
        <w:tc>
          <w:tcPr>
            <w:tcW w:w="339" w:type="pct"/>
            <w:tcBorders>
              <w:top w:val="single" w:sz="4" w:space="0" w:color="000000"/>
              <w:left w:val="nil"/>
              <w:bottom w:val="nil"/>
              <w:right w:val="nil"/>
            </w:tcBorders>
            <w:noWrap/>
            <w:textDirection w:val="btLr"/>
            <w:vAlign w:val="bottom"/>
          </w:tcPr>
          <w:p w:rsidR="00D91AE0" w:rsidRPr="00290256" w:rsidRDefault="00D91AE0" w:rsidP="00D91AE0">
            <w:pPr>
              <w:jc w:val="right"/>
              <w:rPr>
                <w:rFonts w:ascii="MS Sans Serif" w:hAnsi="MS Sans Serif"/>
                <w:sz w:val="20"/>
                <w:szCs w:val="20"/>
              </w:rPr>
            </w:pPr>
            <w:r w:rsidRPr="00290256">
              <w:rPr>
                <w:rFonts w:ascii="MS Sans Serif" w:hAnsi="MS Sans Serif"/>
                <w:sz w:val="20"/>
                <w:szCs w:val="20"/>
              </w:rPr>
              <w:t>Aantal arbeidsgehandicapten</w:t>
            </w:r>
          </w:p>
        </w:tc>
        <w:tc>
          <w:tcPr>
            <w:tcW w:w="378" w:type="pct"/>
            <w:tcBorders>
              <w:top w:val="single" w:sz="4" w:space="0" w:color="000000"/>
              <w:left w:val="nil"/>
              <w:bottom w:val="nil"/>
              <w:right w:val="nil"/>
            </w:tcBorders>
            <w:noWrap/>
            <w:textDirection w:val="btLr"/>
            <w:vAlign w:val="bottom"/>
          </w:tcPr>
          <w:p w:rsidR="00D91AE0" w:rsidRPr="00290256" w:rsidRDefault="00D91AE0" w:rsidP="00D91AE0">
            <w:pPr>
              <w:jc w:val="right"/>
              <w:rPr>
                <w:rFonts w:ascii="MS Sans Serif" w:hAnsi="MS Sans Serif"/>
                <w:sz w:val="20"/>
                <w:szCs w:val="20"/>
              </w:rPr>
            </w:pPr>
            <w:r w:rsidRPr="00290256">
              <w:rPr>
                <w:rFonts w:ascii="MS Sans Serif" w:hAnsi="MS Sans Serif"/>
                <w:sz w:val="20"/>
                <w:szCs w:val="20"/>
              </w:rPr>
              <w:t>Aantal allochtonen</w:t>
            </w:r>
          </w:p>
        </w:tc>
        <w:tc>
          <w:tcPr>
            <w:tcW w:w="378" w:type="pct"/>
            <w:tcBorders>
              <w:top w:val="single" w:sz="4" w:space="0" w:color="000000"/>
              <w:left w:val="nil"/>
              <w:bottom w:val="nil"/>
              <w:right w:val="nil"/>
            </w:tcBorders>
            <w:noWrap/>
            <w:textDirection w:val="btLr"/>
            <w:vAlign w:val="bottom"/>
          </w:tcPr>
          <w:p w:rsidR="00D91AE0" w:rsidRPr="00290256" w:rsidRDefault="00D91AE0" w:rsidP="00D91AE0">
            <w:pPr>
              <w:jc w:val="right"/>
              <w:rPr>
                <w:rFonts w:ascii="MS Sans Serif" w:hAnsi="MS Sans Serif"/>
                <w:sz w:val="20"/>
                <w:szCs w:val="20"/>
              </w:rPr>
            </w:pPr>
            <w:r w:rsidRPr="00290256">
              <w:rPr>
                <w:rFonts w:ascii="MS Sans Serif" w:hAnsi="MS Sans Serif"/>
                <w:sz w:val="20"/>
                <w:szCs w:val="20"/>
              </w:rPr>
              <w:t>Aantal laaggeschoolden</w:t>
            </w:r>
          </w:p>
        </w:tc>
        <w:tc>
          <w:tcPr>
            <w:tcW w:w="339" w:type="pct"/>
            <w:tcBorders>
              <w:top w:val="single" w:sz="4" w:space="0" w:color="000000"/>
              <w:left w:val="nil"/>
              <w:bottom w:val="nil"/>
              <w:right w:val="nil"/>
            </w:tcBorders>
            <w:noWrap/>
            <w:textDirection w:val="btLr"/>
            <w:vAlign w:val="bottom"/>
          </w:tcPr>
          <w:p w:rsidR="00D91AE0" w:rsidRPr="00290256" w:rsidRDefault="00D91AE0" w:rsidP="00D91AE0">
            <w:pPr>
              <w:jc w:val="right"/>
              <w:rPr>
                <w:rFonts w:ascii="MS Sans Serif" w:hAnsi="MS Sans Serif"/>
                <w:sz w:val="20"/>
                <w:szCs w:val="20"/>
              </w:rPr>
            </w:pPr>
            <w:r w:rsidRPr="00290256">
              <w:rPr>
                <w:rFonts w:ascii="MS Sans Serif" w:hAnsi="MS Sans Serif"/>
                <w:sz w:val="20"/>
                <w:szCs w:val="20"/>
              </w:rPr>
              <w:t>Aantal ouderen</w:t>
            </w:r>
          </w:p>
        </w:tc>
        <w:tc>
          <w:tcPr>
            <w:tcW w:w="397" w:type="pct"/>
            <w:tcBorders>
              <w:top w:val="single" w:sz="4" w:space="0" w:color="000000"/>
              <w:left w:val="nil"/>
              <w:bottom w:val="nil"/>
              <w:right w:val="nil"/>
            </w:tcBorders>
            <w:noWrap/>
            <w:textDirection w:val="btLr"/>
            <w:vAlign w:val="bottom"/>
          </w:tcPr>
          <w:p w:rsidR="00D91AE0" w:rsidRPr="00290256" w:rsidRDefault="00D91AE0" w:rsidP="00D91AE0">
            <w:pPr>
              <w:jc w:val="right"/>
              <w:rPr>
                <w:rFonts w:ascii="MS Sans Serif" w:hAnsi="MS Sans Serif"/>
                <w:sz w:val="20"/>
                <w:szCs w:val="20"/>
              </w:rPr>
            </w:pPr>
            <w:r w:rsidRPr="00290256">
              <w:rPr>
                <w:rFonts w:ascii="MS Sans Serif" w:hAnsi="MS Sans Serif"/>
                <w:sz w:val="20"/>
                <w:szCs w:val="20"/>
              </w:rPr>
              <w:t>Minstens</w:t>
            </w:r>
            <w:r>
              <w:rPr>
                <w:rFonts w:ascii="MS Sans Serif" w:hAnsi="MS Sans Serif"/>
                <w:sz w:val="20"/>
                <w:szCs w:val="20"/>
              </w:rPr>
              <w:t xml:space="preserve">  </w:t>
            </w:r>
            <w:r w:rsidRPr="00290256">
              <w:rPr>
                <w:rFonts w:ascii="MS Sans Serif" w:hAnsi="MS Sans Serif"/>
                <w:sz w:val="20"/>
                <w:szCs w:val="20"/>
              </w:rPr>
              <w:t>één</w:t>
            </w:r>
            <w:r>
              <w:rPr>
                <w:rFonts w:ascii="MS Sans Serif" w:hAnsi="MS Sans Serif"/>
                <w:sz w:val="20"/>
                <w:szCs w:val="20"/>
              </w:rPr>
              <w:t xml:space="preserve">  </w:t>
            </w:r>
            <w:r w:rsidRPr="00290256">
              <w:rPr>
                <w:rFonts w:ascii="MS Sans Serif" w:hAnsi="MS Sans Serif"/>
                <w:sz w:val="20"/>
                <w:szCs w:val="20"/>
              </w:rPr>
              <w:t>kansengroep_</w:t>
            </w:r>
          </w:p>
        </w:tc>
        <w:tc>
          <w:tcPr>
            <w:tcW w:w="378" w:type="pct"/>
            <w:tcBorders>
              <w:top w:val="single" w:sz="4" w:space="0" w:color="000000"/>
              <w:left w:val="nil"/>
              <w:bottom w:val="nil"/>
              <w:right w:val="nil"/>
            </w:tcBorders>
            <w:noWrap/>
            <w:textDirection w:val="btLr"/>
            <w:vAlign w:val="bottom"/>
          </w:tcPr>
          <w:p w:rsidR="00D91AE0" w:rsidRPr="00290256" w:rsidRDefault="00D91AE0" w:rsidP="00D91AE0">
            <w:pPr>
              <w:jc w:val="right"/>
              <w:rPr>
                <w:rFonts w:ascii="MS Sans Serif" w:hAnsi="MS Sans Serif"/>
                <w:sz w:val="20"/>
                <w:szCs w:val="20"/>
              </w:rPr>
            </w:pPr>
            <w:r w:rsidRPr="00290256">
              <w:rPr>
                <w:rFonts w:ascii="MS Sans Serif" w:hAnsi="MS Sans Serif"/>
                <w:sz w:val="20"/>
                <w:szCs w:val="20"/>
              </w:rPr>
              <w:t>% arbeidsgehandicapt</w:t>
            </w:r>
          </w:p>
        </w:tc>
        <w:tc>
          <w:tcPr>
            <w:tcW w:w="437" w:type="pct"/>
            <w:tcBorders>
              <w:top w:val="single" w:sz="4" w:space="0" w:color="000000"/>
              <w:left w:val="nil"/>
              <w:bottom w:val="nil"/>
              <w:right w:val="nil"/>
            </w:tcBorders>
            <w:noWrap/>
            <w:textDirection w:val="btLr"/>
            <w:vAlign w:val="bottom"/>
          </w:tcPr>
          <w:p w:rsidR="00D91AE0" w:rsidRPr="00290256" w:rsidRDefault="00D91AE0" w:rsidP="00D91AE0">
            <w:pPr>
              <w:jc w:val="right"/>
              <w:rPr>
                <w:rFonts w:ascii="MS Sans Serif" w:hAnsi="MS Sans Serif"/>
                <w:sz w:val="20"/>
                <w:szCs w:val="20"/>
              </w:rPr>
            </w:pPr>
            <w:r w:rsidRPr="00290256">
              <w:rPr>
                <w:rFonts w:ascii="MS Sans Serif" w:hAnsi="MS Sans Serif"/>
                <w:sz w:val="20"/>
                <w:szCs w:val="20"/>
              </w:rPr>
              <w:t>% allochtoon</w:t>
            </w:r>
          </w:p>
        </w:tc>
        <w:tc>
          <w:tcPr>
            <w:tcW w:w="437" w:type="pct"/>
            <w:tcBorders>
              <w:top w:val="single" w:sz="4" w:space="0" w:color="000000"/>
              <w:left w:val="nil"/>
              <w:bottom w:val="nil"/>
              <w:right w:val="nil"/>
            </w:tcBorders>
            <w:noWrap/>
            <w:textDirection w:val="btLr"/>
            <w:vAlign w:val="bottom"/>
          </w:tcPr>
          <w:p w:rsidR="00D91AE0" w:rsidRPr="00290256" w:rsidRDefault="00D91AE0" w:rsidP="00D91AE0">
            <w:pPr>
              <w:jc w:val="right"/>
              <w:rPr>
                <w:rFonts w:ascii="MS Sans Serif" w:hAnsi="MS Sans Serif"/>
                <w:sz w:val="20"/>
                <w:szCs w:val="20"/>
              </w:rPr>
            </w:pPr>
            <w:r w:rsidRPr="00290256">
              <w:rPr>
                <w:rFonts w:ascii="MS Sans Serif" w:hAnsi="MS Sans Serif"/>
                <w:sz w:val="20"/>
                <w:szCs w:val="20"/>
              </w:rPr>
              <w:t>% laaggeschoold</w:t>
            </w:r>
          </w:p>
        </w:tc>
        <w:tc>
          <w:tcPr>
            <w:tcW w:w="378" w:type="pct"/>
            <w:tcBorders>
              <w:top w:val="single" w:sz="4" w:space="0" w:color="000000"/>
              <w:left w:val="nil"/>
              <w:bottom w:val="nil"/>
              <w:right w:val="nil"/>
            </w:tcBorders>
            <w:noWrap/>
            <w:textDirection w:val="btLr"/>
            <w:vAlign w:val="bottom"/>
          </w:tcPr>
          <w:p w:rsidR="00D91AE0" w:rsidRPr="00290256" w:rsidRDefault="00D91AE0" w:rsidP="00D91AE0">
            <w:pPr>
              <w:jc w:val="right"/>
              <w:rPr>
                <w:rFonts w:ascii="MS Sans Serif" w:hAnsi="MS Sans Serif"/>
                <w:sz w:val="20"/>
                <w:szCs w:val="20"/>
              </w:rPr>
            </w:pPr>
            <w:r w:rsidRPr="00290256">
              <w:rPr>
                <w:rFonts w:ascii="MS Sans Serif" w:hAnsi="MS Sans Serif"/>
                <w:sz w:val="20"/>
                <w:szCs w:val="20"/>
              </w:rPr>
              <w:t>% oudere</w:t>
            </w:r>
          </w:p>
        </w:tc>
        <w:tc>
          <w:tcPr>
            <w:tcW w:w="437" w:type="pct"/>
            <w:tcBorders>
              <w:top w:val="single" w:sz="4" w:space="0" w:color="000000"/>
              <w:left w:val="nil"/>
              <w:bottom w:val="nil"/>
              <w:right w:val="nil"/>
            </w:tcBorders>
            <w:noWrap/>
            <w:textDirection w:val="btLr"/>
            <w:vAlign w:val="bottom"/>
          </w:tcPr>
          <w:p w:rsidR="00D91AE0" w:rsidRPr="00290256" w:rsidRDefault="00D91AE0" w:rsidP="00D91AE0">
            <w:pPr>
              <w:jc w:val="right"/>
              <w:rPr>
                <w:rFonts w:ascii="MS Sans Serif" w:hAnsi="MS Sans Serif"/>
                <w:sz w:val="20"/>
                <w:szCs w:val="20"/>
              </w:rPr>
            </w:pPr>
            <w:r w:rsidRPr="00290256">
              <w:rPr>
                <w:rFonts w:ascii="MS Sans Serif" w:hAnsi="MS Sans Serif"/>
                <w:sz w:val="20"/>
                <w:szCs w:val="20"/>
              </w:rPr>
              <w:t xml:space="preserve">% </w:t>
            </w:r>
            <w:proofErr w:type="spellStart"/>
            <w:r w:rsidRPr="00290256">
              <w:rPr>
                <w:rFonts w:ascii="MS Sans Serif" w:hAnsi="MS Sans Serif"/>
                <w:sz w:val="20"/>
                <w:szCs w:val="20"/>
              </w:rPr>
              <w:t>minstens_één_kansengroep</w:t>
            </w:r>
            <w:proofErr w:type="spellEnd"/>
          </w:p>
        </w:tc>
      </w:tr>
      <w:tr w:rsidR="00D91AE0" w:rsidRPr="00D91AE0" w:rsidTr="00D91AE0">
        <w:trPr>
          <w:trHeight w:val="255"/>
        </w:trPr>
        <w:tc>
          <w:tcPr>
            <w:tcW w:w="704" w:type="pct"/>
            <w:tcBorders>
              <w:top w:val="single" w:sz="4" w:space="0" w:color="000000"/>
              <w:left w:val="single" w:sz="4" w:space="0" w:color="000000"/>
              <w:bottom w:val="single" w:sz="4" w:space="0" w:color="000000"/>
              <w:right w:val="nil"/>
            </w:tcBorders>
            <w:shd w:val="clear" w:color="auto" w:fill="33CCCC"/>
            <w:noWrap/>
            <w:vAlign w:val="bottom"/>
          </w:tcPr>
          <w:p w:rsidR="00D91AE0" w:rsidRPr="00D91AE0" w:rsidRDefault="00D91AE0" w:rsidP="00D91AE0">
            <w:pPr>
              <w:rPr>
                <w:sz w:val="22"/>
                <w:szCs w:val="22"/>
              </w:rPr>
            </w:pPr>
            <w:r w:rsidRPr="00D91AE0">
              <w:rPr>
                <w:sz w:val="22"/>
                <w:szCs w:val="22"/>
              </w:rPr>
              <w:t>Totaal 2011</w:t>
            </w:r>
          </w:p>
        </w:tc>
        <w:tc>
          <w:tcPr>
            <w:tcW w:w="397" w:type="pct"/>
            <w:tcBorders>
              <w:top w:val="single" w:sz="4" w:space="0" w:color="000000"/>
              <w:left w:val="single" w:sz="4" w:space="0" w:color="000000"/>
              <w:bottom w:val="single" w:sz="4" w:space="0" w:color="000000"/>
              <w:right w:val="nil"/>
            </w:tcBorders>
            <w:shd w:val="clear" w:color="auto" w:fill="33CCCC"/>
            <w:noWrap/>
            <w:vAlign w:val="bottom"/>
          </w:tcPr>
          <w:p w:rsidR="00D91AE0" w:rsidRPr="00D91AE0" w:rsidRDefault="00D91AE0" w:rsidP="00D91AE0">
            <w:pPr>
              <w:jc w:val="right"/>
              <w:rPr>
                <w:sz w:val="22"/>
                <w:szCs w:val="22"/>
              </w:rPr>
            </w:pPr>
            <w:r w:rsidRPr="00D91AE0">
              <w:rPr>
                <w:sz w:val="22"/>
                <w:szCs w:val="22"/>
              </w:rPr>
              <w:t>49.460</w:t>
            </w:r>
          </w:p>
        </w:tc>
        <w:tc>
          <w:tcPr>
            <w:tcW w:w="339" w:type="pct"/>
            <w:tcBorders>
              <w:top w:val="single" w:sz="4" w:space="0" w:color="000000"/>
              <w:left w:val="nil"/>
              <w:bottom w:val="single" w:sz="4" w:space="0" w:color="000000"/>
              <w:right w:val="nil"/>
            </w:tcBorders>
            <w:shd w:val="clear" w:color="auto" w:fill="33CCCC"/>
            <w:noWrap/>
            <w:vAlign w:val="bottom"/>
          </w:tcPr>
          <w:p w:rsidR="00D91AE0" w:rsidRPr="00D91AE0" w:rsidRDefault="00D91AE0" w:rsidP="00D91AE0">
            <w:pPr>
              <w:jc w:val="right"/>
              <w:rPr>
                <w:sz w:val="22"/>
                <w:szCs w:val="22"/>
              </w:rPr>
            </w:pPr>
            <w:r w:rsidRPr="00D91AE0">
              <w:rPr>
                <w:sz w:val="22"/>
                <w:szCs w:val="22"/>
              </w:rPr>
              <w:t>2.383</w:t>
            </w:r>
          </w:p>
        </w:tc>
        <w:tc>
          <w:tcPr>
            <w:tcW w:w="378" w:type="pct"/>
            <w:tcBorders>
              <w:top w:val="single" w:sz="4" w:space="0" w:color="000000"/>
              <w:left w:val="nil"/>
              <w:bottom w:val="single" w:sz="4" w:space="0" w:color="000000"/>
              <w:right w:val="nil"/>
            </w:tcBorders>
            <w:shd w:val="clear" w:color="auto" w:fill="33CCCC"/>
            <w:noWrap/>
            <w:vAlign w:val="bottom"/>
          </w:tcPr>
          <w:p w:rsidR="00D91AE0" w:rsidRPr="00D91AE0" w:rsidRDefault="00D91AE0" w:rsidP="00D91AE0">
            <w:pPr>
              <w:jc w:val="right"/>
              <w:rPr>
                <w:sz w:val="22"/>
                <w:szCs w:val="22"/>
              </w:rPr>
            </w:pPr>
            <w:r w:rsidRPr="00D91AE0">
              <w:rPr>
                <w:sz w:val="22"/>
                <w:szCs w:val="22"/>
              </w:rPr>
              <w:t>5.184</w:t>
            </w:r>
          </w:p>
        </w:tc>
        <w:tc>
          <w:tcPr>
            <w:tcW w:w="378" w:type="pct"/>
            <w:tcBorders>
              <w:top w:val="single" w:sz="4" w:space="0" w:color="000000"/>
              <w:left w:val="nil"/>
              <w:bottom w:val="single" w:sz="4" w:space="0" w:color="000000"/>
              <w:right w:val="nil"/>
            </w:tcBorders>
            <w:shd w:val="clear" w:color="auto" w:fill="33CCCC"/>
            <w:noWrap/>
            <w:vAlign w:val="bottom"/>
          </w:tcPr>
          <w:p w:rsidR="00D91AE0" w:rsidRPr="00D91AE0" w:rsidRDefault="00D91AE0" w:rsidP="00D91AE0">
            <w:pPr>
              <w:jc w:val="right"/>
              <w:rPr>
                <w:sz w:val="22"/>
                <w:szCs w:val="22"/>
              </w:rPr>
            </w:pPr>
            <w:r w:rsidRPr="00D91AE0">
              <w:rPr>
                <w:sz w:val="22"/>
                <w:szCs w:val="22"/>
              </w:rPr>
              <w:t>9.128</w:t>
            </w:r>
          </w:p>
        </w:tc>
        <w:tc>
          <w:tcPr>
            <w:tcW w:w="339" w:type="pct"/>
            <w:tcBorders>
              <w:top w:val="single" w:sz="4" w:space="0" w:color="000000"/>
              <w:left w:val="nil"/>
              <w:bottom w:val="single" w:sz="4" w:space="0" w:color="000000"/>
              <w:right w:val="nil"/>
            </w:tcBorders>
            <w:shd w:val="clear" w:color="auto" w:fill="33CCCC"/>
            <w:noWrap/>
            <w:vAlign w:val="bottom"/>
          </w:tcPr>
          <w:p w:rsidR="00D91AE0" w:rsidRPr="00D91AE0" w:rsidRDefault="00D91AE0" w:rsidP="00D91AE0">
            <w:pPr>
              <w:jc w:val="right"/>
              <w:rPr>
                <w:sz w:val="22"/>
                <w:szCs w:val="22"/>
              </w:rPr>
            </w:pPr>
            <w:r w:rsidRPr="00D91AE0">
              <w:rPr>
                <w:sz w:val="22"/>
                <w:szCs w:val="22"/>
              </w:rPr>
              <w:t>3.705</w:t>
            </w:r>
          </w:p>
        </w:tc>
        <w:tc>
          <w:tcPr>
            <w:tcW w:w="397" w:type="pct"/>
            <w:tcBorders>
              <w:top w:val="single" w:sz="4" w:space="0" w:color="000000"/>
              <w:left w:val="nil"/>
              <w:bottom w:val="single" w:sz="4" w:space="0" w:color="000000"/>
              <w:right w:val="nil"/>
            </w:tcBorders>
            <w:shd w:val="clear" w:color="auto" w:fill="33CCCC"/>
            <w:noWrap/>
            <w:vAlign w:val="bottom"/>
          </w:tcPr>
          <w:p w:rsidR="00D91AE0" w:rsidRPr="00D91AE0" w:rsidRDefault="00D91AE0" w:rsidP="00D91AE0">
            <w:pPr>
              <w:jc w:val="right"/>
              <w:rPr>
                <w:sz w:val="22"/>
                <w:szCs w:val="22"/>
              </w:rPr>
            </w:pPr>
            <w:r w:rsidRPr="00D91AE0">
              <w:rPr>
                <w:sz w:val="22"/>
                <w:szCs w:val="22"/>
              </w:rPr>
              <w:t>16.995</w:t>
            </w:r>
          </w:p>
        </w:tc>
        <w:tc>
          <w:tcPr>
            <w:tcW w:w="378" w:type="pct"/>
            <w:tcBorders>
              <w:top w:val="single" w:sz="4" w:space="0" w:color="000000"/>
              <w:left w:val="nil"/>
              <w:bottom w:val="single" w:sz="4" w:space="0" w:color="000000"/>
              <w:right w:val="nil"/>
            </w:tcBorders>
            <w:shd w:val="clear" w:color="auto" w:fill="33CCCC"/>
            <w:noWrap/>
            <w:vAlign w:val="bottom"/>
          </w:tcPr>
          <w:p w:rsidR="00D91AE0" w:rsidRPr="00D91AE0" w:rsidRDefault="00D91AE0" w:rsidP="00D91AE0">
            <w:pPr>
              <w:jc w:val="right"/>
              <w:rPr>
                <w:sz w:val="22"/>
                <w:szCs w:val="22"/>
              </w:rPr>
            </w:pPr>
            <w:r w:rsidRPr="00D91AE0">
              <w:rPr>
                <w:sz w:val="22"/>
                <w:szCs w:val="22"/>
              </w:rPr>
              <w:t>4,82%</w:t>
            </w:r>
          </w:p>
        </w:tc>
        <w:tc>
          <w:tcPr>
            <w:tcW w:w="437" w:type="pct"/>
            <w:tcBorders>
              <w:top w:val="single" w:sz="4" w:space="0" w:color="000000"/>
              <w:left w:val="nil"/>
              <w:bottom w:val="single" w:sz="4" w:space="0" w:color="000000"/>
              <w:right w:val="nil"/>
            </w:tcBorders>
            <w:shd w:val="clear" w:color="auto" w:fill="33CCCC"/>
            <w:noWrap/>
            <w:vAlign w:val="bottom"/>
          </w:tcPr>
          <w:p w:rsidR="00D91AE0" w:rsidRPr="00D91AE0" w:rsidRDefault="00D91AE0" w:rsidP="00D91AE0">
            <w:pPr>
              <w:jc w:val="right"/>
              <w:rPr>
                <w:sz w:val="22"/>
                <w:szCs w:val="22"/>
              </w:rPr>
            </w:pPr>
            <w:r w:rsidRPr="00D91AE0">
              <w:rPr>
                <w:sz w:val="22"/>
                <w:szCs w:val="22"/>
              </w:rPr>
              <w:t>10,48%</w:t>
            </w:r>
          </w:p>
        </w:tc>
        <w:tc>
          <w:tcPr>
            <w:tcW w:w="437" w:type="pct"/>
            <w:tcBorders>
              <w:top w:val="single" w:sz="4" w:space="0" w:color="000000"/>
              <w:left w:val="nil"/>
              <w:bottom w:val="single" w:sz="4" w:space="0" w:color="000000"/>
              <w:right w:val="nil"/>
            </w:tcBorders>
            <w:shd w:val="clear" w:color="auto" w:fill="33CCCC"/>
            <w:noWrap/>
            <w:vAlign w:val="bottom"/>
          </w:tcPr>
          <w:p w:rsidR="00D91AE0" w:rsidRPr="00D91AE0" w:rsidRDefault="00D91AE0" w:rsidP="00D91AE0">
            <w:pPr>
              <w:jc w:val="right"/>
              <w:rPr>
                <w:sz w:val="22"/>
                <w:szCs w:val="22"/>
              </w:rPr>
            </w:pPr>
            <w:r w:rsidRPr="00D91AE0">
              <w:rPr>
                <w:sz w:val="22"/>
                <w:szCs w:val="22"/>
              </w:rPr>
              <w:t>18,46%</w:t>
            </w:r>
          </w:p>
        </w:tc>
        <w:tc>
          <w:tcPr>
            <w:tcW w:w="378" w:type="pct"/>
            <w:tcBorders>
              <w:top w:val="single" w:sz="4" w:space="0" w:color="000000"/>
              <w:left w:val="nil"/>
              <w:bottom w:val="single" w:sz="4" w:space="0" w:color="000000"/>
              <w:right w:val="nil"/>
            </w:tcBorders>
            <w:shd w:val="clear" w:color="auto" w:fill="33CCCC"/>
            <w:noWrap/>
            <w:vAlign w:val="bottom"/>
          </w:tcPr>
          <w:p w:rsidR="00D91AE0" w:rsidRPr="00D91AE0" w:rsidRDefault="00D91AE0" w:rsidP="00D91AE0">
            <w:pPr>
              <w:jc w:val="right"/>
              <w:rPr>
                <w:sz w:val="22"/>
                <w:szCs w:val="22"/>
              </w:rPr>
            </w:pPr>
            <w:r w:rsidRPr="00D91AE0">
              <w:rPr>
                <w:sz w:val="22"/>
                <w:szCs w:val="22"/>
              </w:rPr>
              <w:t>7,49%</w:t>
            </w:r>
          </w:p>
        </w:tc>
        <w:tc>
          <w:tcPr>
            <w:tcW w:w="437" w:type="pct"/>
            <w:tcBorders>
              <w:top w:val="single" w:sz="4" w:space="0" w:color="000000"/>
              <w:left w:val="nil"/>
              <w:bottom w:val="single" w:sz="4" w:space="0" w:color="000000"/>
              <w:right w:val="nil"/>
            </w:tcBorders>
            <w:shd w:val="clear" w:color="auto" w:fill="33CCCC"/>
            <w:noWrap/>
            <w:vAlign w:val="bottom"/>
          </w:tcPr>
          <w:p w:rsidR="00D91AE0" w:rsidRPr="00D91AE0" w:rsidRDefault="00D91AE0" w:rsidP="00D91AE0">
            <w:pPr>
              <w:jc w:val="right"/>
              <w:rPr>
                <w:sz w:val="22"/>
                <w:szCs w:val="22"/>
              </w:rPr>
            </w:pPr>
            <w:r w:rsidRPr="00D91AE0">
              <w:rPr>
                <w:sz w:val="22"/>
                <w:szCs w:val="22"/>
              </w:rPr>
              <w:t>34,36%</w:t>
            </w:r>
          </w:p>
        </w:tc>
      </w:tr>
      <w:tr w:rsidR="00D91AE0" w:rsidRPr="00D91AE0" w:rsidTr="00D91AE0">
        <w:trPr>
          <w:trHeight w:val="255"/>
        </w:trPr>
        <w:tc>
          <w:tcPr>
            <w:tcW w:w="704" w:type="pct"/>
            <w:tcBorders>
              <w:top w:val="single" w:sz="4" w:space="0" w:color="000000"/>
              <w:left w:val="single" w:sz="4" w:space="0" w:color="000000"/>
              <w:bottom w:val="single" w:sz="4" w:space="0" w:color="000000"/>
              <w:right w:val="nil"/>
            </w:tcBorders>
            <w:shd w:val="clear" w:color="auto" w:fill="33CCCC"/>
            <w:noWrap/>
            <w:vAlign w:val="bottom"/>
          </w:tcPr>
          <w:p w:rsidR="00D91AE0" w:rsidRPr="00D91AE0" w:rsidRDefault="00D91AE0" w:rsidP="00D91AE0">
            <w:pPr>
              <w:rPr>
                <w:sz w:val="22"/>
                <w:szCs w:val="22"/>
              </w:rPr>
            </w:pPr>
            <w:r w:rsidRPr="00D91AE0">
              <w:rPr>
                <w:sz w:val="22"/>
                <w:szCs w:val="22"/>
              </w:rPr>
              <w:t>Totaal 2012</w:t>
            </w:r>
          </w:p>
        </w:tc>
        <w:tc>
          <w:tcPr>
            <w:tcW w:w="397" w:type="pct"/>
            <w:tcBorders>
              <w:top w:val="single" w:sz="4" w:space="0" w:color="000000"/>
              <w:left w:val="single" w:sz="4" w:space="0" w:color="000000"/>
              <w:bottom w:val="single" w:sz="4" w:space="0" w:color="000000"/>
              <w:right w:val="nil"/>
            </w:tcBorders>
            <w:shd w:val="clear" w:color="auto" w:fill="33CCCC"/>
            <w:noWrap/>
            <w:vAlign w:val="bottom"/>
          </w:tcPr>
          <w:p w:rsidR="00D91AE0" w:rsidRPr="00D91AE0" w:rsidRDefault="00D91AE0" w:rsidP="00D91AE0">
            <w:pPr>
              <w:jc w:val="right"/>
              <w:rPr>
                <w:sz w:val="22"/>
                <w:szCs w:val="22"/>
              </w:rPr>
            </w:pPr>
            <w:r w:rsidRPr="00D91AE0">
              <w:rPr>
                <w:sz w:val="22"/>
                <w:szCs w:val="22"/>
              </w:rPr>
              <w:t>47.575</w:t>
            </w:r>
          </w:p>
        </w:tc>
        <w:tc>
          <w:tcPr>
            <w:tcW w:w="339" w:type="pct"/>
            <w:tcBorders>
              <w:top w:val="single" w:sz="4" w:space="0" w:color="000000"/>
              <w:left w:val="nil"/>
              <w:bottom w:val="single" w:sz="4" w:space="0" w:color="000000"/>
              <w:right w:val="nil"/>
            </w:tcBorders>
            <w:shd w:val="clear" w:color="auto" w:fill="33CCCC"/>
            <w:noWrap/>
            <w:vAlign w:val="bottom"/>
          </w:tcPr>
          <w:p w:rsidR="00D91AE0" w:rsidRPr="00D91AE0" w:rsidRDefault="00D91AE0" w:rsidP="00D91AE0">
            <w:pPr>
              <w:jc w:val="right"/>
              <w:rPr>
                <w:sz w:val="22"/>
                <w:szCs w:val="22"/>
              </w:rPr>
            </w:pPr>
            <w:r w:rsidRPr="00D91AE0">
              <w:rPr>
                <w:sz w:val="22"/>
                <w:szCs w:val="22"/>
              </w:rPr>
              <w:t>2.256</w:t>
            </w:r>
          </w:p>
        </w:tc>
        <w:tc>
          <w:tcPr>
            <w:tcW w:w="378" w:type="pct"/>
            <w:tcBorders>
              <w:top w:val="single" w:sz="4" w:space="0" w:color="000000"/>
              <w:left w:val="nil"/>
              <w:bottom w:val="single" w:sz="4" w:space="0" w:color="000000"/>
              <w:right w:val="nil"/>
            </w:tcBorders>
            <w:shd w:val="clear" w:color="auto" w:fill="33CCCC"/>
            <w:noWrap/>
            <w:vAlign w:val="bottom"/>
          </w:tcPr>
          <w:p w:rsidR="00D91AE0" w:rsidRPr="00D91AE0" w:rsidRDefault="00D91AE0" w:rsidP="00D91AE0">
            <w:pPr>
              <w:jc w:val="right"/>
              <w:rPr>
                <w:sz w:val="22"/>
                <w:szCs w:val="22"/>
              </w:rPr>
            </w:pPr>
            <w:r w:rsidRPr="00D91AE0">
              <w:rPr>
                <w:sz w:val="22"/>
                <w:szCs w:val="22"/>
              </w:rPr>
              <w:t>5.462</w:t>
            </w:r>
          </w:p>
        </w:tc>
        <w:tc>
          <w:tcPr>
            <w:tcW w:w="378" w:type="pct"/>
            <w:tcBorders>
              <w:top w:val="single" w:sz="4" w:space="0" w:color="000000"/>
              <w:left w:val="nil"/>
              <w:bottom w:val="single" w:sz="4" w:space="0" w:color="000000"/>
              <w:right w:val="nil"/>
            </w:tcBorders>
            <w:shd w:val="clear" w:color="auto" w:fill="33CCCC"/>
            <w:noWrap/>
            <w:vAlign w:val="bottom"/>
          </w:tcPr>
          <w:p w:rsidR="00D91AE0" w:rsidRPr="00D91AE0" w:rsidRDefault="00D91AE0" w:rsidP="00D91AE0">
            <w:pPr>
              <w:jc w:val="right"/>
              <w:rPr>
                <w:sz w:val="22"/>
                <w:szCs w:val="22"/>
              </w:rPr>
            </w:pPr>
            <w:r w:rsidRPr="00D91AE0">
              <w:rPr>
                <w:sz w:val="22"/>
                <w:szCs w:val="22"/>
              </w:rPr>
              <w:t>9.300</w:t>
            </w:r>
          </w:p>
        </w:tc>
        <w:tc>
          <w:tcPr>
            <w:tcW w:w="339" w:type="pct"/>
            <w:tcBorders>
              <w:top w:val="single" w:sz="4" w:space="0" w:color="000000"/>
              <w:left w:val="nil"/>
              <w:bottom w:val="single" w:sz="4" w:space="0" w:color="000000"/>
              <w:right w:val="nil"/>
            </w:tcBorders>
            <w:shd w:val="clear" w:color="auto" w:fill="33CCCC"/>
            <w:noWrap/>
            <w:vAlign w:val="bottom"/>
          </w:tcPr>
          <w:p w:rsidR="00D91AE0" w:rsidRPr="00D91AE0" w:rsidRDefault="00D91AE0" w:rsidP="00D91AE0">
            <w:pPr>
              <w:jc w:val="right"/>
              <w:rPr>
                <w:sz w:val="22"/>
                <w:szCs w:val="22"/>
              </w:rPr>
            </w:pPr>
            <w:r w:rsidRPr="00D91AE0">
              <w:rPr>
                <w:sz w:val="22"/>
                <w:szCs w:val="22"/>
              </w:rPr>
              <w:t>3.417</w:t>
            </w:r>
          </w:p>
        </w:tc>
        <w:tc>
          <w:tcPr>
            <w:tcW w:w="397" w:type="pct"/>
            <w:tcBorders>
              <w:top w:val="single" w:sz="4" w:space="0" w:color="000000"/>
              <w:left w:val="nil"/>
              <w:bottom w:val="single" w:sz="4" w:space="0" w:color="000000"/>
              <w:right w:val="nil"/>
            </w:tcBorders>
            <w:shd w:val="clear" w:color="auto" w:fill="33CCCC"/>
            <w:noWrap/>
            <w:vAlign w:val="bottom"/>
          </w:tcPr>
          <w:p w:rsidR="00D91AE0" w:rsidRPr="00D91AE0" w:rsidRDefault="00D91AE0" w:rsidP="00D91AE0">
            <w:pPr>
              <w:jc w:val="right"/>
              <w:rPr>
                <w:sz w:val="22"/>
                <w:szCs w:val="22"/>
              </w:rPr>
            </w:pPr>
            <w:r w:rsidRPr="00D91AE0">
              <w:rPr>
                <w:sz w:val="22"/>
                <w:szCs w:val="22"/>
              </w:rPr>
              <w:t>17.262</w:t>
            </w:r>
          </w:p>
        </w:tc>
        <w:tc>
          <w:tcPr>
            <w:tcW w:w="378" w:type="pct"/>
            <w:tcBorders>
              <w:top w:val="single" w:sz="4" w:space="0" w:color="000000"/>
              <w:left w:val="nil"/>
              <w:bottom w:val="single" w:sz="4" w:space="0" w:color="000000"/>
              <w:right w:val="nil"/>
            </w:tcBorders>
            <w:shd w:val="clear" w:color="auto" w:fill="33CCCC"/>
            <w:noWrap/>
            <w:vAlign w:val="bottom"/>
          </w:tcPr>
          <w:p w:rsidR="00D91AE0" w:rsidRPr="00D91AE0" w:rsidRDefault="00D91AE0" w:rsidP="00D91AE0">
            <w:pPr>
              <w:jc w:val="right"/>
              <w:rPr>
                <w:sz w:val="22"/>
                <w:szCs w:val="22"/>
              </w:rPr>
            </w:pPr>
            <w:r w:rsidRPr="00D91AE0">
              <w:rPr>
                <w:sz w:val="22"/>
                <w:szCs w:val="22"/>
              </w:rPr>
              <w:t>4,74%</w:t>
            </w:r>
          </w:p>
        </w:tc>
        <w:tc>
          <w:tcPr>
            <w:tcW w:w="437" w:type="pct"/>
            <w:tcBorders>
              <w:top w:val="single" w:sz="4" w:space="0" w:color="000000"/>
              <w:left w:val="nil"/>
              <w:bottom w:val="single" w:sz="4" w:space="0" w:color="000000"/>
              <w:right w:val="nil"/>
            </w:tcBorders>
            <w:shd w:val="clear" w:color="auto" w:fill="33CCCC"/>
            <w:noWrap/>
            <w:vAlign w:val="bottom"/>
          </w:tcPr>
          <w:p w:rsidR="00D91AE0" w:rsidRPr="00D91AE0" w:rsidRDefault="00D91AE0" w:rsidP="00D91AE0">
            <w:pPr>
              <w:jc w:val="right"/>
              <w:rPr>
                <w:sz w:val="22"/>
                <w:szCs w:val="22"/>
              </w:rPr>
            </w:pPr>
            <w:r w:rsidRPr="00D91AE0">
              <w:rPr>
                <w:sz w:val="22"/>
                <w:szCs w:val="22"/>
              </w:rPr>
              <w:t>11,48%</w:t>
            </w:r>
          </w:p>
        </w:tc>
        <w:tc>
          <w:tcPr>
            <w:tcW w:w="437" w:type="pct"/>
            <w:tcBorders>
              <w:top w:val="single" w:sz="4" w:space="0" w:color="000000"/>
              <w:left w:val="nil"/>
              <w:bottom w:val="single" w:sz="4" w:space="0" w:color="000000"/>
              <w:right w:val="nil"/>
            </w:tcBorders>
            <w:shd w:val="clear" w:color="auto" w:fill="33CCCC"/>
            <w:noWrap/>
            <w:vAlign w:val="bottom"/>
          </w:tcPr>
          <w:p w:rsidR="00D91AE0" w:rsidRPr="00D91AE0" w:rsidRDefault="00D91AE0" w:rsidP="00D91AE0">
            <w:pPr>
              <w:jc w:val="right"/>
              <w:rPr>
                <w:sz w:val="22"/>
                <w:szCs w:val="22"/>
              </w:rPr>
            </w:pPr>
            <w:r w:rsidRPr="00D91AE0">
              <w:rPr>
                <w:sz w:val="22"/>
                <w:szCs w:val="22"/>
              </w:rPr>
              <w:t>19,55%</w:t>
            </w:r>
          </w:p>
        </w:tc>
        <w:tc>
          <w:tcPr>
            <w:tcW w:w="378" w:type="pct"/>
            <w:tcBorders>
              <w:top w:val="single" w:sz="4" w:space="0" w:color="000000"/>
              <w:left w:val="nil"/>
              <w:bottom w:val="single" w:sz="4" w:space="0" w:color="000000"/>
              <w:right w:val="nil"/>
            </w:tcBorders>
            <w:shd w:val="clear" w:color="auto" w:fill="33CCCC"/>
            <w:noWrap/>
            <w:vAlign w:val="bottom"/>
          </w:tcPr>
          <w:p w:rsidR="00D91AE0" w:rsidRPr="00D91AE0" w:rsidRDefault="00D91AE0" w:rsidP="00D91AE0">
            <w:pPr>
              <w:jc w:val="right"/>
              <w:rPr>
                <w:sz w:val="22"/>
                <w:szCs w:val="22"/>
              </w:rPr>
            </w:pPr>
            <w:r w:rsidRPr="00D91AE0">
              <w:rPr>
                <w:sz w:val="22"/>
                <w:szCs w:val="22"/>
              </w:rPr>
              <w:t>7,18%</w:t>
            </w:r>
          </w:p>
        </w:tc>
        <w:tc>
          <w:tcPr>
            <w:tcW w:w="437" w:type="pct"/>
            <w:tcBorders>
              <w:top w:val="single" w:sz="4" w:space="0" w:color="000000"/>
              <w:left w:val="nil"/>
              <w:bottom w:val="single" w:sz="4" w:space="0" w:color="000000"/>
              <w:right w:val="nil"/>
            </w:tcBorders>
            <w:shd w:val="clear" w:color="auto" w:fill="33CCCC"/>
            <w:noWrap/>
            <w:vAlign w:val="bottom"/>
          </w:tcPr>
          <w:p w:rsidR="00D91AE0" w:rsidRPr="00D91AE0" w:rsidRDefault="00D91AE0" w:rsidP="00D91AE0">
            <w:pPr>
              <w:jc w:val="right"/>
              <w:rPr>
                <w:sz w:val="22"/>
                <w:szCs w:val="22"/>
              </w:rPr>
            </w:pPr>
            <w:r w:rsidRPr="00D91AE0">
              <w:rPr>
                <w:sz w:val="22"/>
                <w:szCs w:val="22"/>
              </w:rPr>
              <w:t>36,28%</w:t>
            </w:r>
          </w:p>
        </w:tc>
      </w:tr>
      <w:tr w:rsidR="00D91AE0" w:rsidRPr="00D91AE0" w:rsidTr="00D91AE0">
        <w:trPr>
          <w:trHeight w:val="255"/>
        </w:trPr>
        <w:tc>
          <w:tcPr>
            <w:tcW w:w="704" w:type="pct"/>
            <w:tcBorders>
              <w:top w:val="single" w:sz="4" w:space="0" w:color="000000"/>
              <w:left w:val="single" w:sz="4" w:space="0" w:color="000000"/>
              <w:bottom w:val="single" w:sz="4" w:space="0" w:color="000000"/>
              <w:right w:val="nil"/>
            </w:tcBorders>
            <w:shd w:val="clear" w:color="auto" w:fill="33CCCC"/>
            <w:noWrap/>
            <w:vAlign w:val="bottom"/>
          </w:tcPr>
          <w:p w:rsidR="00D91AE0" w:rsidRPr="00D91AE0" w:rsidRDefault="00D91AE0" w:rsidP="00D91AE0">
            <w:pPr>
              <w:rPr>
                <w:sz w:val="22"/>
                <w:szCs w:val="22"/>
              </w:rPr>
            </w:pPr>
            <w:r w:rsidRPr="00D91AE0">
              <w:rPr>
                <w:sz w:val="22"/>
                <w:szCs w:val="22"/>
              </w:rPr>
              <w:t>2012/2011 %</w:t>
            </w:r>
          </w:p>
        </w:tc>
        <w:tc>
          <w:tcPr>
            <w:tcW w:w="397" w:type="pct"/>
            <w:tcBorders>
              <w:top w:val="single" w:sz="4" w:space="0" w:color="000000"/>
              <w:left w:val="single" w:sz="4" w:space="0" w:color="000000"/>
              <w:bottom w:val="single" w:sz="4" w:space="0" w:color="000000"/>
              <w:right w:val="nil"/>
            </w:tcBorders>
            <w:shd w:val="clear" w:color="auto" w:fill="33CCCC"/>
            <w:noWrap/>
            <w:vAlign w:val="bottom"/>
          </w:tcPr>
          <w:p w:rsidR="00D91AE0" w:rsidRPr="00D91AE0" w:rsidRDefault="00D91AE0" w:rsidP="00D91AE0">
            <w:pPr>
              <w:jc w:val="right"/>
              <w:rPr>
                <w:sz w:val="22"/>
                <w:szCs w:val="22"/>
              </w:rPr>
            </w:pPr>
            <w:r w:rsidRPr="00D91AE0">
              <w:rPr>
                <w:sz w:val="22"/>
                <w:szCs w:val="22"/>
              </w:rPr>
              <w:t>96 %</w:t>
            </w:r>
          </w:p>
        </w:tc>
        <w:tc>
          <w:tcPr>
            <w:tcW w:w="339" w:type="pct"/>
            <w:tcBorders>
              <w:top w:val="single" w:sz="4" w:space="0" w:color="000000"/>
              <w:left w:val="nil"/>
              <w:bottom w:val="single" w:sz="4" w:space="0" w:color="000000"/>
              <w:right w:val="nil"/>
            </w:tcBorders>
            <w:shd w:val="clear" w:color="auto" w:fill="33CCCC"/>
            <w:noWrap/>
            <w:vAlign w:val="bottom"/>
          </w:tcPr>
          <w:p w:rsidR="00D91AE0" w:rsidRPr="00D91AE0" w:rsidRDefault="00D91AE0" w:rsidP="00D91AE0">
            <w:pPr>
              <w:jc w:val="right"/>
              <w:rPr>
                <w:sz w:val="22"/>
                <w:szCs w:val="22"/>
              </w:rPr>
            </w:pPr>
            <w:r w:rsidRPr="00D91AE0">
              <w:rPr>
                <w:sz w:val="22"/>
                <w:szCs w:val="22"/>
              </w:rPr>
              <w:t>95 %</w:t>
            </w:r>
          </w:p>
        </w:tc>
        <w:tc>
          <w:tcPr>
            <w:tcW w:w="378" w:type="pct"/>
            <w:tcBorders>
              <w:top w:val="single" w:sz="4" w:space="0" w:color="000000"/>
              <w:left w:val="nil"/>
              <w:bottom w:val="single" w:sz="4" w:space="0" w:color="000000"/>
              <w:right w:val="nil"/>
            </w:tcBorders>
            <w:shd w:val="clear" w:color="auto" w:fill="33CCCC"/>
            <w:noWrap/>
            <w:vAlign w:val="bottom"/>
          </w:tcPr>
          <w:p w:rsidR="00D91AE0" w:rsidRPr="00D91AE0" w:rsidRDefault="00D91AE0" w:rsidP="00D91AE0">
            <w:pPr>
              <w:jc w:val="right"/>
              <w:rPr>
                <w:sz w:val="22"/>
                <w:szCs w:val="22"/>
              </w:rPr>
            </w:pPr>
            <w:r w:rsidRPr="00D91AE0">
              <w:rPr>
                <w:sz w:val="22"/>
                <w:szCs w:val="22"/>
              </w:rPr>
              <w:t>105 %</w:t>
            </w:r>
          </w:p>
        </w:tc>
        <w:tc>
          <w:tcPr>
            <w:tcW w:w="378" w:type="pct"/>
            <w:tcBorders>
              <w:top w:val="single" w:sz="4" w:space="0" w:color="000000"/>
              <w:left w:val="nil"/>
              <w:bottom w:val="single" w:sz="4" w:space="0" w:color="000000"/>
              <w:right w:val="nil"/>
            </w:tcBorders>
            <w:shd w:val="clear" w:color="auto" w:fill="33CCCC"/>
            <w:noWrap/>
            <w:vAlign w:val="bottom"/>
          </w:tcPr>
          <w:p w:rsidR="00D91AE0" w:rsidRPr="00D91AE0" w:rsidRDefault="00D91AE0" w:rsidP="00D91AE0">
            <w:pPr>
              <w:jc w:val="right"/>
              <w:rPr>
                <w:sz w:val="22"/>
                <w:szCs w:val="22"/>
              </w:rPr>
            </w:pPr>
            <w:r w:rsidRPr="00D91AE0">
              <w:rPr>
                <w:sz w:val="22"/>
                <w:szCs w:val="22"/>
              </w:rPr>
              <w:t>102 %</w:t>
            </w:r>
          </w:p>
        </w:tc>
        <w:tc>
          <w:tcPr>
            <w:tcW w:w="339" w:type="pct"/>
            <w:tcBorders>
              <w:top w:val="single" w:sz="4" w:space="0" w:color="000000"/>
              <w:left w:val="nil"/>
              <w:bottom w:val="single" w:sz="4" w:space="0" w:color="000000"/>
              <w:right w:val="nil"/>
            </w:tcBorders>
            <w:shd w:val="clear" w:color="auto" w:fill="33CCCC"/>
            <w:noWrap/>
            <w:vAlign w:val="bottom"/>
          </w:tcPr>
          <w:p w:rsidR="00D91AE0" w:rsidRPr="00D91AE0" w:rsidRDefault="00D91AE0" w:rsidP="00D91AE0">
            <w:pPr>
              <w:jc w:val="right"/>
              <w:rPr>
                <w:sz w:val="22"/>
                <w:szCs w:val="22"/>
              </w:rPr>
            </w:pPr>
            <w:r w:rsidRPr="00D91AE0">
              <w:rPr>
                <w:sz w:val="22"/>
                <w:szCs w:val="22"/>
              </w:rPr>
              <w:t>92 %</w:t>
            </w:r>
          </w:p>
        </w:tc>
        <w:tc>
          <w:tcPr>
            <w:tcW w:w="397" w:type="pct"/>
            <w:tcBorders>
              <w:top w:val="single" w:sz="4" w:space="0" w:color="000000"/>
              <w:left w:val="nil"/>
              <w:bottom w:val="single" w:sz="4" w:space="0" w:color="000000"/>
              <w:right w:val="nil"/>
            </w:tcBorders>
            <w:shd w:val="clear" w:color="auto" w:fill="33CCCC"/>
            <w:noWrap/>
            <w:vAlign w:val="bottom"/>
          </w:tcPr>
          <w:p w:rsidR="00D91AE0" w:rsidRPr="00D91AE0" w:rsidRDefault="00D91AE0" w:rsidP="00D91AE0">
            <w:pPr>
              <w:jc w:val="right"/>
              <w:rPr>
                <w:sz w:val="22"/>
                <w:szCs w:val="22"/>
              </w:rPr>
            </w:pPr>
            <w:r w:rsidRPr="00D91AE0">
              <w:rPr>
                <w:sz w:val="22"/>
                <w:szCs w:val="22"/>
              </w:rPr>
              <w:t>101 %</w:t>
            </w:r>
          </w:p>
        </w:tc>
        <w:tc>
          <w:tcPr>
            <w:tcW w:w="378" w:type="pct"/>
            <w:tcBorders>
              <w:top w:val="single" w:sz="4" w:space="0" w:color="000000"/>
              <w:left w:val="nil"/>
              <w:bottom w:val="single" w:sz="4" w:space="0" w:color="000000"/>
              <w:right w:val="nil"/>
            </w:tcBorders>
            <w:shd w:val="clear" w:color="auto" w:fill="33CCCC"/>
            <w:noWrap/>
            <w:vAlign w:val="bottom"/>
          </w:tcPr>
          <w:p w:rsidR="00D91AE0" w:rsidRPr="00D91AE0" w:rsidRDefault="00D91AE0" w:rsidP="00D91AE0">
            <w:pPr>
              <w:jc w:val="right"/>
              <w:rPr>
                <w:sz w:val="22"/>
                <w:szCs w:val="22"/>
              </w:rPr>
            </w:pPr>
          </w:p>
        </w:tc>
        <w:tc>
          <w:tcPr>
            <w:tcW w:w="437" w:type="pct"/>
            <w:tcBorders>
              <w:top w:val="single" w:sz="4" w:space="0" w:color="000000"/>
              <w:left w:val="nil"/>
              <w:bottom w:val="single" w:sz="4" w:space="0" w:color="000000"/>
              <w:right w:val="nil"/>
            </w:tcBorders>
            <w:shd w:val="clear" w:color="auto" w:fill="33CCCC"/>
            <w:noWrap/>
            <w:vAlign w:val="bottom"/>
          </w:tcPr>
          <w:p w:rsidR="00D91AE0" w:rsidRPr="00D91AE0" w:rsidRDefault="00D91AE0" w:rsidP="00D91AE0">
            <w:pPr>
              <w:jc w:val="right"/>
              <w:rPr>
                <w:sz w:val="22"/>
                <w:szCs w:val="22"/>
              </w:rPr>
            </w:pPr>
          </w:p>
        </w:tc>
        <w:tc>
          <w:tcPr>
            <w:tcW w:w="437" w:type="pct"/>
            <w:tcBorders>
              <w:top w:val="single" w:sz="4" w:space="0" w:color="000000"/>
              <w:left w:val="nil"/>
              <w:bottom w:val="single" w:sz="4" w:space="0" w:color="000000"/>
              <w:right w:val="nil"/>
            </w:tcBorders>
            <w:shd w:val="clear" w:color="auto" w:fill="33CCCC"/>
            <w:noWrap/>
            <w:vAlign w:val="bottom"/>
          </w:tcPr>
          <w:p w:rsidR="00D91AE0" w:rsidRPr="00D91AE0" w:rsidRDefault="00D91AE0" w:rsidP="00D91AE0">
            <w:pPr>
              <w:jc w:val="right"/>
              <w:rPr>
                <w:sz w:val="22"/>
                <w:szCs w:val="22"/>
              </w:rPr>
            </w:pPr>
          </w:p>
        </w:tc>
        <w:tc>
          <w:tcPr>
            <w:tcW w:w="378" w:type="pct"/>
            <w:tcBorders>
              <w:top w:val="single" w:sz="4" w:space="0" w:color="000000"/>
              <w:left w:val="nil"/>
              <w:bottom w:val="single" w:sz="4" w:space="0" w:color="000000"/>
              <w:right w:val="nil"/>
            </w:tcBorders>
            <w:shd w:val="clear" w:color="auto" w:fill="33CCCC"/>
            <w:noWrap/>
            <w:vAlign w:val="bottom"/>
          </w:tcPr>
          <w:p w:rsidR="00D91AE0" w:rsidRPr="00D91AE0" w:rsidRDefault="00D91AE0" w:rsidP="00D91AE0">
            <w:pPr>
              <w:jc w:val="right"/>
              <w:rPr>
                <w:sz w:val="22"/>
                <w:szCs w:val="22"/>
              </w:rPr>
            </w:pPr>
          </w:p>
        </w:tc>
        <w:tc>
          <w:tcPr>
            <w:tcW w:w="437" w:type="pct"/>
            <w:tcBorders>
              <w:top w:val="single" w:sz="4" w:space="0" w:color="000000"/>
              <w:left w:val="nil"/>
              <w:bottom w:val="single" w:sz="4" w:space="0" w:color="000000"/>
              <w:right w:val="nil"/>
            </w:tcBorders>
            <w:shd w:val="clear" w:color="auto" w:fill="33CCCC"/>
            <w:noWrap/>
            <w:vAlign w:val="bottom"/>
          </w:tcPr>
          <w:p w:rsidR="00D91AE0" w:rsidRPr="00D91AE0" w:rsidRDefault="00D91AE0" w:rsidP="00D91AE0">
            <w:pPr>
              <w:jc w:val="right"/>
              <w:rPr>
                <w:sz w:val="22"/>
                <w:szCs w:val="22"/>
              </w:rPr>
            </w:pPr>
          </w:p>
        </w:tc>
      </w:tr>
    </w:tbl>
    <w:p w:rsidR="00696C5E" w:rsidRDefault="00696C5E" w:rsidP="00696C5E">
      <w:pPr>
        <w:jc w:val="both"/>
        <w:rPr>
          <w:sz w:val="22"/>
          <w:szCs w:val="22"/>
        </w:rPr>
      </w:pPr>
    </w:p>
    <w:p w:rsidR="00696C5E" w:rsidRPr="00A90306" w:rsidRDefault="00696C5E" w:rsidP="00696C5E">
      <w:pPr>
        <w:rPr>
          <w:b/>
          <w:sz w:val="22"/>
          <w:szCs w:val="22"/>
        </w:rPr>
      </w:pPr>
      <w:r w:rsidRPr="00A90306">
        <w:rPr>
          <w:b/>
          <w:sz w:val="22"/>
          <w:szCs w:val="22"/>
        </w:rPr>
        <w:t>Tabel 4</w:t>
      </w:r>
      <w:r w:rsidR="00D91AE0">
        <w:rPr>
          <w:b/>
          <w:sz w:val="22"/>
          <w:szCs w:val="22"/>
        </w:rPr>
        <w:t xml:space="preserve"> Geografische spreiding</w:t>
      </w:r>
    </w:p>
    <w:tbl>
      <w:tblPr>
        <w:tblW w:w="6125" w:type="dxa"/>
        <w:tblInd w:w="65" w:type="dxa"/>
        <w:tblCellMar>
          <w:left w:w="70" w:type="dxa"/>
          <w:right w:w="70" w:type="dxa"/>
        </w:tblCellMar>
        <w:tblLook w:val="0000" w:firstRow="0" w:lastRow="0" w:firstColumn="0" w:lastColumn="0" w:noHBand="0" w:noVBand="0"/>
      </w:tblPr>
      <w:tblGrid>
        <w:gridCol w:w="2525"/>
        <w:gridCol w:w="900"/>
        <w:gridCol w:w="900"/>
        <w:gridCol w:w="900"/>
        <w:gridCol w:w="900"/>
      </w:tblGrid>
      <w:tr w:rsidR="00696C5E" w:rsidRPr="00A90306" w:rsidTr="00D91AE0">
        <w:trPr>
          <w:trHeight w:val="255"/>
        </w:trPr>
        <w:tc>
          <w:tcPr>
            <w:tcW w:w="2525" w:type="dxa"/>
            <w:tcBorders>
              <w:top w:val="single" w:sz="4" w:space="0" w:color="000000"/>
              <w:left w:val="single" w:sz="4" w:space="0" w:color="000000"/>
              <w:bottom w:val="nil"/>
              <w:right w:val="nil"/>
            </w:tcBorders>
            <w:noWrap/>
            <w:vAlign w:val="bottom"/>
          </w:tcPr>
          <w:p w:rsidR="00696C5E" w:rsidRPr="00A90306" w:rsidRDefault="00696C5E" w:rsidP="00D91AE0"/>
        </w:tc>
        <w:tc>
          <w:tcPr>
            <w:tcW w:w="1800" w:type="dxa"/>
            <w:gridSpan w:val="2"/>
            <w:tcBorders>
              <w:top w:val="single" w:sz="4" w:space="0" w:color="auto"/>
              <w:left w:val="single" w:sz="4" w:space="0" w:color="auto"/>
              <w:bottom w:val="nil"/>
              <w:right w:val="single" w:sz="4" w:space="0" w:color="auto"/>
            </w:tcBorders>
            <w:noWrap/>
            <w:vAlign w:val="bottom"/>
          </w:tcPr>
          <w:p w:rsidR="00696C5E" w:rsidRPr="00A90306" w:rsidRDefault="00696C5E" w:rsidP="00D91AE0">
            <w:pPr>
              <w:jc w:val="center"/>
            </w:pPr>
            <w:r w:rsidRPr="00A90306">
              <w:rPr>
                <w:sz w:val="22"/>
                <w:szCs w:val="22"/>
              </w:rPr>
              <w:t>2011</w:t>
            </w:r>
          </w:p>
        </w:tc>
        <w:tc>
          <w:tcPr>
            <w:tcW w:w="1800" w:type="dxa"/>
            <w:gridSpan w:val="2"/>
            <w:tcBorders>
              <w:top w:val="single" w:sz="4" w:space="0" w:color="auto"/>
              <w:left w:val="single" w:sz="4" w:space="0" w:color="auto"/>
              <w:bottom w:val="nil"/>
              <w:right w:val="single" w:sz="4" w:space="0" w:color="auto"/>
            </w:tcBorders>
          </w:tcPr>
          <w:p w:rsidR="00696C5E" w:rsidRPr="00A90306" w:rsidRDefault="00696C5E" w:rsidP="00D91AE0">
            <w:pPr>
              <w:jc w:val="center"/>
            </w:pPr>
            <w:r w:rsidRPr="00A90306">
              <w:rPr>
                <w:sz w:val="22"/>
                <w:szCs w:val="22"/>
              </w:rPr>
              <w:t>2012</w:t>
            </w:r>
          </w:p>
        </w:tc>
      </w:tr>
      <w:tr w:rsidR="00696C5E" w:rsidRPr="00A90306" w:rsidTr="00D91AE0">
        <w:trPr>
          <w:trHeight w:val="255"/>
        </w:trPr>
        <w:tc>
          <w:tcPr>
            <w:tcW w:w="2525" w:type="dxa"/>
            <w:tcBorders>
              <w:top w:val="single" w:sz="4" w:space="0" w:color="000000"/>
              <w:left w:val="single" w:sz="4" w:space="0" w:color="000000"/>
              <w:bottom w:val="nil"/>
              <w:right w:val="nil"/>
            </w:tcBorders>
            <w:noWrap/>
            <w:vAlign w:val="bottom"/>
          </w:tcPr>
          <w:p w:rsidR="00696C5E" w:rsidRPr="00A90306" w:rsidRDefault="00696C5E" w:rsidP="00D91AE0">
            <w:r w:rsidRPr="00A90306">
              <w:rPr>
                <w:sz w:val="22"/>
                <w:szCs w:val="22"/>
              </w:rPr>
              <w:t>Antwerpen</w:t>
            </w:r>
          </w:p>
        </w:tc>
        <w:tc>
          <w:tcPr>
            <w:tcW w:w="900" w:type="dxa"/>
            <w:tcBorders>
              <w:top w:val="single" w:sz="4" w:space="0" w:color="auto"/>
              <w:left w:val="single" w:sz="4" w:space="0" w:color="auto"/>
              <w:bottom w:val="nil"/>
              <w:right w:val="nil"/>
            </w:tcBorders>
            <w:noWrap/>
            <w:vAlign w:val="bottom"/>
          </w:tcPr>
          <w:p w:rsidR="00696C5E" w:rsidRPr="00A90306" w:rsidRDefault="00696C5E" w:rsidP="00D91AE0">
            <w:pPr>
              <w:jc w:val="right"/>
            </w:pPr>
            <w:r w:rsidRPr="00A90306">
              <w:rPr>
                <w:sz w:val="22"/>
                <w:szCs w:val="22"/>
              </w:rPr>
              <w:t>15.218</w:t>
            </w:r>
          </w:p>
        </w:tc>
        <w:tc>
          <w:tcPr>
            <w:tcW w:w="900" w:type="dxa"/>
            <w:tcBorders>
              <w:top w:val="single" w:sz="4" w:space="0" w:color="auto"/>
              <w:left w:val="single" w:sz="4" w:space="0" w:color="auto"/>
              <w:bottom w:val="nil"/>
              <w:right w:val="single" w:sz="4" w:space="0" w:color="auto"/>
            </w:tcBorders>
            <w:noWrap/>
            <w:vAlign w:val="bottom"/>
          </w:tcPr>
          <w:p w:rsidR="00696C5E" w:rsidRPr="00A90306" w:rsidRDefault="00696C5E" w:rsidP="00D91AE0">
            <w:pPr>
              <w:jc w:val="right"/>
            </w:pPr>
            <w:r w:rsidRPr="00A90306">
              <w:rPr>
                <w:sz w:val="22"/>
                <w:szCs w:val="22"/>
              </w:rPr>
              <w:t>30,77%</w:t>
            </w:r>
          </w:p>
        </w:tc>
        <w:tc>
          <w:tcPr>
            <w:tcW w:w="900" w:type="dxa"/>
            <w:tcBorders>
              <w:top w:val="single" w:sz="4" w:space="0" w:color="auto"/>
              <w:left w:val="single" w:sz="4" w:space="0" w:color="auto"/>
              <w:bottom w:val="nil"/>
              <w:right w:val="single" w:sz="4" w:space="0" w:color="auto"/>
            </w:tcBorders>
          </w:tcPr>
          <w:p w:rsidR="00696C5E" w:rsidRPr="00A90306" w:rsidRDefault="00696C5E" w:rsidP="00D91AE0">
            <w:pPr>
              <w:jc w:val="right"/>
            </w:pPr>
            <w:r w:rsidRPr="00A90306">
              <w:rPr>
                <w:sz w:val="22"/>
                <w:szCs w:val="22"/>
              </w:rPr>
              <w:t>14.782</w:t>
            </w:r>
          </w:p>
        </w:tc>
        <w:tc>
          <w:tcPr>
            <w:tcW w:w="900" w:type="dxa"/>
            <w:tcBorders>
              <w:top w:val="single" w:sz="4" w:space="0" w:color="auto"/>
              <w:left w:val="single" w:sz="4" w:space="0" w:color="auto"/>
              <w:bottom w:val="nil"/>
              <w:right w:val="single" w:sz="4" w:space="0" w:color="auto"/>
            </w:tcBorders>
          </w:tcPr>
          <w:p w:rsidR="00696C5E" w:rsidRPr="00A90306" w:rsidRDefault="00696C5E" w:rsidP="00D91AE0">
            <w:pPr>
              <w:jc w:val="right"/>
            </w:pPr>
            <w:r w:rsidRPr="00A90306">
              <w:rPr>
                <w:sz w:val="22"/>
                <w:szCs w:val="22"/>
              </w:rPr>
              <w:t>31,07%</w:t>
            </w:r>
          </w:p>
        </w:tc>
      </w:tr>
      <w:tr w:rsidR="00696C5E" w:rsidRPr="00A90306" w:rsidTr="00D91AE0">
        <w:trPr>
          <w:trHeight w:val="255"/>
        </w:trPr>
        <w:tc>
          <w:tcPr>
            <w:tcW w:w="2525" w:type="dxa"/>
            <w:tcBorders>
              <w:top w:val="nil"/>
              <w:left w:val="single" w:sz="4" w:space="0" w:color="000000"/>
              <w:bottom w:val="nil"/>
              <w:right w:val="nil"/>
            </w:tcBorders>
            <w:noWrap/>
            <w:vAlign w:val="bottom"/>
          </w:tcPr>
          <w:p w:rsidR="00696C5E" w:rsidRPr="00A90306" w:rsidRDefault="00696C5E" w:rsidP="00D91AE0">
            <w:r w:rsidRPr="00A90306">
              <w:rPr>
                <w:sz w:val="22"/>
                <w:szCs w:val="22"/>
              </w:rPr>
              <w:t>Brussel</w:t>
            </w:r>
          </w:p>
        </w:tc>
        <w:tc>
          <w:tcPr>
            <w:tcW w:w="900" w:type="dxa"/>
            <w:tcBorders>
              <w:top w:val="nil"/>
              <w:left w:val="single" w:sz="4" w:space="0" w:color="auto"/>
              <w:bottom w:val="nil"/>
              <w:right w:val="nil"/>
            </w:tcBorders>
            <w:noWrap/>
            <w:vAlign w:val="bottom"/>
          </w:tcPr>
          <w:p w:rsidR="00696C5E" w:rsidRPr="00A90306" w:rsidRDefault="00696C5E" w:rsidP="00D91AE0">
            <w:pPr>
              <w:jc w:val="right"/>
            </w:pPr>
            <w:r w:rsidRPr="00A90306">
              <w:rPr>
                <w:sz w:val="22"/>
                <w:szCs w:val="22"/>
              </w:rPr>
              <w:t>1.131</w:t>
            </w:r>
          </w:p>
        </w:tc>
        <w:tc>
          <w:tcPr>
            <w:tcW w:w="900" w:type="dxa"/>
            <w:tcBorders>
              <w:top w:val="nil"/>
              <w:left w:val="single" w:sz="4" w:space="0" w:color="auto"/>
              <w:bottom w:val="nil"/>
              <w:right w:val="single" w:sz="4" w:space="0" w:color="auto"/>
            </w:tcBorders>
            <w:noWrap/>
            <w:vAlign w:val="bottom"/>
          </w:tcPr>
          <w:p w:rsidR="00696C5E" w:rsidRPr="00A90306" w:rsidRDefault="00696C5E" w:rsidP="00D91AE0">
            <w:pPr>
              <w:jc w:val="right"/>
            </w:pPr>
            <w:r w:rsidRPr="00A90306">
              <w:rPr>
                <w:sz w:val="22"/>
                <w:szCs w:val="22"/>
              </w:rPr>
              <w:t>2,29%</w:t>
            </w:r>
          </w:p>
        </w:tc>
        <w:tc>
          <w:tcPr>
            <w:tcW w:w="900" w:type="dxa"/>
            <w:tcBorders>
              <w:top w:val="nil"/>
              <w:left w:val="single" w:sz="4" w:space="0" w:color="auto"/>
              <w:bottom w:val="nil"/>
              <w:right w:val="single" w:sz="4" w:space="0" w:color="auto"/>
            </w:tcBorders>
          </w:tcPr>
          <w:p w:rsidR="00696C5E" w:rsidRPr="00A90306" w:rsidRDefault="00696C5E" w:rsidP="00D91AE0">
            <w:pPr>
              <w:jc w:val="right"/>
            </w:pPr>
            <w:r w:rsidRPr="00A90306">
              <w:rPr>
                <w:sz w:val="22"/>
                <w:szCs w:val="22"/>
              </w:rPr>
              <w:t>1223</w:t>
            </w:r>
          </w:p>
        </w:tc>
        <w:tc>
          <w:tcPr>
            <w:tcW w:w="900" w:type="dxa"/>
            <w:tcBorders>
              <w:top w:val="nil"/>
              <w:left w:val="single" w:sz="4" w:space="0" w:color="auto"/>
              <w:bottom w:val="nil"/>
              <w:right w:val="single" w:sz="4" w:space="0" w:color="auto"/>
            </w:tcBorders>
          </w:tcPr>
          <w:p w:rsidR="00696C5E" w:rsidRPr="00A90306" w:rsidRDefault="00696C5E" w:rsidP="00D91AE0">
            <w:pPr>
              <w:jc w:val="right"/>
            </w:pPr>
            <w:r w:rsidRPr="00A90306">
              <w:rPr>
                <w:sz w:val="22"/>
                <w:szCs w:val="22"/>
              </w:rPr>
              <w:t>2,5%</w:t>
            </w:r>
          </w:p>
        </w:tc>
      </w:tr>
      <w:tr w:rsidR="00696C5E" w:rsidRPr="00A90306" w:rsidTr="00D91AE0">
        <w:trPr>
          <w:trHeight w:val="255"/>
        </w:trPr>
        <w:tc>
          <w:tcPr>
            <w:tcW w:w="2525" w:type="dxa"/>
            <w:tcBorders>
              <w:top w:val="nil"/>
              <w:left w:val="single" w:sz="4" w:space="0" w:color="000000"/>
              <w:bottom w:val="nil"/>
              <w:right w:val="nil"/>
            </w:tcBorders>
            <w:noWrap/>
            <w:vAlign w:val="bottom"/>
          </w:tcPr>
          <w:p w:rsidR="00696C5E" w:rsidRPr="00A90306" w:rsidRDefault="00696C5E" w:rsidP="00D91AE0">
            <w:r w:rsidRPr="00A90306">
              <w:rPr>
                <w:sz w:val="22"/>
                <w:szCs w:val="22"/>
              </w:rPr>
              <w:t>Limburg</w:t>
            </w:r>
          </w:p>
        </w:tc>
        <w:tc>
          <w:tcPr>
            <w:tcW w:w="900" w:type="dxa"/>
            <w:tcBorders>
              <w:top w:val="nil"/>
              <w:left w:val="single" w:sz="4" w:space="0" w:color="auto"/>
              <w:bottom w:val="nil"/>
              <w:right w:val="nil"/>
            </w:tcBorders>
            <w:noWrap/>
            <w:vAlign w:val="bottom"/>
          </w:tcPr>
          <w:p w:rsidR="00696C5E" w:rsidRPr="00A90306" w:rsidRDefault="00696C5E" w:rsidP="00D91AE0">
            <w:pPr>
              <w:jc w:val="right"/>
            </w:pPr>
            <w:r w:rsidRPr="00A90306">
              <w:rPr>
                <w:sz w:val="22"/>
                <w:szCs w:val="22"/>
              </w:rPr>
              <w:t>5.692</w:t>
            </w:r>
          </w:p>
        </w:tc>
        <w:tc>
          <w:tcPr>
            <w:tcW w:w="900" w:type="dxa"/>
            <w:tcBorders>
              <w:top w:val="nil"/>
              <w:left w:val="single" w:sz="4" w:space="0" w:color="auto"/>
              <w:bottom w:val="nil"/>
              <w:right w:val="single" w:sz="4" w:space="0" w:color="auto"/>
            </w:tcBorders>
            <w:noWrap/>
            <w:vAlign w:val="bottom"/>
          </w:tcPr>
          <w:p w:rsidR="00696C5E" w:rsidRPr="00A90306" w:rsidRDefault="00696C5E" w:rsidP="00D91AE0">
            <w:pPr>
              <w:jc w:val="right"/>
            </w:pPr>
            <w:r w:rsidRPr="00A90306">
              <w:rPr>
                <w:sz w:val="22"/>
                <w:szCs w:val="22"/>
              </w:rPr>
              <w:t>11,51%</w:t>
            </w:r>
          </w:p>
        </w:tc>
        <w:tc>
          <w:tcPr>
            <w:tcW w:w="900" w:type="dxa"/>
            <w:tcBorders>
              <w:top w:val="nil"/>
              <w:left w:val="single" w:sz="4" w:space="0" w:color="auto"/>
              <w:bottom w:val="nil"/>
              <w:right w:val="single" w:sz="4" w:space="0" w:color="auto"/>
            </w:tcBorders>
            <w:vAlign w:val="bottom"/>
          </w:tcPr>
          <w:p w:rsidR="00696C5E" w:rsidRPr="00A90306" w:rsidRDefault="00696C5E" w:rsidP="00D91AE0">
            <w:pPr>
              <w:jc w:val="right"/>
            </w:pPr>
            <w:r w:rsidRPr="00A90306">
              <w:rPr>
                <w:sz w:val="22"/>
                <w:szCs w:val="22"/>
              </w:rPr>
              <w:t>5.983</w:t>
            </w:r>
          </w:p>
        </w:tc>
        <w:tc>
          <w:tcPr>
            <w:tcW w:w="900" w:type="dxa"/>
            <w:tcBorders>
              <w:top w:val="nil"/>
              <w:left w:val="single" w:sz="4" w:space="0" w:color="auto"/>
              <w:bottom w:val="nil"/>
              <w:right w:val="single" w:sz="4" w:space="0" w:color="auto"/>
            </w:tcBorders>
            <w:vAlign w:val="bottom"/>
          </w:tcPr>
          <w:p w:rsidR="00696C5E" w:rsidRPr="00A90306" w:rsidRDefault="00696C5E" w:rsidP="00D91AE0">
            <w:pPr>
              <w:jc w:val="right"/>
            </w:pPr>
            <w:r w:rsidRPr="00A90306">
              <w:rPr>
                <w:sz w:val="22"/>
                <w:szCs w:val="22"/>
              </w:rPr>
              <w:t>12,58%</w:t>
            </w:r>
          </w:p>
        </w:tc>
      </w:tr>
      <w:tr w:rsidR="00696C5E" w:rsidRPr="00A90306" w:rsidTr="00D91AE0">
        <w:trPr>
          <w:trHeight w:val="255"/>
        </w:trPr>
        <w:tc>
          <w:tcPr>
            <w:tcW w:w="2525" w:type="dxa"/>
            <w:tcBorders>
              <w:top w:val="nil"/>
              <w:left w:val="single" w:sz="4" w:space="0" w:color="000000"/>
              <w:bottom w:val="nil"/>
              <w:right w:val="nil"/>
            </w:tcBorders>
            <w:noWrap/>
            <w:vAlign w:val="bottom"/>
          </w:tcPr>
          <w:p w:rsidR="00696C5E" w:rsidRPr="00A90306" w:rsidRDefault="00696C5E" w:rsidP="00D91AE0">
            <w:r w:rsidRPr="00A90306">
              <w:rPr>
                <w:sz w:val="22"/>
                <w:szCs w:val="22"/>
              </w:rPr>
              <w:t>Oost-Vlaanderen</w:t>
            </w:r>
          </w:p>
        </w:tc>
        <w:tc>
          <w:tcPr>
            <w:tcW w:w="900" w:type="dxa"/>
            <w:tcBorders>
              <w:top w:val="nil"/>
              <w:left w:val="single" w:sz="4" w:space="0" w:color="auto"/>
              <w:bottom w:val="nil"/>
              <w:right w:val="nil"/>
            </w:tcBorders>
            <w:noWrap/>
            <w:vAlign w:val="bottom"/>
          </w:tcPr>
          <w:p w:rsidR="00696C5E" w:rsidRPr="00A90306" w:rsidRDefault="00696C5E" w:rsidP="00D91AE0">
            <w:pPr>
              <w:jc w:val="right"/>
            </w:pPr>
            <w:r w:rsidRPr="00A90306">
              <w:rPr>
                <w:sz w:val="22"/>
                <w:szCs w:val="22"/>
              </w:rPr>
              <w:t>11.522</w:t>
            </w:r>
          </w:p>
        </w:tc>
        <w:tc>
          <w:tcPr>
            <w:tcW w:w="900" w:type="dxa"/>
            <w:tcBorders>
              <w:top w:val="nil"/>
              <w:left w:val="single" w:sz="4" w:space="0" w:color="auto"/>
              <w:bottom w:val="nil"/>
              <w:right w:val="single" w:sz="4" w:space="0" w:color="auto"/>
            </w:tcBorders>
            <w:noWrap/>
            <w:vAlign w:val="bottom"/>
          </w:tcPr>
          <w:p w:rsidR="00696C5E" w:rsidRPr="00A90306" w:rsidRDefault="00696C5E" w:rsidP="00D91AE0">
            <w:pPr>
              <w:jc w:val="right"/>
            </w:pPr>
            <w:r w:rsidRPr="00A90306">
              <w:rPr>
                <w:sz w:val="22"/>
                <w:szCs w:val="22"/>
              </w:rPr>
              <w:t>23,30%</w:t>
            </w:r>
          </w:p>
        </w:tc>
        <w:tc>
          <w:tcPr>
            <w:tcW w:w="900" w:type="dxa"/>
            <w:tcBorders>
              <w:top w:val="nil"/>
              <w:left w:val="single" w:sz="4" w:space="0" w:color="auto"/>
              <w:bottom w:val="nil"/>
              <w:right w:val="single" w:sz="4" w:space="0" w:color="auto"/>
            </w:tcBorders>
            <w:vAlign w:val="bottom"/>
          </w:tcPr>
          <w:p w:rsidR="00696C5E" w:rsidRPr="00A90306" w:rsidRDefault="00696C5E" w:rsidP="00D91AE0">
            <w:pPr>
              <w:jc w:val="right"/>
            </w:pPr>
            <w:r w:rsidRPr="00A90306">
              <w:rPr>
                <w:sz w:val="22"/>
                <w:szCs w:val="22"/>
              </w:rPr>
              <w:t>10.598</w:t>
            </w:r>
          </w:p>
        </w:tc>
        <w:tc>
          <w:tcPr>
            <w:tcW w:w="900" w:type="dxa"/>
            <w:tcBorders>
              <w:top w:val="nil"/>
              <w:left w:val="single" w:sz="4" w:space="0" w:color="auto"/>
              <w:bottom w:val="nil"/>
              <w:right w:val="single" w:sz="4" w:space="0" w:color="auto"/>
            </w:tcBorders>
          </w:tcPr>
          <w:p w:rsidR="00696C5E" w:rsidRPr="00A90306" w:rsidRDefault="00696C5E" w:rsidP="00D91AE0">
            <w:pPr>
              <w:jc w:val="right"/>
            </w:pPr>
            <w:r w:rsidRPr="00A90306">
              <w:rPr>
                <w:sz w:val="22"/>
                <w:szCs w:val="22"/>
              </w:rPr>
              <w:t>22,28%</w:t>
            </w:r>
          </w:p>
        </w:tc>
      </w:tr>
      <w:tr w:rsidR="00696C5E" w:rsidRPr="00A90306" w:rsidTr="00D91AE0">
        <w:trPr>
          <w:trHeight w:val="255"/>
        </w:trPr>
        <w:tc>
          <w:tcPr>
            <w:tcW w:w="2525" w:type="dxa"/>
            <w:tcBorders>
              <w:top w:val="nil"/>
              <w:left w:val="single" w:sz="4" w:space="0" w:color="000000"/>
              <w:bottom w:val="nil"/>
              <w:right w:val="nil"/>
            </w:tcBorders>
            <w:noWrap/>
            <w:vAlign w:val="bottom"/>
          </w:tcPr>
          <w:p w:rsidR="00696C5E" w:rsidRPr="00A90306" w:rsidRDefault="00696C5E" w:rsidP="00D91AE0">
            <w:r w:rsidRPr="00A90306">
              <w:rPr>
                <w:sz w:val="22"/>
                <w:szCs w:val="22"/>
              </w:rPr>
              <w:t>Vlaams-Brabant</w:t>
            </w:r>
          </w:p>
        </w:tc>
        <w:tc>
          <w:tcPr>
            <w:tcW w:w="900" w:type="dxa"/>
            <w:tcBorders>
              <w:top w:val="nil"/>
              <w:left w:val="single" w:sz="4" w:space="0" w:color="auto"/>
              <w:bottom w:val="nil"/>
              <w:right w:val="nil"/>
            </w:tcBorders>
            <w:noWrap/>
            <w:vAlign w:val="bottom"/>
          </w:tcPr>
          <w:p w:rsidR="00696C5E" w:rsidRPr="00A90306" w:rsidRDefault="00696C5E" w:rsidP="00D91AE0">
            <w:pPr>
              <w:jc w:val="right"/>
            </w:pPr>
            <w:r w:rsidRPr="00A90306">
              <w:rPr>
                <w:sz w:val="22"/>
                <w:szCs w:val="22"/>
              </w:rPr>
              <w:t>7.154</w:t>
            </w:r>
          </w:p>
        </w:tc>
        <w:tc>
          <w:tcPr>
            <w:tcW w:w="900" w:type="dxa"/>
            <w:tcBorders>
              <w:top w:val="nil"/>
              <w:left w:val="single" w:sz="4" w:space="0" w:color="auto"/>
              <w:bottom w:val="nil"/>
              <w:right w:val="single" w:sz="4" w:space="0" w:color="auto"/>
            </w:tcBorders>
            <w:noWrap/>
            <w:vAlign w:val="bottom"/>
          </w:tcPr>
          <w:p w:rsidR="00696C5E" w:rsidRPr="00A90306" w:rsidRDefault="00696C5E" w:rsidP="00D91AE0">
            <w:pPr>
              <w:jc w:val="right"/>
            </w:pPr>
            <w:r w:rsidRPr="00A90306">
              <w:rPr>
                <w:sz w:val="22"/>
                <w:szCs w:val="22"/>
              </w:rPr>
              <w:t>14,46%</w:t>
            </w:r>
          </w:p>
        </w:tc>
        <w:tc>
          <w:tcPr>
            <w:tcW w:w="900" w:type="dxa"/>
            <w:tcBorders>
              <w:top w:val="nil"/>
              <w:left w:val="single" w:sz="4" w:space="0" w:color="auto"/>
              <w:bottom w:val="nil"/>
              <w:right w:val="single" w:sz="4" w:space="0" w:color="auto"/>
            </w:tcBorders>
            <w:vAlign w:val="bottom"/>
          </w:tcPr>
          <w:p w:rsidR="00696C5E" w:rsidRPr="00A90306" w:rsidRDefault="00696C5E" w:rsidP="00D91AE0">
            <w:pPr>
              <w:jc w:val="right"/>
            </w:pPr>
            <w:r w:rsidRPr="00A90306">
              <w:rPr>
                <w:sz w:val="22"/>
                <w:szCs w:val="22"/>
              </w:rPr>
              <w:t>6.938</w:t>
            </w:r>
          </w:p>
        </w:tc>
        <w:tc>
          <w:tcPr>
            <w:tcW w:w="900" w:type="dxa"/>
            <w:tcBorders>
              <w:top w:val="nil"/>
              <w:left w:val="single" w:sz="4" w:space="0" w:color="auto"/>
              <w:bottom w:val="nil"/>
              <w:right w:val="single" w:sz="4" w:space="0" w:color="auto"/>
            </w:tcBorders>
          </w:tcPr>
          <w:p w:rsidR="00696C5E" w:rsidRPr="00A90306" w:rsidRDefault="00696C5E" w:rsidP="00D91AE0">
            <w:pPr>
              <w:jc w:val="right"/>
            </w:pPr>
            <w:r w:rsidRPr="00A90306">
              <w:rPr>
                <w:sz w:val="22"/>
                <w:szCs w:val="22"/>
              </w:rPr>
              <w:t>14,58%</w:t>
            </w:r>
          </w:p>
        </w:tc>
      </w:tr>
      <w:tr w:rsidR="00696C5E" w:rsidRPr="00A90306" w:rsidTr="00D91AE0">
        <w:trPr>
          <w:trHeight w:val="255"/>
        </w:trPr>
        <w:tc>
          <w:tcPr>
            <w:tcW w:w="2525" w:type="dxa"/>
            <w:tcBorders>
              <w:top w:val="nil"/>
              <w:left w:val="single" w:sz="4" w:space="0" w:color="000000"/>
              <w:bottom w:val="nil"/>
              <w:right w:val="nil"/>
            </w:tcBorders>
            <w:noWrap/>
            <w:vAlign w:val="bottom"/>
          </w:tcPr>
          <w:p w:rsidR="00696C5E" w:rsidRPr="00A90306" w:rsidRDefault="00696C5E" w:rsidP="00D91AE0">
            <w:r w:rsidRPr="00A90306">
              <w:rPr>
                <w:sz w:val="22"/>
                <w:szCs w:val="22"/>
              </w:rPr>
              <w:t>West-Vlaanderen</w:t>
            </w:r>
          </w:p>
        </w:tc>
        <w:tc>
          <w:tcPr>
            <w:tcW w:w="900" w:type="dxa"/>
            <w:tcBorders>
              <w:top w:val="nil"/>
              <w:left w:val="single" w:sz="4" w:space="0" w:color="auto"/>
              <w:bottom w:val="nil"/>
              <w:right w:val="nil"/>
            </w:tcBorders>
            <w:noWrap/>
            <w:vAlign w:val="bottom"/>
          </w:tcPr>
          <w:p w:rsidR="00696C5E" w:rsidRPr="00A90306" w:rsidRDefault="00696C5E" w:rsidP="00D91AE0">
            <w:pPr>
              <w:jc w:val="right"/>
            </w:pPr>
            <w:r w:rsidRPr="00A90306">
              <w:rPr>
                <w:sz w:val="22"/>
                <w:szCs w:val="22"/>
              </w:rPr>
              <w:t>8.743</w:t>
            </w:r>
          </w:p>
        </w:tc>
        <w:tc>
          <w:tcPr>
            <w:tcW w:w="900" w:type="dxa"/>
            <w:tcBorders>
              <w:top w:val="nil"/>
              <w:left w:val="single" w:sz="4" w:space="0" w:color="auto"/>
              <w:bottom w:val="single" w:sz="4" w:space="0" w:color="auto"/>
              <w:right w:val="single" w:sz="4" w:space="0" w:color="auto"/>
            </w:tcBorders>
            <w:noWrap/>
            <w:vAlign w:val="bottom"/>
          </w:tcPr>
          <w:p w:rsidR="00696C5E" w:rsidRPr="00A90306" w:rsidRDefault="00696C5E" w:rsidP="00D91AE0">
            <w:pPr>
              <w:jc w:val="right"/>
            </w:pPr>
            <w:r w:rsidRPr="00A90306">
              <w:rPr>
                <w:sz w:val="22"/>
                <w:szCs w:val="22"/>
              </w:rPr>
              <w:t>17,68%</w:t>
            </w:r>
          </w:p>
        </w:tc>
        <w:tc>
          <w:tcPr>
            <w:tcW w:w="900" w:type="dxa"/>
            <w:tcBorders>
              <w:top w:val="nil"/>
              <w:left w:val="single" w:sz="4" w:space="0" w:color="auto"/>
              <w:bottom w:val="single" w:sz="4" w:space="0" w:color="auto"/>
              <w:right w:val="single" w:sz="4" w:space="0" w:color="auto"/>
            </w:tcBorders>
            <w:vAlign w:val="bottom"/>
          </w:tcPr>
          <w:p w:rsidR="00696C5E" w:rsidRPr="00A90306" w:rsidRDefault="00696C5E" w:rsidP="00D91AE0">
            <w:pPr>
              <w:jc w:val="right"/>
            </w:pPr>
            <w:r w:rsidRPr="00A90306">
              <w:rPr>
                <w:sz w:val="22"/>
                <w:szCs w:val="22"/>
              </w:rPr>
              <w:t>8.051</w:t>
            </w:r>
          </w:p>
        </w:tc>
        <w:tc>
          <w:tcPr>
            <w:tcW w:w="900" w:type="dxa"/>
            <w:tcBorders>
              <w:top w:val="nil"/>
              <w:left w:val="single" w:sz="4" w:space="0" w:color="auto"/>
              <w:bottom w:val="single" w:sz="4" w:space="0" w:color="auto"/>
              <w:right w:val="single" w:sz="4" w:space="0" w:color="auto"/>
            </w:tcBorders>
          </w:tcPr>
          <w:p w:rsidR="00696C5E" w:rsidRPr="00A90306" w:rsidRDefault="00696C5E" w:rsidP="00D91AE0">
            <w:pPr>
              <w:jc w:val="right"/>
            </w:pPr>
            <w:r w:rsidRPr="00A90306">
              <w:rPr>
                <w:sz w:val="22"/>
                <w:szCs w:val="22"/>
              </w:rPr>
              <w:t>16,92%</w:t>
            </w:r>
          </w:p>
        </w:tc>
      </w:tr>
      <w:tr w:rsidR="00696C5E" w:rsidRPr="00A90306" w:rsidTr="00D91AE0">
        <w:trPr>
          <w:trHeight w:val="255"/>
        </w:trPr>
        <w:tc>
          <w:tcPr>
            <w:tcW w:w="2525" w:type="dxa"/>
            <w:tcBorders>
              <w:top w:val="single" w:sz="4" w:space="0" w:color="000000"/>
              <w:left w:val="single" w:sz="4" w:space="0" w:color="000000"/>
              <w:bottom w:val="single" w:sz="4" w:space="0" w:color="000000"/>
              <w:right w:val="nil"/>
            </w:tcBorders>
            <w:shd w:val="clear" w:color="auto" w:fill="33CCCC"/>
            <w:noWrap/>
            <w:vAlign w:val="bottom"/>
          </w:tcPr>
          <w:p w:rsidR="00696C5E" w:rsidRPr="00A90306" w:rsidRDefault="00696C5E" w:rsidP="00D91AE0">
            <w:r w:rsidRPr="00A90306">
              <w:rPr>
                <w:sz w:val="22"/>
                <w:szCs w:val="22"/>
              </w:rPr>
              <w:t>Eindtotaal</w:t>
            </w:r>
          </w:p>
        </w:tc>
        <w:tc>
          <w:tcPr>
            <w:tcW w:w="900" w:type="dxa"/>
            <w:tcBorders>
              <w:top w:val="single" w:sz="4" w:space="0" w:color="auto"/>
              <w:left w:val="single" w:sz="4" w:space="0" w:color="auto"/>
              <w:bottom w:val="single" w:sz="4" w:space="0" w:color="auto"/>
              <w:right w:val="single" w:sz="4" w:space="0" w:color="auto"/>
            </w:tcBorders>
            <w:shd w:val="clear" w:color="auto" w:fill="33CCCC"/>
            <w:noWrap/>
            <w:vAlign w:val="bottom"/>
          </w:tcPr>
          <w:p w:rsidR="00696C5E" w:rsidRPr="00A90306" w:rsidRDefault="00696C5E" w:rsidP="00D91AE0">
            <w:pPr>
              <w:jc w:val="right"/>
            </w:pPr>
            <w:r w:rsidRPr="00A90306">
              <w:rPr>
                <w:sz w:val="22"/>
                <w:szCs w:val="22"/>
              </w:rPr>
              <w:t>49.460</w:t>
            </w:r>
          </w:p>
        </w:tc>
        <w:tc>
          <w:tcPr>
            <w:tcW w:w="900" w:type="dxa"/>
            <w:tcBorders>
              <w:top w:val="single" w:sz="4" w:space="0" w:color="auto"/>
              <w:left w:val="single" w:sz="4" w:space="0" w:color="auto"/>
              <w:bottom w:val="single" w:sz="4" w:space="0" w:color="auto"/>
              <w:right w:val="single" w:sz="4" w:space="0" w:color="auto"/>
            </w:tcBorders>
            <w:shd w:val="clear" w:color="auto" w:fill="33CCCC"/>
            <w:noWrap/>
            <w:vAlign w:val="bottom"/>
          </w:tcPr>
          <w:p w:rsidR="00696C5E" w:rsidRPr="00A90306" w:rsidRDefault="00696C5E" w:rsidP="00D91AE0">
            <w:r w:rsidRPr="00A90306">
              <w:rPr>
                <w:sz w:val="22"/>
                <w:szCs w:val="22"/>
              </w:rPr>
              <w:t> </w:t>
            </w:r>
          </w:p>
        </w:tc>
        <w:tc>
          <w:tcPr>
            <w:tcW w:w="900" w:type="dxa"/>
            <w:tcBorders>
              <w:top w:val="single" w:sz="4" w:space="0" w:color="auto"/>
              <w:left w:val="single" w:sz="4" w:space="0" w:color="auto"/>
              <w:bottom w:val="single" w:sz="4" w:space="0" w:color="auto"/>
              <w:right w:val="single" w:sz="4" w:space="0" w:color="auto"/>
            </w:tcBorders>
            <w:shd w:val="clear" w:color="auto" w:fill="33CCCC"/>
            <w:vAlign w:val="bottom"/>
          </w:tcPr>
          <w:p w:rsidR="00696C5E" w:rsidRPr="00A90306" w:rsidRDefault="00696C5E" w:rsidP="00D91AE0">
            <w:r w:rsidRPr="00A90306">
              <w:rPr>
                <w:sz w:val="22"/>
                <w:szCs w:val="22"/>
              </w:rPr>
              <w:t>47.575</w:t>
            </w:r>
          </w:p>
        </w:tc>
        <w:tc>
          <w:tcPr>
            <w:tcW w:w="900" w:type="dxa"/>
            <w:tcBorders>
              <w:top w:val="single" w:sz="4" w:space="0" w:color="auto"/>
              <w:left w:val="single" w:sz="4" w:space="0" w:color="auto"/>
              <w:bottom w:val="single" w:sz="4" w:space="0" w:color="auto"/>
              <w:right w:val="single" w:sz="4" w:space="0" w:color="auto"/>
            </w:tcBorders>
            <w:shd w:val="clear" w:color="auto" w:fill="33CCCC"/>
          </w:tcPr>
          <w:p w:rsidR="00696C5E" w:rsidRPr="00A90306" w:rsidRDefault="00696C5E" w:rsidP="00D91AE0"/>
        </w:tc>
      </w:tr>
    </w:tbl>
    <w:p w:rsidR="00696C5E" w:rsidRPr="00D57FD2" w:rsidRDefault="00696C5E" w:rsidP="00696C5E">
      <w:pPr>
        <w:jc w:val="both"/>
        <w:rPr>
          <w:sz w:val="22"/>
          <w:szCs w:val="22"/>
        </w:rPr>
      </w:pPr>
    </w:p>
    <w:p w:rsidR="00696C5E" w:rsidRPr="00D57FD2" w:rsidRDefault="00696C5E" w:rsidP="006B6D92">
      <w:pPr>
        <w:ind w:left="360"/>
        <w:jc w:val="both"/>
        <w:rPr>
          <w:sz w:val="22"/>
          <w:szCs w:val="22"/>
        </w:rPr>
      </w:pPr>
      <w:r w:rsidRPr="00D57FD2">
        <w:rPr>
          <w:sz w:val="22"/>
          <w:szCs w:val="22"/>
        </w:rPr>
        <w:t xml:space="preserve">De </w:t>
      </w:r>
      <w:r w:rsidR="00D91AE0" w:rsidRPr="00D57FD2">
        <w:rPr>
          <w:sz w:val="22"/>
          <w:szCs w:val="22"/>
        </w:rPr>
        <w:t>tendensen</w:t>
      </w:r>
      <w:r w:rsidRPr="00D57FD2">
        <w:rPr>
          <w:sz w:val="22"/>
          <w:szCs w:val="22"/>
        </w:rPr>
        <w:t xml:space="preserve"> en conclusies zijn als volgt:</w:t>
      </w:r>
    </w:p>
    <w:p w:rsidR="00696C5E" w:rsidRPr="00D57FD2" w:rsidRDefault="00696C5E" w:rsidP="006B6D92">
      <w:pPr>
        <w:numPr>
          <w:ilvl w:val="0"/>
          <w:numId w:val="12"/>
        </w:numPr>
        <w:jc w:val="both"/>
        <w:rPr>
          <w:sz w:val="22"/>
          <w:szCs w:val="22"/>
        </w:rPr>
      </w:pPr>
      <w:r w:rsidRPr="00D57FD2">
        <w:rPr>
          <w:sz w:val="22"/>
          <w:szCs w:val="22"/>
        </w:rPr>
        <w:t>Het aantal werkzoekenden in webleren blijft stabiel maar het aantal werknemers daalt significant. Dit uit zich in de relatieve (procentuele) cijfers.</w:t>
      </w:r>
    </w:p>
    <w:p w:rsidR="00696C5E" w:rsidRPr="00D57FD2" w:rsidRDefault="00696C5E" w:rsidP="006B6D92">
      <w:pPr>
        <w:numPr>
          <w:ilvl w:val="0"/>
          <w:numId w:val="12"/>
        </w:numPr>
        <w:jc w:val="both"/>
        <w:rPr>
          <w:sz w:val="22"/>
          <w:szCs w:val="22"/>
        </w:rPr>
      </w:pPr>
      <w:r w:rsidRPr="00D57FD2">
        <w:rPr>
          <w:sz w:val="22"/>
          <w:szCs w:val="22"/>
        </w:rPr>
        <w:t>Het aandeel van klanten uit kansengroepen stijgt van 34 naar 36 %. Vooral laaggeschoolden en allochtonen vinden</w:t>
      </w:r>
      <w:r>
        <w:rPr>
          <w:sz w:val="22"/>
          <w:szCs w:val="22"/>
        </w:rPr>
        <w:t xml:space="preserve"> meer</w:t>
      </w:r>
      <w:r w:rsidRPr="00D57FD2">
        <w:rPr>
          <w:sz w:val="22"/>
          <w:szCs w:val="22"/>
        </w:rPr>
        <w:t xml:space="preserve"> hun weg naar Webleren. E-leren als methodiek wordt nog dikwijls gepercipieerd als een exclusief kanaal voor een zelfredzaam, hoogopgeleid en autochtoon publiek. Maar dat blijkt ongegrond.</w:t>
      </w:r>
    </w:p>
    <w:p w:rsidR="00696C5E" w:rsidRPr="00D57FD2" w:rsidRDefault="00696C5E" w:rsidP="006B6D92">
      <w:pPr>
        <w:numPr>
          <w:ilvl w:val="0"/>
          <w:numId w:val="12"/>
        </w:numPr>
        <w:jc w:val="both"/>
        <w:rPr>
          <w:sz w:val="22"/>
          <w:szCs w:val="22"/>
        </w:rPr>
      </w:pPr>
      <w:r w:rsidRPr="00D57FD2">
        <w:rPr>
          <w:sz w:val="22"/>
          <w:szCs w:val="22"/>
        </w:rPr>
        <w:t>Een geografische opsplitsing voor een methodiek en dienstverleni</w:t>
      </w:r>
      <w:r>
        <w:rPr>
          <w:sz w:val="22"/>
          <w:szCs w:val="22"/>
        </w:rPr>
        <w:t>ng via internet is weinig zinvol omdat webleren niet gebonden is aan geografische grenzen.</w:t>
      </w:r>
      <w:r w:rsidRPr="00D57FD2">
        <w:rPr>
          <w:sz w:val="22"/>
          <w:szCs w:val="22"/>
        </w:rPr>
        <w:t xml:space="preserve"> Daarom geven we enkel een globaal cijfer per provincie. Het grote aandeel in Antwerpen is te verklaren door de aldaar aanwezige grote groep werkzoekenden.</w:t>
      </w:r>
    </w:p>
    <w:p w:rsidR="00696C5E" w:rsidRDefault="00696C5E" w:rsidP="00696C5E">
      <w:pPr>
        <w:jc w:val="both"/>
        <w:rPr>
          <w:sz w:val="22"/>
          <w:szCs w:val="22"/>
        </w:rPr>
      </w:pPr>
    </w:p>
    <w:p w:rsidR="00696C5E" w:rsidRDefault="006B6D92" w:rsidP="006B6D92">
      <w:pPr>
        <w:ind w:left="426" w:hanging="426"/>
        <w:jc w:val="both"/>
        <w:rPr>
          <w:sz w:val="22"/>
          <w:szCs w:val="22"/>
        </w:rPr>
      </w:pPr>
      <w:r>
        <w:rPr>
          <w:sz w:val="22"/>
          <w:szCs w:val="22"/>
        </w:rPr>
        <w:t>6.</w:t>
      </w:r>
      <w:r>
        <w:rPr>
          <w:sz w:val="22"/>
          <w:szCs w:val="22"/>
        </w:rPr>
        <w:tab/>
      </w:r>
      <w:r w:rsidR="00696C5E" w:rsidRPr="00D91AE0">
        <w:rPr>
          <w:sz w:val="22"/>
          <w:szCs w:val="22"/>
        </w:rPr>
        <w:t xml:space="preserve">Via </w:t>
      </w:r>
      <w:proofErr w:type="spellStart"/>
      <w:r w:rsidR="00696C5E" w:rsidRPr="00D91AE0">
        <w:rPr>
          <w:sz w:val="22"/>
          <w:szCs w:val="22"/>
        </w:rPr>
        <w:t>Webleren</w:t>
      </w:r>
      <w:proofErr w:type="spellEnd"/>
      <w:r w:rsidR="00696C5E" w:rsidRPr="00D91AE0">
        <w:rPr>
          <w:sz w:val="22"/>
          <w:szCs w:val="22"/>
        </w:rPr>
        <w:t xml:space="preserve"> kan men zich niet volledig omscholen naar een knelpuntberoep. Het zijn geen finaliteitsopleidingen voor beroepen. Onderdelen van deze opleidingen kunnen eventueel wel via webleren.</w:t>
      </w:r>
      <w:r w:rsidR="00696C5E" w:rsidRPr="00D91AE0">
        <w:rPr>
          <w:sz w:val="22"/>
          <w:szCs w:val="22"/>
        </w:rPr>
        <w:br/>
        <w:t>Zo kan een webcursus Excel gevolgd worden door een administratief bediende of een magazijnier (geen knelpuntberoep) enerzijds en anderzijds door een personeelsmedewerker of een bediende in de horeca (wel knelpuntberoep). Het is dus niet mogelijk hierover zinvolle cijfers te leveren en conclusies te trekken.</w:t>
      </w:r>
    </w:p>
    <w:p w:rsidR="00D91AE0" w:rsidRPr="00D91AE0" w:rsidRDefault="00D91AE0" w:rsidP="00D91AE0">
      <w:pPr>
        <w:rPr>
          <w:sz w:val="22"/>
          <w:szCs w:val="22"/>
        </w:rPr>
      </w:pPr>
    </w:p>
    <w:p w:rsidR="00696C5E" w:rsidRPr="00D91AE0" w:rsidRDefault="006B6D92" w:rsidP="006B6D92">
      <w:pPr>
        <w:ind w:left="426" w:hanging="426"/>
        <w:rPr>
          <w:sz w:val="22"/>
          <w:szCs w:val="22"/>
        </w:rPr>
      </w:pPr>
      <w:r>
        <w:rPr>
          <w:sz w:val="22"/>
          <w:szCs w:val="22"/>
        </w:rPr>
        <w:t>7.</w:t>
      </w:r>
      <w:r>
        <w:rPr>
          <w:sz w:val="22"/>
          <w:szCs w:val="22"/>
        </w:rPr>
        <w:tab/>
      </w:r>
      <w:r w:rsidR="00D91AE0" w:rsidRPr="00D91AE0">
        <w:rPr>
          <w:sz w:val="22"/>
          <w:szCs w:val="22"/>
        </w:rPr>
        <w:t xml:space="preserve">Hieronder de top 5 van de meest populaire opleidingen via </w:t>
      </w:r>
      <w:proofErr w:type="spellStart"/>
      <w:r w:rsidR="00D91AE0" w:rsidRPr="00D91AE0">
        <w:rPr>
          <w:sz w:val="22"/>
          <w:szCs w:val="22"/>
        </w:rPr>
        <w:t>webleren</w:t>
      </w:r>
      <w:proofErr w:type="spellEnd"/>
      <w:r w:rsidR="00D91AE0" w:rsidRPr="00D91AE0">
        <w:rPr>
          <w:sz w:val="22"/>
          <w:szCs w:val="22"/>
        </w:rPr>
        <w:t xml:space="preserve"> bij de VDAB.</w:t>
      </w:r>
    </w:p>
    <w:p w:rsidR="00D91AE0" w:rsidRPr="00D91AE0" w:rsidRDefault="00D91AE0" w:rsidP="00D91AE0">
      <w:pPr>
        <w:pStyle w:val="Lijstalinea"/>
        <w:ind w:left="360"/>
        <w:rPr>
          <w:sz w:val="22"/>
          <w:szCs w:val="22"/>
        </w:rPr>
      </w:pPr>
    </w:p>
    <w:tbl>
      <w:tblPr>
        <w:tblW w:w="8920" w:type="dxa"/>
        <w:tblInd w:w="65" w:type="dxa"/>
        <w:tblCellMar>
          <w:left w:w="70" w:type="dxa"/>
          <w:right w:w="70" w:type="dxa"/>
        </w:tblCellMar>
        <w:tblLook w:val="0000" w:firstRow="0" w:lastRow="0" w:firstColumn="0" w:lastColumn="0" w:noHBand="0" w:noVBand="0"/>
      </w:tblPr>
      <w:tblGrid>
        <w:gridCol w:w="7160"/>
        <w:gridCol w:w="880"/>
        <w:gridCol w:w="880"/>
      </w:tblGrid>
      <w:tr w:rsidR="00696C5E" w:rsidRPr="00290256" w:rsidTr="00D91AE0">
        <w:trPr>
          <w:trHeight w:val="255"/>
        </w:trPr>
        <w:tc>
          <w:tcPr>
            <w:tcW w:w="7160" w:type="dxa"/>
            <w:tcBorders>
              <w:top w:val="single" w:sz="4" w:space="0" w:color="000000"/>
              <w:left w:val="single" w:sz="4" w:space="0" w:color="000000"/>
              <w:bottom w:val="single" w:sz="4" w:space="0" w:color="000000"/>
              <w:right w:val="nil"/>
            </w:tcBorders>
            <w:noWrap/>
            <w:vAlign w:val="bottom"/>
          </w:tcPr>
          <w:p w:rsidR="00696C5E" w:rsidRPr="00290256" w:rsidRDefault="00696C5E" w:rsidP="00D91AE0">
            <w:pPr>
              <w:rPr>
                <w:rFonts w:ascii="MS Sans Serif" w:hAnsi="MS Sans Serif"/>
                <w:sz w:val="20"/>
                <w:szCs w:val="20"/>
              </w:rPr>
            </w:pPr>
          </w:p>
        </w:tc>
        <w:tc>
          <w:tcPr>
            <w:tcW w:w="880" w:type="dxa"/>
            <w:tcBorders>
              <w:top w:val="single" w:sz="4" w:space="0" w:color="000000"/>
              <w:left w:val="single" w:sz="4" w:space="0" w:color="000000"/>
              <w:bottom w:val="single" w:sz="4" w:space="0" w:color="000000"/>
              <w:right w:val="single" w:sz="4" w:space="0" w:color="000000"/>
            </w:tcBorders>
            <w:noWrap/>
            <w:vAlign w:val="bottom"/>
          </w:tcPr>
          <w:p w:rsidR="00696C5E" w:rsidRPr="00264DA4" w:rsidRDefault="00696C5E" w:rsidP="00D91AE0">
            <w:pPr>
              <w:jc w:val="center"/>
              <w:rPr>
                <w:rFonts w:ascii="MS Sans Serif" w:hAnsi="MS Sans Serif"/>
                <w:b/>
                <w:sz w:val="20"/>
                <w:szCs w:val="20"/>
              </w:rPr>
            </w:pPr>
            <w:r w:rsidRPr="00264DA4">
              <w:rPr>
                <w:rFonts w:ascii="MS Sans Serif" w:hAnsi="MS Sans Serif"/>
                <w:b/>
                <w:sz w:val="20"/>
                <w:szCs w:val="20"/>
              </w:rPr>
              <w:t>2011</w:t>
            </w:r>
          </w:p>
        </w:tc>
        <w:tc>
          <w:tcPr>
            <w:tcW w:w="880" w:type="dxa"/>
            <w:tcBorders>
              <w:top w:val="single" w:sz="4" w:space="0" w:color="000000"/>
              <w:left w:val="single" w:sz="4" w:space="0" w:color="000000"/>
              <w:bottom w:val="single" w:sz="4" w:space="0" w:color="000000"/>
              <w:right w:val="single" w:sz="4" w:space="0" w:color="000000"/>
            </w:tcBorders>
          </w:tcPr>
          <w:p w:rsidR="00696C5E" w:rsidRPr="00264DA4" w:rsidRDefault="00696C5E" w:rsidP="00D91AE0">
            <w:pPr>
              <w:jc w:val="center"/>
              <w:rPr>
                <w:rFonts w:ascii="MS Sans Serif" w:hAnsi="MS Sans Serif"/>
                <w:b/>
                <w:sz w:val="20"/>
                <w:szCs w:val="20"/>
              </w:rPr>
            </w:pPr>
            <w:r w:rsidRPr="00264DA4">
              <w:rPr>
                <w:rFonts w:ascii="MS Sans Serif" w:hAnsi="MS Sans Serif"/>
                <w:b/>
                <w:sz w:val="20"/>
                <w:szCs w:val="20"/>
              </w:rPr>
              <w:t>2012</w:t>
            </w:r>
          </w:p>
        </w:tc>
      </w:tr>
      <w:tr w:rsidR="00696C5E" w:rsidRPr="00290256" w:rsidTr="00D91AE0">
        <w:trPr>
          <w:trHeight w:val="255"/>
        </w:trPr>
        <w:tc>
          <w:tcPr>
            <w:tcW w:w="7160" w:type="dxa"/>
            <w:tcBorders>
              <w:top w:val="single" w:sz="4" w:space="0" w:color="000000"/>
              <w:left w:val="single" w:sz="4" w:space="0" w:color="000000"/>
              <w:bottom w:val="nil"/>
              <w:right w:val="nil"/>
            </w:tcBorders>
            <w:noWrap/>
            <w:vAlign w:val="bottom"/>
          </w:tcPr>
          <w:p w:rsidR="00696C5E" w:rsidRPr="00290256" w:rsidRDefault="00696C5E" w:rsidP="00D91AE0">
            <w:pPr>
              <w:rPr>
                <w:rFonts w:ascii="MS Sans Serif" w:hAnsi="MS Sans Serif"/>
                <w:sz w:val="20"/>
                <w:szCs w:val="20"/>
              </w:rPr>
            </w:pPr>
            <w:r w:rsidRPr="00290256">
              <w:rPr>
                <w:rFonts w:ascii="MS Sans Serif" w:hAnsi="MS Sans Serif"/>
                <w:sz w:val="20"/>
                <w:szCs w:val="20"/>
              </w:rPr>
              <w:t>Frans - Algemene taalkennis Frans</w:t>
            </w:r>
          </w:p>
        </w:tc>
        <w:tc>
          <w:tcPr>
            <w:tcW w:w="880" w:type="dxa"/>
            <w:tcBorders>
              <w:top w:val="single" w:sz="4" w:space="0" w:color="000000"/>
              <w:left w:val="single" w:sz="4" w:space="0" w:color="000000"/>
              <w:bottom w:val="nil"/>
              <w:right w:val="single" w:sz="4" w:space="0" w:color="000000"/>
            </w:tcBorders>
            <w:noWrap/>
            <w:vAlign w:val="bottom"/>
          </w:tcPr>
          <w:p w:rsidR="00696C5E" w:rsidRPr="00290256" w:rsidRDefault="00696C5E" w:rsidP="00D91AE0">
            <w:pPr>
              <w:jc w:val="right"/>
              <w:rPr>
                <w:rFonts w:ascii="MS Sans Serif" w:hAnsi="MS Sans Serif"/>
                <w:sz w:val="20"/>
                <w:szCs w:val="20"/>
              </w:rPr>
            </w:pPr>
            <w:r w:rsidRPr="00290256">
              <w:rPr>
                <w:rFonts w:ascii="MS Sans Serif" w:hAnsi="MS Sans Serif"/>
                <w:sz w:val="20"/>
                <w:szCs w:val="20"/>
              </w:rPr>
              <w:t>2.263</w:t>
            </w:r>
          </w:p>
        </w:tc>
        <w:tc>
          <w:tcPr>
            <w:tcW w:w="880" w:type="dxa"/>
            <w:tcBorders>
              <w:top w:val="single" w:sz="4" w:space="0" w:color="000000"/>
              <w:left w:val="single" w:sz="4" w:space="0" w:color="000000"/>
              <w:bottom w:val="nil"/>
              <w:right w:val="single" w:sz="4" w:space="0" w:color="000000"/>
            </w:tcBorders>
            <w:vAlign w:val="bottom"/>
          </w:tcPr>
          <w:p w:rsidR="00696C5E" w:rsidRPr="00290256" w:rsidRDefault="00696C5E" w:rsidP="00D91AE0">
            <w:pPr>
              <w:jc w:val="right"/>
              <w:rPr>
                <w:rFonts w:ascii="MS Sans Serif" w:hAnsi="MS Sans Serif"/>
                <w:sz w:val="20"/>
                <w:szCs w:val="20"/>
              </w:rPr>
            </w:pPr>
            <w:r w:rsidRPr="00290256">
              <w:rPr>
                <w:rFonts w:ascii="MS Sans Serif" w:hAnsi="MS Sans Serif"/>
                <w:sz w:val="20"/>
                <w:szCs w:val="20"/>
              </w:rPr>
              <w:t>2.515</w:t>
            </w:r>
          </w:p>
        </w:tc>
      </w:tr>
      <w:tr w:rsidR="00696C5E" w:rsidRPr="00290256" w:rsidTr="00D91AE0">
        <w:trPr>
          <w:trHeight w:val="255"/>
        </w:trPr>
        <w:tc>
          <w:tcPr>
            <w:tcW w:w="7160" w:type="dxa"/>
            <w:tcBorders>
              <w:top w:val="nil"/>
              <w:left w:val="single" w:sz="4" w:space="0" w:color="000000"/>
              <w:bottom w:val="nil"/>
              <w:right w:val="nil"/>
            </w:tcBorders>
            <w:noWrap/>
            <w:vAlign w:val="bottom"/>
          </w:tcPr>
          <w:p w:rsidR="00696C5E" w:rsidRPr="00290256" w:rsidRDefault="00696C5E" w:rsidP="00D91AE0">
            <w:pPr>
              <w:rPr>
                <w:rFonts w:ascii="MS Sans Serif" w:hAnsi="MS Sans Serif"/>
                <w:sz w:val="20"/>
                <w:szCs w:val="20"/>
              </w:rPr>
            </w:pPr>
            <w:r w:rsidRPr="00290256">
              <w:rPr>
                <w:rFonts w:ascii="MS Sans Serif" w:hAnsi="MS Sans Serif"/>
                <w:sz w:val="20"/>
                <w:szCs w:val="20"/>
              </w:rPr>
              <w:t>MS Excel 2007</w:t>
            </w:r>
          </w:p>
        </w:tc>
        <w:tc>
          <w:tcPr>
            <w:tcW w:w="880" w:type="dxa"/>
            <w:tcBorders>
              <w:top w:val="nil"/>
              <w:left w:val="single" w:sz="4" w:space="0" w:color="000000"/>
              <w:bottom w:val="nil"/>
              <w:right w:val="single" w:sz="4" w:space="0" w:color="000000"/>
            </w:tcBorders>
            <w:noWrap/>
            <w:vAlign w:val="bottom"/>
          </w:tcPr>
          <w:p w:rsidR="00696C5E" w:rsidRPr="00290256" w:rsidRDefault="00696C5E" w:rsidP="00D91AE0">
            <w:pPr>
              <w:jc w:val="right"/>
              <w:rPr>
                <w:rFonts w:ascii="MS Sans Serif" w:hAnsi="MS Sans Serif"/>
                <w:sz w:val="20"/>
                <w:szCs w:val="20"/>
              </w:rPr>
            </w:pPr>
            <w:r w:rsidRPr="00290256">
              <w:rPr>
                <w:rFonts w:ascii="MS Sans Serif" w:hAnsi="MS Sans Serif"/>
                <w:sz w:val="20"/>
                <w:szCs w:val="20"/>
              </w:rPr>
              <w:t>1.858</w:t>
            </w:r>
          </w:p>
        </w:tc>
        <w:tc>
          <w:tcPr>
            <w:tcW w:w="880" w:type="dxa"/>
            <w:tcBorders>
              <w:top w:val="nil"/>
              <w:left w:val="single" w:sz="4" w:space="0" w:color="000000"/>
              <w:bottom w:val="nil"/>
              <w:right w:val="single" w:sz="4" w:space="0" w:color="000000"/>
            </w:tcBorders>
            <w:vAlign w:val="bottom"/>
          </w:tcPr>
          <w:p w:rsidR="00696C5E" w:rsidRPr="00290256" w:rsidRDefault="00696C5E" w:rsidP="00D91AE0">
            <w:pPr>
              <w:jc w:val="right"/>
              <w:rPr>
                <w:rFonts w:ascii="MS Sans Serif" w:hAnsi="MS Sans Serif"/>
                <w:sz w:val="20"/>
                <w:szCs w:val="20"/>
              </w:rPr>
            </w:pPr>
            <w:r w:rsidRPr="00290256">
              <w:rPr>
                <w:rFonts w:ascii="MS Sans Serif" w:hAnsi="MS Sans Serif"/>
                <w:sz w:val="20"/>
                <w:szCs w:val="20"/>
              </w:rPr>
              <w:t>1.514</w:t>
            </w:r>
          </w:p>
        </w:tc>
      </w:tr>
      <w:tr w:rsidR="00696C5E" w:rsidRPr="00290256" w:rsidTr="00D91AE0">
        <w:trPr>
          <w:trHeight w:val="255"/>
        </w:trPr>
        <w:tc>
          <w:tcPr>
            <w:tcW w:w="7160" w:type="dxa"/>
            <w:tcBorders>
              <w:top w:val="nil"/>
              <w:left w:val="single" w:sz="4" w:space="0" w:color="000000"/>
              <w:bottom w:val="nil"/>
              <w:right w:val="nil"/>
            </w:tcBorders>
            <w:noWrap/>
            <w:vAlign w:val="bottom"/>
          </w:tcPr>
          <w:p w:rsidR="00696C5E" w:rsidRPr="00290256" w:rsidRDefault="00696C5E" w:rsidP="00D91AE0">
            <w:pPr>
              <w:rPr>
                <w:rFonts w:ascii="MS Sans Serif" w:hAnsi="MS Sans Serif"/>
                <w:sz w:val="20"/>
                <w:szCs w:val="20"/>
              </w:rPr>
            </w:pPr>
            <w:r w:rsidRPr="00290256">
              <w:rPr>
                <w:rFonts w:ascii="MS Sans Serif" w:hAnsi="MS Sans Serif"/>
                <w:sz w:val="20"/>
                <w:szCs w:val="20"/>
              </w:rPr>
              <w:t>Binnenlandse handelsdocumenten</w:t>
            </w:r>
          </w:p>
        </w:tc>
        <w:tc>
          <w:tcPr>
            <w:tcW w:w="880" w:type="dxa"/>
            <w:tcBorders>
              <w:top w:val="nil"/>
              <w:left w:val="single" w:sz="4" w:space="0" w:color="000000"/>
              <w:bottom w:val="nil"/>
              <w:right w:val="single" w:sz="4" w:space="0" w:color="000000"/>
            </w:tcBorders>
            <w:noWrap/>
            <w:vAlign w:val="bottom"/>
          </w:tcPr>
          <w:p w:rsidR="00696C5E" w:rsidRPr="00290256" w:rsidRDefault="00696C5E" w:rsidP="00D91AE0">
            <w:pPr>
              <w:jc w:val="right"/>
              <w:rPr>
                <w:rFonts w:ascii="MS Sans Serif" w:hAnsi="MS Sans Serif"/>
                <w:sz w:val="20"/>
                <w:szCs w:val="20"/>
              </w:rPr>
            </w:pPr>
            <w:r w:rsidRPr="00290256">
              <w:rPr>
                <w:rFonts w:ascii="MS Sans Serif" w:hAnsi="MS Sans Serif"/>
                <w:sz w:val="20"/>
                <w:szCs w:val="20"/>
              </w:rPr>
              <w:t>1.225</w:t>
            </w:r>
          </w:p>
        </w:tc>
        <w:tc>
          <w:tcPr>
            <w:tcW w:w="880" w:type="dxa"/>
            <w:tcBorders>
              <w:top w:val="nil"/>
              <w:left w:val="single" w:sz="4" w:space="0" w:color="000000"/>
              <w:bottom w:val="nil"/>
              <w:right w:val="single" w:sz="4" w:space="0" w:color="000000"/>
            </w:tcBorders>
            <w:vAlign w:val="bottom"/>
          </w:tcPr>
          <w:p w:rsidR="00696C5E" w:rsidRPr="00290256" w:rsidRDefault="00696C5E" w:rsidP="00D91AE0">
            <w:pPr>
              <w:jc w:val="right"/>
              <w:rPr>
                <w:rFonts w:ascii="MS Sans Serif" w:hAnsi="MS Sans Serif"/>
                <w:sz w:val="20"/>
                <w:szCs w:val="20"/>
              </w:rPr>
            </w:pPr>
            <w:r w:rsidRPr="00290256">
              <w:rPr>
                <w:rFonts w:ascii="MS Sans Serif" w:hAnsi="MS Sans Serif"/>
                <w:sz w:val="20"/>
                <w:szCs w:val="20"/>
              </w:rPr>
              <w:t>1.283</w:t>
            </w:r>
          </w:p>
        </w:tc>
      </w:tr>
      <w:tr w:rsidR="00696C5E" w:rsidRPr="00290256" w:rsidTr="00D91AE0">
        <w:trPr>
          <w:trHeight w:val="255"/>
        </w:trPr>
        <w:tc>
          <w:tcPr>
            <w:tcW w:w="7160" w:type="dxa"/>
            <w:tcBorders>
              <w:top w:val="nil"/>
              <w:left w:val="single" w:sz="4" w:space="0" w:color="000000"/>
              <w:bottom w:val="nil"/>
              <w:right w:val="nil"/>
            </w:tcBorders>
            <w:noWrap/>
            <w:vAlign w:val="bottom"/>
          </w:tcPr>
          <w:p w:rsidR="00696C5E" w:rsidRPr="00290256" w:rsidRDefault="00696C5E" w:rsidP="00D91AE0">
            <w:pPr>
              <w:rPr>
                <w:rFonts w:ascii="MS Sans Serif" w:hAnsi="MS Sans Serif"/>
                <w:sz w:val="20"/>
                <w:szCs w:val="20"/>
              </w:rPr>
            </w:pPr>
            <w:r w:rsidRPr="00290256">
              <w:rPr>
                <w:rFonts w:ascii="MS Sans Serif" w:hAnsi="MS Sans Serif"/>
                <w:sz w:val="20"/>
                <w:szCs w:val="20"/>
              </w:rPr>
              <w:lastRenderedPageBreak/>
              <w:t>Starten met je eigen zaak</w:t>
            </w:r>
          </w:p>
        </w:tc>
        <w:tc>
          <w:tcPr>
            <w:tcW w:w="880" w:type="dxa"/>
            <w:tcBorders>
              <w:top w:val="nil"/>
              <w:left w:val="single" w:sz="4" w:space="0" w:color="000000"/>
              <w:bottom w:val="nil"/>
              <w:right w:val="single" w:sz="4" w:space="0" w:color="000000"/>
            </w:tcBorders>
            <w:noWrap/>
            <w:vAlign w:val="bottom"/>
          </w:tcPr>
          <w:p w:rsidR="00696C5E" w:rsidRPr="00290256" w:rsidRDefault="00696C5E" w:rsidP="00D91AE0">
            <w:pPr>
              <w:jc w:val="right"/>
              <w:rPr>
                <w:rFonts w:ascii="MS Sans Serif" w:hAnsi="MS Sans Serif"/>
                <w:sz w:val="20"/>
                <w:szCs w:val="20"/>
              </w:rPr>
            </w:pPr>
            <w:r w:rsidRPr="00290256">
              <w:rPr>
                <w:rFonts w:ascii="MS Sans Serif" w:hAnsi="MS Sans Serif"/>
                <w:sz w:val="20"/>
                <w:szCs w:val="20"/>
              </w:rPr>
              <w:t>1.189</w:t>
            </w:r>
          </w:p>
        </w:tc>
        <w:tc>
          <w:tcPr>
            <w:tcW w:w="880" w:type="dxa"/>
            <w:tcBorders>
              <w:top w:val="nil"/>
              <w:left w:val="single" w:sz="4" w:space="0" w:color="000000"/>
              <w:bottom w:val="nil"/>
              <w:right w:val="single" w:sz="4" w:space="0" w:color="000000"/>
            </w:tcBorders>
            <w:vAlign w:val="bottom"/>
          </w:tcPr>
          <w:p w:rsidR="00696C5E" w:rsidRPr="00290256" w:rsidRDefault="00696C5E" w:rsidP="00D91AE0">
            <w:pPr>
              <w:jc w:val="right"/>
              <w:rPr>
                <w:rFonts w:ascii="MS Sans Serif" w:hAnsi="MS Sans Serif"/>
                <w:sz w:val="20"/>
                <w:szCs w:val="20"/>
              </w:rPr>
            </w:pPr>
            <w:r w:rsidRPr="00290256">
              <w:rPr>
                <w:rFonts w:ascii="MS Sans Serif" w:hAnsi="MS Sans Serif"/>
                <w:sz w:val="20"/>
                <w:szCs w:val="20"/>
              </w:rPr>
              <w:t>1.117</w:t>
            </w:r>
          </w:p>
        </w:tc>
      </w:tr>
      <w:tr w:rsidR="00696C5E" w:rsidRPr="00290256" w:rsidTr="00D91AE0">
        <w:trPr>
          <w:trHeight w:val="255"/>
        </w:trPr>
        <w:tc>
          <w:tcPr>
            <w:tcW w:w="7160" w:type="dxa"/>
            <w:tcBorders>
              <w:top w:val="nil"/>
              <w:left w:val="single" w:sz="4" w:space="0" w:color="000000"/>
              <w:bottom w:val="single" w:sz="4" w:space="0" w:color="auto"/>
              <w:right w:val="nil"/>
            </w:tcBorders>
            <w:noWrap/>
            <w:vAlign w:val="bottom"/>
          </w:tcPr>
          <w:p w:rsidR="00696C5E" w:rsidRPr="00290256" w:rsidRDefault="00696C5E" w:rsidP="00D91AE0">
            <w:pPr>
              <w:rPr>
                <w:rFonts w:ascii="MS Sans Serif" w:hAnsi="MS Sans Serif"/>
                <w:sz w:val="20"/>
                <w:szCs w:val="20"/>
              </w:rPr>
            </w:pPr>
            <w:r w:rsidRPr="00290256">
              <w:rPr>
                <w:rFonts w:ascii="MS Sans Serif" w:hAnsi="MS Sans Serif"/>
                <w:sz w:val="20"/>
                <w:szCs w:val="20"/>
              </w:rPr>
              <w:t>Assertiviteit in de werksituatie</w:t>
            </w:r>
          </w:p>
        </w:tc>
        <w:tc>
          <w:tcPr>
            <w:tcW w:w="880" w:type="dxa"/>
            <w:tcBorders>
              <w:top w:val="nil"/>
              <w:left w:val="single" w:sz="4" w:space="0" w:color="000000"/>
              <w:bottom w:val="single" w:sz="4" w:space="0" w:color="auto"/>
              <w:right w:val="single" w:sz="4" w:space="0" w:color="000000"/>
            </w:tcBorders>
            <w:noWrap/>
            <w:vAlign w:val="bottom"/>
          </w:tcPr>
          <w:p w:rsidR="00696C5E" w:rsidRPr="00290256" w:rsidRDefault="00696C5E" w:rsidP="00D91AE0">
            <w:pPr>
              <w:jc w:val="right"/>
              <w:rPr>
                <w:rFonts w:ascii="MS Sans Serif" w:hAnsi="MS Sans Serif"/>
                <w:sz w:val="20"/>
                <w:szCs w:val="20"/>
              </w:rPr>
            </w:pPr>
            <w:r w:rsidRPr="00290256">
              <w:rPr>
                <w:rFonts w:ascii="MS Sans Serif" w:hAnsi="MS Sans Serif"/>
                <w:sz w:val="20"/>
                <w:szCs w:val="20"/>
              </w:rPr>
              <w:t>1.148</w:t>
            </w:r>
          </w:p>
        </w:tc>
        <w:tc>
          <w:tcPr>
            <w:tcW w:w="880" w:type="dxa"/>
            <w:tcBorders>
              <w:top w:val="nil"/>
              <w:left w:val="single" w:sz="4" w:space="0" w:color="000000"/>
              <w:bottom w:val="single" w:sz="4" w:space="0" w:color="auto"/>
              <w:right w:val="single" w:sz="4" w:space="0" w:color="000000"/>
            </w:tcBorders>
            <w:vAlign w:val="bottom"/>
          </w:tcPr>
          <w:p w:rsidR="00696C5E" w:rsidRPr="00290256" w:rsidRDefault="00696C5E" w:rsidP="00D91AE0">
            <w:pPr>
              <w:jc w:val="right"/>
              <w:rPr>
                <w:rFonts w:ascii="MS Sans Serif" w:hAnsi="MS Sans Serif"/>
                <w:sz w:val="20"/>
                <w:szCs w:val="20"/>
              </w:rPr>
            </w:pPr>
            <w:r w:rsidRPr="00290256">
              <w:rPr>
                <w:rFonts w:ascii="MS Sans Serif" w:hAnsi="MS Sans Serif"/>
                <w:sz w:val="20"/>
                <w:szCs w:val="20"/>
              </w:rPr>
              <w:t>1.027</w:t>
            </w:r>
          </w:p>
        </w:tc>
      </w:tr>
    </w:tbl>
    <w:p w:rsidR="00696C5E" w:rsidRDefault="00696C5E" w:rsidP="00696C5E">
      <w:pPr>
        <w:jc w:val="both"/>
        <w:rPr>
          <w:sz w:val="22"/>
          <w:szCs w:val="22"/>
        </w:rPr>
      </w:pPr>
    </w:p>
    <w:p w:rsidR="00696C5E" w:rsidRPr="00D91AE0" w:rsidRDefault="00D91AE0" w:rsidP="006B6D92">
      <w:pPr>
        <w:ind w:left="426" w:hanging="426"/>
        <w:jc w:val="both"/>
        <w:rPr>
          <w:sz w:val="22"/>
          <w:szCs w:val="22"/>
        </w:rPr>
      </w:pPr>
      <w:r>
        <w:rPr>
          <w:sz w:val="22"/>
          <w:szCs w:val="22"/>
        </w:rPr>
        <w:t>8.</w:t>
      </w:r>
      <w:r w:rsidR="006B6D92">
        <w:rPr>
          <w:sz w:val="22"/>
          <w:szCs w:val="22"/>
        </w:rPr>
        <w:tab/>
      </w:r>
      <w:r w:rsidR="00696C5E" w:rsidRPr="00D91AE0">
        <w:rPr>
          <w:sz w:val="22"/>
          <w:szCs w:val="22"/>
        </w:rPr>
        <w:t>Het aanbod van meer dan 260 webmodules ontstond uit een strategie van eigen ontwikkelingen, aankoop, gedeeltelijke uitbesteding van ontwikkeling en door partnerschappen. Er lopen tegelijkertijd steeds 20 ontwikkelprojecten van diverse omvang.</w:t>
      </w:r>
    </w:p>
    <w:p w:rsidR="00696C5E" w:rsidRPr="0021267A" w:rsidRDefault="00696C5E" w:rsidP="006B6D92">
      <w:pPr>
        <w:ind w:left="426"/>
        <w:jc w:val="both"/>
        <w:rPr>
          <w:sz w:val="22"/>
          <w:szCs w:val="22"/>
        </w:rPr>
      </w:pPr>
      <w:r w:rsidRPr="0021267A">
        <w:rPr>
          <w:sz w:val="22"/>
          <w:szCs w:val="22"/>
        </w:rPr>
        <w:t xml:space="preserve">De ontwikkelprojecten in eigen huis zijn vooral gefocust op het up-to-date houden en upgraden van het cursusmateriaal (bv. van MS Office 2010 naar MS Office 2013), het aanmaken van nieuwe titels in bv. sociale vaardigheden en talen en het omzetten van materiaal voor </w:t>
      </w:r>
      <w:proofErr w:type="spellStart"/>
      <w:r w:rsidRPr="0021267A">
        <w:rPr>
          <w:sz w:val="22"/>
          <w:szCs w:val="22"/>
        </w:rPr>
        <w:t>Blended</w:t>
      </w:r>
      <w:proofErr w:type="spellEnd"/>
      <w:r w:rsidRPr="0021267A">
        <w:rPr>
          <w:sz w:val="22"/>
          <w:szCs w:val="22"/>
        </w:rPr>
        <w:t xml:space="preserve"> Leren. </w:t>
      </w:r>
    </w:p>
    <w:p w:rsidR="00696C5E" w:rsidRPr="0021267A" w:rsidRDefault="00696C5E" w:rsidP="006B6D92">
      <w:pPr>
        <w:ind w:left="426"/>
        <w:jc w:val="both"/>
        <w:rPr>
          <w:sz w:val="22"/>
          <w:szCs w:val="22"/>
        </w:rPr>
      </w:pPr>
      <w:r w:rsidRPr="0021267A">
        <w:rPr>
          <w:sz w:val="22"/>
          <w:szCs w:val="22"/>
        </w:rPr>
        <w:t>Daarnaast ontwikkelt of koopt de dienst heel wat tools en specifiek materiaal ten behoeve van interne en externe klanten.</w:t>
      </w:r>
    </w:p>
    <w:p w:rsidR="00696C5E" w:rsidRPr="0021267A" w:rsidRDefault="00696C5E" w:rsidP="006B6D92">
      <w:pPr>
        <w:ind w:left="426"/>
        <w:jc w:val="both"/>
        <w:rPr>
          <w:sz w:val="22"/>
          <w:szCs w:val="22"/>
        </w:rPr>
      </w:pPr>
      <w:r w:rsidRPr="0021267A">
        <w:rPr>
          <w:sz w:val="22"/>
          <w:szCs w:val="22"/>
        </w:rPr>
        <w:t xml:space="preserve">Via partnerschappen wordt veelal specifiek cursusmateriaal ontwikkeld of verworven binnen het domein van industrie en techniek : </w:t>
      </w:r>
    </w:p>
    <w:p w:rsidR="00696C5E" w:rsidRPr="0021267A" w:rsidRDefault="00696C5E" w:rsidP="006B6D92">
      <w:pPr>
        <w:numPr>
          <w:ilvl w:val="0"/>
          <w:numId w:val="14"/>
        </w:numPr>
        <w:tabs>
          <w:tab w:val="clear" w:pos="720"/>
          <w:tab w:val="num" w:pos="1080"/>
        </w:tabs>
        <w:ind w:left="1080"/>
        <w:jc w:val="both"/>
        <w:rPr>
          <w:sz w:val="22"/>
          <w:szCs w:val="22"/>
        </w:rPr>
      </w:pPr>
      <w:r w:rsidRPr="0021267A">
        <w:rPr>
          <w:sz w:val="22"/>
          <w:szCs w:val="22"/>
        </w:rPr>
        <w:t>Webcursussen informatica in samenwerking met HUB, departement informatica</w:t>
      </w:r>
    </w:p>
    <w:p w:rsidR="00696C5E" w:rsidRPr="0021267A" w:rsidRDefault="00696C5E" w:rsidP="006B6D92">
      <w:pPr>
        <w:numPr>
          <w:ilvl w:val="0"/>
          <w:numId w:val="14"/>
        </w:numPr>
        <w:ind w:left="1080"/>
        <w:jc w:val="both"/>
        <w:rPr>
          <w:sz w:val="22"/>
          <w:szCs w:val="22"/>
        </w:rPr>
      </w:pPr>
      <w:proofErr w:type="spellStart"/>
      <w:r w:rsidRPr="0021267A">
        <w:rPr>
          <w:sz w:val="22"/>
          <w:szCs w:val="22"/>
        </w:rPr>
        <w:t>Webcursus</w:t>
      </w:r>
      <w:proofErr w:type="spellEnd"/>
      <w:r w:rsidRPr="0021267A">
        <w:rPr>
          <w:sz w:val="22"/>
          <w:szCs w:val="22"/>
        </w:rPr>
        <w:t xml:space="preserve"> loonadministratie </w:t>
      </w:r>
      <w:proofErr w:type="spellStart"/>
      <w:r w:rsidRPr="0021267A">
        <w:rPr>
          <w:sz w:val="22"/>
          <w:szCs w:val="22"/>
        </w:rPr>
        <w:t>ism</w:t>
      </w:r>
      <w:proofErr w:type="spellEnd"/>
      <w:r w:rsidRPr="0021267A">
        <w:rPr>
          <w:sz w:val="22"/>
          <w:szCs w:val="22"/>
        </w:rPr>
        <w:t xml:space="preserve"> </w:t>
      </w:r>
      <w:proofErr w:type="spellStart"/>
      <w:r w:rsidRPr="0021267A">
        <w:rPr>
          <w:sz w:val="22"/>
          <w:szCs w:val="22"/>
        </w:rPr>
        <w:t>Acerta</w:t>
      </w:r>
      <w:proofErr w:type="spellEnd"/>
    </w:p>
    <w:p w:rsidR="00696C5E" w:rsidRPr="0021267A" w:rsidRDefault="00696C5E" w:rsidP="006B6D92">
      <w:pPr>
        <w:numPr>
          <w:ilvl w:val="0"/>
          <w:numId w:val="14"/>
        </w:numPr>
        <w:ind w:left="1080"/>
        <w:jc w:val="both"/>
        <w:rPr>
          <w:sz w:val="22"/>
          <w:szCs w:val="22"/>
        </w:rPr>
      </w:pPr>
      <w:proofErr w:type="spellStart"/>
      <w:r w:rsidRPr="0021267A">
        <w:rPr>
          <w:sz w:val="22"/>
          <w:szCs w:val="22"/>
        </w:rPr>
        <w:t>Webcursus</w:t>
      </w:r>
      <w:proofErr w:type="spellEnd"/>
      <w:r w:rsidRPr="0021267A">
        <w:rPr>
          <w:sz w:val="22"/>
          <w:szCs w:val="22"/>
        </w:rPr>
        <w:t xml:space="preserve"> “Medisch rekenen” </w:t>
      </w:r>
      <w:proofErr w:type="spellStart"/>
      <w:r w:rsidRPr="0021267A">
        <w:rPr>
          <w:sz w:val="22"/>
          <w:szCs w:val="22"/>
        </w:rPr>
        <w:t>ism</w:t>
      </w:r>
      <w:proofErr w:type="spellEnd"/>
      <w:r w:rsidRPr="0021267A">
        <w:rPr>
          <w:sz w:val="22"/>
          <w:szCs w:val="22"/>
        </w:rPr>
        <w:t xml:space="preserve"> </w:t>
      </w:r>
      <w:proofErr w:type="spellStart"/>
      <w:r w:rsidRPr="0021267A">
        <w:rPr>
          <w:sz w:val="22"/>
          <w:szCs w:val="22"/>
        </w:rPr>
        <w:t>UZGent</w:t>
      </w:r>
      <w:proofErr w:type="spellEnd"/>
    </w:p>
    <w:p w:rsidR="00696C5E" w:rsidRPr="0021267A" w:rsidRDefault="00696C5E" w:rsidP="006B6D92">
      <w:pPr>
        <w:ind w:left="720"/>
        <w:jc w:val="both"/>
        <w:rPr>
          <w:sz w:val="22"/>
          <w:szCs w:val="22"/>
        </w:rPr>
      </w:pPr>
    </w:p>
    <w:p w:rsidR="00696C5E" w:rsidRPr="0021267A" w:rsidRDefault="00696C5E" w:rsidP="006B6D92">
      <w:pPr>
        <w:ind w:left="426"/>
        <w:jc w:val="both"/>
        <w:rPr>
          <w:sz w:val="22"/>
          <w:szCs w:val="22"/>
        </w:rPr>
      </w:pPr>
      <w:r w:rsidRPr="0021267A">
        <w:rPr>
          <w:sz w:val="22"/>
          <w:szCs w:val="22"/>
        </w:rPr>
        <w:t xml:space="preserve">De huidige ontwikkelingen met oplevertermijn </w:t>
      </w:r>
      <w:r>
        <w:rPr>
          <w:sz w:val="22"/>
          <w:szCs w:val="22"/>
        </w:rPr>
        <w:t xml:space="preserve">in </w:t>
      </w:r>
      <w:r w:rsidRPr="0021267A">
        <w:rPr>
          <w:sz w:val="22"/>
          <w:szCs w:val="22"/>
        </w:rPr>
        <w:t>2013</w:t>
      </w:r>
      <w:r>
        <w:rPr>
          <w:sz w:val="22"/>
          <w:szCs w:val="22"/>
        </w:rPr>
        <w:t xml:space="preserve"> zijn</w:t>
      </w:r>
      <w:r w:rsidRPr="0021267A">
        <w:rPr>
          <w:sz w:val="22"/>
          <w:szCs w:val="22"/>
        </w:rPr>
        <w:t>:</w:t>
      </w:r>
    </w:p>
    <w:p w:rsidR="00696C5E" w:rsidRPr="0021267A" w:rsidRDefault="00696C5E" w:rsidP="006B6D92">
      <w:pPr>
        <w:numPr>
          <w:ilvl w:val="0"/>
          <w:numId w:val="15"/>
        </w:numPr>
        <w:tabs>
          <w:tab w:val="clear" w:pos="720"/>
          <w:tab w:val="num" w:pos="1080"/>
        </w:tabs>
        <w:ind w:left="1080"/>
        <w:jc w:val="both"/>
        <w:rPr>
          <w:sz w:val="22"/>
          <w:szCs w:val="22"/>
        </w:rPr>
      </w:pPr>
      <w:proofErr w:type="spellStart"/>
      <w:r w:rsidRPr="0021267A">
        <w:rPr>
          <w:sz w:val="22"/>
          <w:szCs w:val="22"/>
        </w:rPr>
        <w:t>Ipad</w:t>
      </w:r>
      <w:proofErr w:type="spellEnd"/>
      <w:r w:rsidRPr="0021267A">
        <w:rPr>
          <w:sz w:val="22"/>
          <w:szCs w:val="22"/>
        </w:rPr>
        <w:t xml:space="preserve"> op het werk</w:t>
      </w:r>
    </w:p>
    <w:p w:rsidR="00696C5E" w:rsidRPr="0021267A" w:rsidRDefault="00696C5E" w:rsidP="006B6D92">
      <w:pPr>
        <w:numPr>
          <w:ilvl w:val="0"/>
          <w:numId w:val="15"/>
        </w:numPr>
        <w:ind w:left="1080"/>
        <w:jc w:val="both"/>
        <w:rPr>
          <w:sz w:val="22"/>
          <w:szCs w:val="22"/>
        </w:rPr>
      </w:pPr>
      <w:r w:rsidRPr="0021267A">
        <w:rPr>
          <w:sz w:val="22"/>
          <w:szCs w:val="22"/>
        </w:rPr>
        <w:t>CSS3 (informatica)</w:t>
      </w:r>
    </w:p>
    <w:p w:rsidR="00696C5E" w:rsidRPr="0021267A" w:rsidRDefault="00696C5E" w:rsidP="006B6D92">
      <w:pPr>
        <w:numPr>
          <w:ilvl w:val="0"/>
          <w:numId w:val="15"/>
        </w:numPr>
        <w:ind w:left="1080"/>
        <w:jc w:val="both"/>
        <w:rPr>
          <w:sz w:val="22"/>
          <w:szCs w:val="22"/>
        </w:rPr>
      </w:pPr>
      <w:r w:rsidRPr="0021267A">
        <w:rPr>
          <w:sz w:val="22"/>
          <w:szCs w:val="22"/>
        </w:rPr>
        <w:t>Visual Basic (informatica)</w:t>
      </w:r>
    </w:p>
    <w:p w:rsidR="00696C5E" w:rsidRPr="0021267A" w:rsidRDefault="00696C5E" w:rsidP="006B6D92">
      <w:pPr>
        <w:numPr>
          <w:ilvl w:val="0"/>
          <w:numId w:val="15"/>
        </w:numPr>
        <w:ind w:left="1080"/>
        <w:jc w:val="both"/>
        <w:rPr>
          <w:sz w:val="22"/>
          <w:szCs w:val="22"/>
        </w:rPr>
      </w:pPr>
      <w:proofErr w:type="spellStart"/>
      <w:r w:rsidRPr="0021267A">
        <w:rPr>
          <w:sz w:val="22"/>
          <w:szCs w:val="22"/>
        </w:rPr>
        <w:t>Drupal</w:t>
      </w:r>
      <w:proofErr w:type="spellEnd"/>
      <w:r w:rsidRPr="0021267A">
        <w:rPr>
          <w:sz w:val="22"/>
          <w:szCs w:val="22"/>
        </w:rPr>
        <w:t xml:space="preserve"> sites maken en beheren (informatica)</w:t>
      </w:r>
    </w:p>
    <w:p w:rsidR="00696C5E" w:rsidRPr="0021267A" w:rsidRDefault="00696C5E" w:rsidP="006B6D92">
      <w:pPr>
        <w:numPr>
          <w:ilvl w:val="0"/>
          <w:numId w:val="15"/>
        </w:numPr>
        <w:ind w:left="1080"/>
        <w:jc w:val="both"/>
        <w:rPr>
          <w:sz w:val="22"/>
          <w:szCs w:val="22"/>
        </w:rPr>
      </w:pPr>
      <w:r w:rsidRPr="0021267A">
        <w:rPr>
          <w:sz w:val="22"/>
          <w:szCs w:val="22"/>
        </w:rPr>
        <w:t>MS Office 2013 (</w:t>
      </w:r>
      <w:proofErr w:type="spellStart"/>
      <w:r w:rsidRPr="0021267A">
        <w:rPr>
          <w:sz w:val="22"/>
          <w:szCs w:val="22"/>
        </w:rPr>
        <w:t>bureautica</w:t>
      </w:r>
      <w:proofErr w:type="spellEnd"/>
      <w:r w:rsidRPr="0021267A">
        <w:rPr>
          <w:sz w:val="22"/>
          <w:szCs w:val="22"/>
        </w:rPr>
        <w:t>)</w:t>
      </w:r>
    </w:p>
    <w:p w:rsidR="00696C5E" w:rsidRPr="0021267A" w:rsidRDefault="00696C5E" w:rsidP="006B6D92">
      <w:pPr>
        <w:numPr>
          <w:ilvl w:val="0"/>
          <w:numId w:val="15"/>
        </w:numPr>
        <w:ind w:left="1080"/>
        <w:jc w:val="both"/>
        <w:rPr>
          <w:sz w:val="22"/>
          <w:szCs w:val="22"/>
        </w:rPr>
      </w:pPr>
      <w:r w:rsidRPr="0021267A">
        <w:rPr>
          <w:sz w:val="22"/>
          <w:szCs w:val="22"/>
        </w:rPr>
        <w:t xml:space="preserve">Elektrotechniek </w:t>
      </w:r>
    </w:p>
    <w:p w:rsidR="00696C5E" w:rsidRPr="0021267A" w:rsidRDefault="00696C5E" w:rsidP="006B6D92">
      <w:pPr>
        <w:numPr>
          <w:ilvl w:val="0"/>
          <w:numId w:val="15"/>
        </w:numPr>
        <w:ind w:left="1080"/>
        <w:jc w:val="both"/>
        <w:rPr>
          <w:sz w:val="22"/>
          <w:szCs w:val="22"/>
        </w:rPr>
      </w:pPr>
      <w:r>
        <w:rPr>
          <w:sz w:val="22"/>
          <w:szCs w:val="22"/>
        </w:rPr>
        <w:t>Woondecoratie</w:t>
      </w:r>
    </w:p>
    <w:p w:rsidR="00696C5E" w:rsidRPr="0021267A" w:rsidRDefault="00696C5E" w:rsidP="006B6D92">
      <w:pPr>
        <w:numPr>
          <w:ilvl w:val="0"/>
          <w:numId w:val="15"/>
        </w:numPr>
        <w:ind w:left="1080"/>
        <w:jc w:val="both"/>
        <w:rPr>
          <w:sz w:val="22"/>
          <w:szCs w:val="22"/>
        </w:rPr>
      </w:pPr>
      <w:r>
        <w:rPr>
          <w:sz w:val="22"/>
          <w:szCs w:val="22"/>
        </w:rPr>
        <w:t>Balansanalyse</w:t>
      </w:r>
    </w:p>
    <w:p w:rsidR="00696C5E" w:rsidRPr="0021267A" w:rsidRDefault="00696C5E" w:rsidP="006B6D92">
      <w:pPr>
        <w:numPr>
          <w:ilvl w:val="0"/>
          <w:numId w:val="15"/>
        </w:numPr>
        <w:ind w:left="1080"/>
        <w:jc w:val="both"/>
        <w:rPr>
          <w:sz w:val="22"/>
          <w:szCs w:val="22"/>
        </w:rPr>
      </w:pPr>
      <w:r w:rsidRPr="0021267A">
        <w:rPr>
          <w:sz w:val="22"/>
          <w:szCs w:val="22"/>
        </w:rPr>
        <w:t>Conflicth</w:t>
      </w:r>
      <w:r>
        <w:rPr>
          <w:sz w:val="22"/>
          <w:szCs w:val="22"/>
        </w:rPr>
        <w:t>antering</w:t>
      </w:r>
    </w:p>
    <w:p w:rsidR="00696C5E" w:rsidRDefault="00696C5E" w:rsidP="006B6D92">
      <w:pPr>
        <w:jc w:val="both"/>
        <w:rPr>
          <w:sz w:val="22"/>
          <w:szCs w:val="22"/>
        </w:rPr>
      </w:pPr>
    </w:p>
    <w:p w:rsidR="00696C5E" w:rsidRPr="00D91AE0" w:rsidRDefault="00D91AE0" w:rsidP="006B6D92">
      <w:pPr>
        <w:ind w:left="426" w:hanging="426"/>
        <w:jc w:val="both"/>
        <w:rPr>
          <w:sz w:val="22"/>
          <w:szCs w:val="22"/>
        </w:rPr>
      </w:pPr>
      <w:r>
        <w:rPr>
          <w:sz w:val="22"/>
          <w:szCs w:val="22"/>
        </w:rPr>
        <w:t>9.</w:t>
      </w:r>
      <w:r w:rsidR="006B6D92">
        <w:rPr>
          <w:sz w:val="22"/>
          <w:szCs w:val="22"/>
        </w:rPr>
        <w:tab/>
      </w:r>
      <w:proofErr w:type="spellStart"/>
      <w:r w:rsidR="00696C5E" w:rsidRPr="00D91AE0">
        <w:rPr>
          <w:sz w:val="22"/>
          <w:szCs w:val="22"/>
        </w:rPr>
        <w:t>Webleren</w:t>
      </w:r>
      <w:proofErr w:type="spellEnd"/>
      <w:r w:rsidR="00696C5E" w:rsidRPr="00D91AE0">
        <w:rPr>
          <w:sz w:val="22"/>
          <w:szCs w:val="22"/>
        </w:rPr>
        <w:t xml:space="preserve"> is een belangrijk onderdeel van levenslang leren. Het biedt mensen de kans om wanneer het voor hen het beste uitkomt zich bij te scholen en gericht hun competenties te versterken. Hierbij is een ruim aanbod essentieel om een brede doelgroep te kunnen benaderen. De komende jaren wil VDAB daarom versterkt inzetten op:</w:t>
      </w:r>
    </w:p>
    <w:p w:rsidR="00696C5E" w:rsidRPr="00642B21" w:rsidRDefault="00696C5E" w:rsidP="00696C5E">
      <w:pPr>
        <w:numPr>
          <w:ilvl w:val="0"/>
          <w:numId w:val="13"/>
        </w:numPr>
        <w:rPr>
          <w:sz w:val="22"/>
          <w:szCs w:val="22"/>
        </w:rPr>
      </w:pPr>
      <w:r w:rsidRPr="00642B21">
        <w:rPr>
          <w:sz w:val="22"/>
          <w:szCs w:val="22"/>
        </w:rPr>
        <w:t>PC- en internettoepassingen</w:t>
      </w:r>
    </w:p>
    <w:p w:rsidR="00696C5E" w:rsidRPr="00642B21" w:rsidRDefault="008226F6" w:rsidP="00696C5E">
      <w:pPr>
        <w:numPr>
          <w:ilvl w:val="0"/>
          <w:numId w:val="13"/>
        </w:numPr>
        <w:rPr>
          <w:sz w:val="22"/>
          <w:szCs w:val="22"/>
        </w:rPr>
      </w:pPr>
      <w:r>
        <w:rPr>
          <w:sz w:val="22"/>
          <w:szCs w:val="22"/>
        </w:rPr>
        <w:t>taalopleidingen</w:t>
      </w:r>
    </w:p>
    <w:p w:rsidR="00696C5E" w:rsidRPr="00642B21" w:rsidRDefault="00696C5E" w:rsidP="00696C5E">
      <w:pPr>
        <w:numPr>
          <w:ilvl w:val="0"/>
          <w:numId w:val="13"/>
        </w:numPr>
        <w:rPr>
          <w:sz w:val="22"/>
          <w:szCs w:val="22"/>
        </w:rPr>
      </w:pPr>
      <w:r w:rsidRPr="00642B21">
        <w:rPr>
          <w:sz w:val="22"/>
          <w:szCs w:val="22"/>
        </w:rPr>
        <w:t>arbeidsmarktattitudes of sociale vaardigheden</w:t>
      </w:r>
    </w:p>
    <w:p w:rsidR="00696C5E" w:rsidRPr="00642B21" w:rsidRDefault="00696C5E" w:rsidP="00696C5E">
      <w:pPr>
        <w:numPr>
          <w:ilvl w:val="0"/>
          <w:numId w:val="13"/>
        </w:numPr>
        <w:rPr>
          <w:sz w:val="22"/>
          <w:szCs w:val="22"/>
        </w:rPr>
      </w:pPr>
      <w:r w:rsidRPr="00642B21">
        <w:rPr>
          <w:sz w:val="22"/>
          <w:szCs w:val="22"/>
        </w:rPr>
        <w:t>meer industrietechnische inhouden</w:t>
      </w:r>
    </w:p>
    <w:p w:rsidR="00696C5E" w:rsidRDefault="00696C5E" w:rsidP="006B6D92">
      <w:pPr>
        <w:ind w:left="426"/>
        <w:jc w:val="both"/>
        <w:rPr>
          <w:sz w:val="22"/>
          <w:szCs w:val="22"/>
        </w:rPr>
      </w:pPr>
      <w:r w:rsidRPr="00642B21">
        <w:rPr>
          <w:sz w:val="22"/>
          <w:szCs w:val="22"/>
        </w:rPr>
        <w:t>Uitbreiding, uitdieping en updating van dit aanbod is een permanente opdracht om bij te blijven met de fluctuerende opleidingsbehoeften van de arbeidsmarkt en de webcursisten.</w:t>
      </w:r>
      <w:r>
        <w:rPr>
          <w:sz w:val="22"/>
          <w:szCs w:val="22"/>
        </w:rPr>
        <w:t xml:space="preserve"> VDAB speurt dan ook actief naar niches die de arbeidsmarkt met aandrang vraagt. Daarnaast wordt ook ingezet op het ondersteunen van bepaalde kansengroepen door het specifieke cursusmateriaal aan te passen aan hun noden. Zo wordt het cursusmateriaal voor allochtonen bijvoorbeeld aangemaakt door vakspecialisten uit NT2. </w:t>
      </w:r>
    </w:p>
    <w:sectPr w:rsidR="00696C5E" w:rsidSect="006B6D92">
      <w:type w:val="continuous"/>
      <w:pgSz w:w="11906" w:h="16838"/>
      <w:pgMar w:top="1418" w:right="1418" w:bottom="1418" w:left="1418" w:header="709" w:footer="709"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5336"/>
    <w:multiLevelType w:val="hybridMultilevel"/>
    <w:tmpl w:val="EB5CCF7C"/>
    <w:lvl w:ilvl="0" w:tplc="E96ED37C">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nsid w:val="0F9E42DA"/>
    <w:multiLevelType w:val="hybridMultilevel"/>
    <w:tmpl w:val="BE487FFA"/>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nsid w:val="1116257B"/>
    <w:multiLevelType w:val="hybridMultilevel"/>
    <w:tmpl w:val="34A6451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6E92EED"/>
    <w:multiLevelType w:val="hybridMultilevel"/>
    <w:tmpl w:val="A9C6884E"/>
    <w:lvl w:ilvl="0" w:tplc="0A9AF14C">
      <w:start w:val="2"/>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
    <w:nsid w:val="19714356"/>
    <w:multiLevelType w:val="multilevel"/>
    <w:tmpl w:val="05FAB57E"/>
    <w:lvl w:ilvl="0">
      <w:start w:val="4"/>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97F5E8C"/>
    <w:multiLevelType w:val="hybridMultilevel"/>
    <w:tmpl w:val="C5CA561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1A1C639E"/>
    <w:multiLevelType w:val="hybridMultilevel"/>
    <w:tmpl w:val="267EFE02"/>
    <w:lvl w:ilvl="0" w:tplc="B5C60B3C">
      <w:start w:val="5"/>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1B570B5B"/>
    <w:multiLevelType w:val="hybridMultilevel"/>
    <w:tmpl w:val="86586AF4"/>
    <w:lvl w:ilvl="0" w:tplc="0813000F">
      <w:start w:val="9"/>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22C50D87"/>
    <w:multiLevelType w:val="multilevel"/>
    <w:tmpl w:val="030E9A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2DDE65B2"/>
    <w:multiLevelType w:val="hybridMultilevel"/>
    <w:tmpl w:val="54549F18"/>
    <w:lvl w:ilvl="0" w:tplc="3D5C3DBC">
      <w:start w:val="1"/>
      <w:numFmt w:val="lowerLetter"/>
      <w:lvlText w:val="%1)"/>
      <w:lvlJc w:val="left"/>
      <w:pPr>
        <w:tabs>
          <w:tab w:val="num" w:pos="720"/>
        </w:tabs>
        <w:ind w:left="720" w:hanging="360"/>
      </w:pPr>
      <w:rPr>
        <w:rFonts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3055706C"/>
    <w:multiLevelType w:val="hybridMultilevel"/>
    <w:tmpl w:val="76261E8C"/>
    <w:lvl w:ilvl="0" w:tplc="04130001">
      <w:start w:val="1"/>
      <w:numFmt w:val="bullet"/>
      <w:lvlText w:val=""/>
      <w:lvlJc w:val="left"/>
      <w:pPr>
        <w:tabs>
          <w:tab w:val="num" w:pos="786"/>
        </w:tabs>
        <w:ind w:left="786" w:hanging="360"/>
      </w:pPr>
      <w:rPr>
        <w:rFonts w:ascii="Symbol" w:hAnsi="Symbol" w:hint="default"/>
      </w:rPr>
    </w:lvl>
    <w:lvl w:ilvl="1" w:tplc="04130003" w:tentative="1">
      <w:start w:val="1"/>
      <w:numFmt w:val="bullet"/>
      <w:lvlText w:val="o"/>
      <w:lvlJc w:val="left"/>
      <w:pPr>
        <w:tabs>
          <w:tab w:val="num" w:pos="1506"/>
        </w:tabs>
        <w:ind w:left="1506" w:hanging="360"/>
      </w:pPr>
      <w:rPr>
        <w:rFonts w:ascii="Courier New" w:hAnsi="Courier New" w:hint="default"/>
      </w:rPr>
    </w:lvl>
    <w:lvl w:ilvl="2" w:tplc="04130005" w:tentative="1">
      <w:start w:val="1"/>
      <w:numFmt w:val="bullet"/>
      <w:lvlText w:val=""/>
      <w:lvlJc w:val="left"/>
      <w:pPr>
        <w:tabs>
          <w:tab w:val="num" w:pos="2226"/>
        </w:tabs>
        <w:ind w:left="2226" w:hanging="360"/>
      </w:pPr>
      <w:rPr>
        <w:rFonts w:ascii="Wingdings" w:hAnsi="Wingdings" w:hint="default"/>
      </w:rPr>
    </w:lvl>
    <w:lvl w:ilvl="3" w:tplc="04130001" w:tentative="1">
      <w:start w:val="1"/>
      <w:numFmt w:val="bullet"/>
      <w:lvlText w:val=""/>
      <w:lvlJc w:val="left"/>
      <w:pPr>
        <w:tabs>
          <w:tab w:val="num" w:pos="2946"/>
        </w:tabs>
        <w:ind w:left="2946" w:hanging="360"/>
      </w:pPr>
      <w:rPr>
        <w:rFonts w:ascii="Symbol" w:hAnsi="Symbol" w:hint="default"/>
      </w:rPr>
    </w:lvl>
    <w:lvl w:ilvl="4" w:tplc="04130003" w:tentative="1">
      <w:start w:val="1"/>
      <w:numFmt w:val="bullet"/>
      <w:lvlText w:val="o"/>
      <w:lvlJc w:val="left"/>
      <w:pPr>
        <w:tabs>
          <w:tab w:val="num" w:pos="3666"/>
        </w:tabs>
        <w:ind w:left="3666" w:hanging="360"/>
      </w:pPr>
      <w:rPr>
        <w:rFonts w:ascii="Courier New" w:hAnsi="Courier New" w:hint="default"/>
      </w:rPr>
    </w:lvl>
    <w:lvl w:ilvl="5" w:tplc="04130005" w:tentative="1">
      <w:start w:val="1"/>
      <w:numFmt w:val="bullet"/>
      <w:lvlText w:val=""/>
      <w:lvlJc w:val="left"/>
      <w:pPr>
        <w:tabs>
          <w:tab w:val="num" w:pos="4386"/>
        </w:tabs>
        <w:ind w:left="4386" w:hanging="360"/>
      </w:pPr>
      <w:rPr>
        <w:rFonts w:ascii="Wingdings" w:hAnsi="Wingdings" w:hint="default"/>
      </w:rPr>
    </w:lvl>
    <w:lvl w:ilvl="6" w:tplc="04130001" w:tentative="1">
      <w:start w:val="1"/>
      <w:numFmt w:val="bullet"/>
      <w:lvlText w:val=""/>
      <w:lvlJc w:val="left"/>
      <w:pPr>
        <w:tabs>
          <w:tab w:val="num" w:pos="5106"/>
        </w:tabs>
        <w:ind w:left="5106" w:hanging="360"/>
      </w:pPr>
      <w:rPr>
        <w:rFonts w:ascii="Symbol" w:hAnsi="Symbol" w:hint="default"/>
      </w:rPr>
    </w:lvl>
    <w:lvl w:ilvl="7" w:tplc="04130003" w:tentative="1">
      <w:start w:val="1"/>
      <w:numFmt w:val="bullet"/>
      <w:lvlText w:val="o"/>
      <w:lvlJc w:val="left"/>
      <w:pPr>
        <w:tabs>
          <w:tab w:val="num" w:pos="5826"/>
        </w:tabs>
        <w:ind w:left="5826" w:hanging="360"/>
      </w:pPr>
      <w:rPr>
        <w:rFonts w:ascii="Courier New" w:hAnsi="Courier New" w:hint="default"/>
      </w:rPr>
    </w:lvl>
    <w:lvl w:ilvl="8" w:tplc="04130005" w:tentative="1">
      <w:start w:val="1"/>
      <w:numFmt w:val="bullet"/>
      <w:lvlText w:val=""/>
      <w:lvlJc w:val="left"/>
      <w:pPr>
        <w:tabs>
          <w:tab w:val="num" w:pos="6546"/>
        </w:tabs>
        <w:ind w:left="6546" w:hanging="360"/>
      </w:pPr>
      <w:rPr>
        <w:rFonts w:ascii="Wingdings" w:hAnsi="Wingdings" w:hint="default"/>
      </w:rPr>
    </w:lvl>
  </w:abstractNum>
  <w:abstractNum w:abstractNumId="11">
    <w:nsid w:val="310250C4"/>
    <w:multiLevelType w:val="hybridMultilevel"/>
    <w:tmpl w:val="13CA7C06"/>
    <w:lvl w:ilvl="0" w:tplc="0813000F">
      <w:start w:val="8"/>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321E556F"/>
    <w:multiLevelType w:val="hybridMultilevel"/>
    <w:tmpl w:val="98D0FB40"/>
    <w:lvl w:ilvl="0" w:tplc="0813000F">
      <w:start w:val="8"/>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41562FE7"/>
    <w:multiLevelType w:val="hybridMultilevel"/>
    <w:tmpl w:val="5D1A213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nsid w:val="55A31EB7"/>
    <w:multiLevelType w:val="hybridMultilevel"/>
    <w:tmpl w:val="B8A63BD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nsid w:val="57E66E07"/>
    <w:multiLevelType w:val="hybridMultilevel"/>
    <w:tmpl w:val="ADBA3EF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5EFA6738"/>
    <w:multiLevelType w:val="hybridMultilevel"/>
    <w:tmpl w:val="030E9A5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7">
    <w:nsid w:val="63AF6D2C"/>
    <w:multiLevelType w:val="hybridMultilevel"/>
    <w:tmpl w:val="8EC6DD6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nsid w:val="72336183"/>
    <w:multiLevelType w:val="hybridMultilevel"/>
    <w:tmpl w:val="54A818A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75273D11"/>
    <w:multiLevelType w:val="hybridMultilevel"/>
    <w:tmpl w:val="FFACED1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7CD53B2A"/>
    <w:multiLevelType w:val="hybridMultilevel"/>
    <w:tmpl w:val="D0DE4E02"/>
    <w:lvl w:ilvl="0" w:tplc="0813000F">
      <w:start w:val="8"/>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2"/>
  </w:num>
  <w:num w:numId="5">
    <w:abstractNumId w:val="16"/>
  </w:num>
  <w:num w:numId="6">
    <w:abstractNumId w:val="8"/>
  </w:num>
  <w:num w:numId="7">
    <w:abstractNumId w:val="6"/>
  </w:num>
  <w:num w:numId="8">
    <w:abstractNumId w:val="13"/>
  </w:num>
  <w:num w:numId="9">
    <w:abstractNumId w:val="17"/>
  </w:num>
  <w:num w:numId="10">
    <w:abstractNumId w:val="19"/>
  </w:num>
  <w:num w:numId="11">
    <w:abstractNumId w:val="9"/>
  </w:num>
  <w:num w:numId="12">
    <w:abstractNumId w:val="18"/>
  </w:num>
  <w:num w:numId="13">
    <w:abstractNumId w:val="10"/>
  </w:num>
  <w:num w:numId="14">
    <w:abstractNumId w:val="15"/>
  </w:num>
  <w:num w:numId="15">
    <w:abstractNumId w:val="5"/>
  </w:num>
  <w:num w:numId="16">
    <w:abstractNumId w:val="12"/>
  </w:num>
  <w:num w:numId="17">
    <w:abstractNumId w:val="11"/>
  </w:num>
  <w:num w:numId="18">
    <w:abstractNumId w:val="20"/>
  </w:num>
  <w:num w:numId="19">
    <w:abstractNumId w:val="7"/>
  </w:num>
  <w:num w:numId="20">
    <w:abstractNumId w:val="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57"/>
    <w:rsid w:val="000017C9"/>
    <w:rsid w:val="00031286"/>
    <w:rsid w:val="000610CE"/>
    <w:rsid w:val="00132BD7"/>
    <w:rsid w:val="001418EC"/>
    <w:rsid w:val="00165725"/>
    <w:rsid w:val="001A5B8A"/>
    <w:rsid w:val="001D5CC3"/>
    <w:rsid w:val="002173F0"/>
    <w:rsid w:val="00232BC7"/>
    <w:rsid w:val="002775A9"/>
    <w:rsid w:val="00291A76"/>
    <w:rsid w:val="002C779D"/>
    <w:rsid w:val="00321752"/>
    <w:rsid w:val="00342E5D"/>
    <w:rsid w:val="00410225"/>
    <w:rsid w:val="00415488"/>
    <w:rsid w:val="00462E13"/>
    <w:rsid w:val="00463D2B"/>
    <w:rsid w:val="00482870"/>
    <w:rsid w:val="00484404"/>
    <w:rsid w:val="00492D21"/>
    <w:rsid w:val="00496B5B"/>
    <w:rsid w:val="004B1659"/>
    <w:rsid w:val="004C2492"/>
    <w:rsid w:val="005628FF"/>
    <w:rsid w:val="00572E3E"/>
    <w:rsid w:val="005F2C80"/>
    <w:rsid w:val="0064100C"/>
    <w:rsid w:val="00656FB5"/>
    <w:rsid w:val="006632DE"/>
    <w:rsid w:val="0068216A"/>
    <w:rsid w:val="006918D8"/>
    <w:rsid w:val="00696243"/>
    <w:rsid w:val="00696C5E"/>
    <w:rsid w:val="006A4CA8"/>
    <w:rsid w:val="006B6D92"/>
    <w:rsid w:val="006B7FCC"/>
    <w:rsid w:val="006D3CE8"/>
    <w:rsid w:val="006D4450"/>
    <w:rsid w:val="006F477D"/>
    <w:rsid w:val="00707498"/>
    <w:rsid w:val="00710414"/>
    <w:rsid w:val="00734FDE"/>
    <w:rsid w:val="00753CC6"/>
    <w:rsid w:val="007613B5"/>
    <w:rsid w:val="008226F6"/>
    <w:rsid w:val="008906D6"/>
    <w:rsid w:val="008E60A9"/>
    <w:rsid w:val="008F18E6"/>
    <w:rsid w:val="009373D7"/>
    <w:rsid w:val="009A3970"/>
    <w:rsid w:val="009C0FF4"/>
    <w:rsid w:val="009D7514"/>
    <w:rsid w:val="00A27757"/>
    <w:rsid w:val="00A75778"/>
    <w:rsid w:val="00A76C9C"/>
    <w:rsid w:val="00AA4E03"/>
    <w:rsid w:val="00AB563F"/>
    <w:rsid w:val="00B27878"/>
    <w:rsid w:val="00B33C6C"/>
    <w:rsid w:val="00B373A0"/>
    <w:rsid w:val="00B97686"/>
    <w:rsid w:val="00BE4E09"/>
    <w:rsid w:val="00CB3A85"/>
    <w:rsid w:val="00D0429D"/>
    <w:rsid w:val="00D06542"/>
    <w:rsid w:val="00D15FE9"/>
    <w:rsid w:val="00D169B0"/>
    <w:rsid w:val="00D6129C"/>
    <w:rsid w:val="00D91AE0"/>
    <w:rsid w:val="00DF0323"/>
    <w:rsid w:val="00DF0EAA"/>
    <w:rsid w:val="00E13E2E"/>
    <w:rsid w:val="00E37C52"/>
    <w:rsid w:val="00E7231E"/>
    <w:rsid w:val="00E90545"/>
    <w:rsid w:val="00EB1EE1"/>
    <w:rsid w:val="00EC7346"/>
    <w:rsid w:val="00ED0183"/>
    <w:rsid w:val="00EE0092"/>
    <w:rsid w:val="00F6262A"/>
    <w:rsid w:val="00F95777"/>
    <w:rsid w:val="00FD2B0C"/>
    <w:rsid w:val="00FF053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696C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696C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758">
      <w:bodyDiv w:val="1"/>
      <w:marLeft w:val="0"/>
      <w:marRight w:val="0"/>
      <w:marTop w:val="0"/>
      <w:marBottom w:val="0"/>
      <w:divBdr>
        <w:top w:val="none" w:sz="0" w:space="0" w:color="auto"/>
        <w:left w:val="none" w:sz="0" w:space="0" w:color="auto"/>
        <w:bottom w:val="none" w:sz="0" w:space="0" w:color="auto"/>
        <w:right w:val="none" w:sz="0" w:space="0" w:color="auto"/>
      </w:divBdr>
    </w:div>
    <w:div w:id="129060475">
      <w:bodyDiv w:val="1"/>
      <w:marLeft w:val="0"/>
      <w:marRight w:val="0"/>
      <w:marTop w:val="0"/>
      <w:marBottom w:val="0"/>
      <w:divBdr>
        <w:top w:val="none" w:sz="0" w:space="0" w:color="auto"/>
        <w:left w:val="none" w:sz="0" w:space="0" w:color="auto"/>
        <w:bottom w:val="none" w:sz="0" w:space="0" w:color="auto"/>
        <w:right w:val="none" w:sz="0" w:space="0" w:color="auto"/>
      </w:divBdr>
    </w:div>
    <w:div w:id="133303549">
      <w:bodyDiv w:val="1"/>
      <w:marLeft w:val="0"/>
      <w:marRight w:val="0"/>
      <w:marTop w:val="0"/>
      <w:marBottom w:val="0"/>
      <w:divBdr>
        <w:top w:val="none" w:sz="0" w:space="0" w:color="auto"/>
        <w:left w:val="none" w:sz="0" w:space="0" w:color="auto"/>
        <w:bottom w:val="none" w:sz="0" w:space="0" w:color="auto"/>
        <w:right w:val="none" w:sz="0" w:space="0" w:color="auto"/>
      </w:divBdr>
    </w:div>
    <w:div w:id="588274477">
      <w:bodyDiv w:val="1"/>
      <w:marLeft w:val="0"/>
      <w:marRight w:val="0"/>
      <w:marTop w:val="0"/>
      <w:marBottom w:val="0"/>
      <w:divBdr>
        <w:top w:val="none" w:sz="0" w:space="0" w:color="auto"/>
        <w:left w:val="none" w:sz="0" w:space="0" w:color="auto"/>
        <w:bottom w:val="none" w:sz="0" w:space="0" w:color="auto"/>
        <w:right w:val="none" w:sz="0" w:space="0" w:color="auto"/>
      </w:divBdr>
    </w:div>
    <w:div w:id="700476357">
      <w:bodyDiv w:val="1"/>
      <w:marLeft w:val="0"/>
      <w:marRight w:val="0"/>
      <w:marTop w:val="0"/>
      <w:marBottom w:val="0"/>
      <w:divBdr>
        <w:top w:val="none" w:sz="0" w:space="0" w:color="auto"/>
        <w:left w:val="none" w:sz="0" w:space="0" w:color="auto"/>
        <w:bottom w:val="none" w:sz="0" w:space="0" w:color="auto"/>
        <w:right w:val="none" w:sz="0" w:space="0" w:color="auto"/>
      </w:divBdr>
    </w:div>
    <w:div w:id="1146046651">
      <w:bodyDiv w:val="1"/>
      <w:marLeft w:val="0"/>
      <w:marRight w:val="0"/>
      <w:marTop w:val="0"/>
      <w:marBottom w:val="0"/>
      <w:divBdr>
        <w:top w:val="none" w:sz="0" w:space="0" w:color="auto"/>
        <w:left w:val="none" w:sz="0" w:space="0" w:color="auto"/>
        <w:bottom w:val="none" w:sz="0" w:space="0" w:color="auto"/>
        <w:right w:val="none" w:sz="0" w:space="0" w:color="auto"/>
      </w:divBdr>
    </w:div>
    <w:div w:id="1488590396">
      <w:bodyDiv w:val="1"/>
      <w:marLeft w:val="0"/>
      <w:marRight w:val="0"/>
      <w:marTop w:val="0"/>
      <w:marBottom w:val="0"/>
      <w:divBdr>
        <w:top w:val="none" w:sz="0" w:space="0" w:color="auto"/>
        <w:left w:val="none" w:sz="0" w:space="0" w:color="auto"/>
        <w:bottom w:val="none" w:sz="0" w:space="0" w:color="auto"/>
        <w:right w:val="none" w:sz="0" w:space="0" w:color="auto"/>
      </w:divBdr>
    </w:div>
    <w:div w:id="1569069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F7AD06E6974DD5A732B14EE779DC2F"/>
        <w:category>
          <w:name w:val="General"/>
          <w:gallery w:val="placeholder"/>
        </w:category>
        <w:types>
          <w:type w:val="bbPlcHdr"/>
        </w:types>
        <w:behaviors>
          <w:behavior w:val="content"/>
        </w:behaviors>
        <w:guid w:val="{E234C10F-F7C1-4746-BB82-E221267763BA}"/>
      </w:docPartPr>
      <w:docPartBody>
        <w:p w:rsidR="006A2164" w:rsidRDefault="00C57AC2" w:rsidP="00C57AC2">
          <w:pPr>
            <w:pStyle w:val="4EF7AD06E6974DD5A732B14EE779DC2F"/>
          </w:pPr>
          <w:r w:rsidRPr="00EE3186">
            <w:rPr>
              <w:rStyle w:val="Tekstvantijdelijkeaanduiding"/>
            </w:rPr>
            <w:t>[Vraagnummer]</w:t>
          </w:r>
        </w:p>
      </w:docPartBody>
    </w:docPart>
    <w:docPart>
      <w:docPartPr>
        <w:name w:val="C6F539677CDF42EFA4B395BAC17B775D"/>
        <w:category>
          <w:name w:val="General"/>
          <w:gallery w:val="placeholder"/>
        </w:category>
        <w:types>
          <w:type w:val="bbPlcHdr"/>
        </w:types>
        <w:behaviors>
          <w:behavior w:val="content"/>
        </w:behaviors>
        <w:guid w:val="{A9637304-9FC3-47B0-8863-6C059E714B15}"/>
      </w:docPartPr>
      <w:docPartBody>
        <w:p w:rsidR="006A2164" w:rsidRDefault="00C57AC2" w:rsidP="00C57AC2">
          <w:pPr>
            <w:pStyle w:val="C6F539677CDF42EFA4B395BAC17B775D"/>
          </w:pPr>
          <w:r w:rsidRPr="00EE3186">
            <w:rPr>
              <w:rStyle w:val="Tekstvantijdelijkeaanduiding"/>
            </w:rPr>
            <w:t>[Parlementair]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5F7776"/>
    <w:rsid w:val="00040385"/>
    <w:rsid w:val="00051495"/>
    <w:rsid w:val="00103CA4"/>
    <w:rsid w:val="002A3787"/>
    <w:rsid w:val="00317C8C"/>
    <w:rsid w:val="003D53FC"/>
    <w:rsid w:val="005010C0"/>
    <w:rsid w:val="00535D1C"/>
    <w:rsid w:val="005F7776"/>
    <w:rsid w:val="0060158A"/>
    <w:rsid w:val="006A2164"/>
    <w:rsid w:val="00723526"/>
    <w:rsid w:val="00755DDF"/>
    <w:rsid w:val="007A3F77"/>
    <w:rsid w:val="00840383"/>
    <w:rsid w:val="00842C2E"/>
    <w:rsid w:val="00857F16"/>
    <w:rsid w:val="00896769"/>
    <w:rsid w:val="00955364"/>
    <w:rsid w:val="00A86254"/>
    <w:rsid w:val="00B91F8D"/>
    <w:rsid w:val="00C57AC2"/>
    <w:rsid w:val="00E3712F"/>
    <w:rsid w:val="00F4742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10C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03CA4"/>
    <w:rPr>
      <w:color w:val="808080"/>
    </w:rPr>
  </w:style>
  <w:style w:type="paragraph" w:customStyle="1" w:styleId="CE4FF53873DA43FDAC35D674437D6250">
    <w:name w:val="CE4FF53873DA43FDAC35D674437D6250"/>
    <w:rsid w:val="005010C0"/>
  </w:style>
  <w:style w:type="paragraph" w:customStyle="1" w:styleId="27E3C382D8D14201B7342A660457AEF8">
    <w:name w:val="27E3C382D8D14201B7342A660457AEF8"/>
    <w:rsid w:val="005010C0"/>
  </w:style>
  <w:style w:type="paragraph" w:customStyle="1" w:styleId="F0470CEBDEE543F29923086AC198A34C">
    <w:name w:val="F0470CEBDEE543F29923086AC198A34C"/>
    <w:rsid w:val="005010C0"/>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itel_x0020_vraag xmlns="7a2e3783-fe9a-4a2f-bbf4-debb4ac58a5c">229 Webleren VDAB - Evolutie</Titel_x0020_vraag>
    <Vraagnummer xmlns="7a2e3783-fe9a-4a2f-bbf4-debb4ac58a5c">229</Vraagnummer>
    <DatumVraag xmlns="7a2e3783-fe9a-4a2f-bbf4-debb4ac58a5c">2013-01-07T23:00:00+00:00</DatumVraag>
    <DocumentSetDescription xmlns="http://schemas.microsoft.com/sharepoint/v3" xsi:nil="true"/>
    <Antwoord_x0020_vereist xmlns="7a2e3783-fe9a-4a2f-bbf4-debb4ac58a5c">2013-01-27T23:00:00+00:00</Antwoord_x0020_vereist>
    <la8087f2a9424c2586e7f3a9f367c2ee xmlns="7a2e3783-fe9a-4a2f-bbf4-debb4ac58a5c">
      <Terms xmlns="http://schemas.microsoft.com/office/infopath/2007/PartnerControls"/>
    </la8087f2a9424c2586e7f3a9f367c2ee>
    <Onderwerp_x0020_vraag xmlns="7a2e3783-fe9a-4a2f-bbf4-debb4ac58a5c">Webleren VDAB - Evolutie</Onderwerp_x0020_vraag>
    <TaxCatchAll xmlns="7a2e3783-fe9a-4a2f-bbf4-debb4ac58a5c"/>
    <Antwoordnummer xmlns="7a2e3783-fe9a-4a2f-bbf4-debb4ac58a5c">229</Antwoordnummer>
    <Extra_x0020_Behandelaars xmlns="7a2e3783-fe9a-4a2f-bbf4-debb4ac58a5c">
      <UserInfo>
        <DisplayName/>
        <AccountId xsi:nil="true"/>
        <AccountType/>
      </UserInfo>
    </Extra_x0020_Behandelaars>
    <Type_x0020_Document xmlns="7a2e3783-fe9a-4a2f-bbf4-debb4ac58a5c">
      <Value>Ontwerp van antwoord</Value>
      <Value>Parlementaire vragen</Value>
    </Type_x0020_Document>
    <Parlementair xmlns="7a2e3783-fe9a-4a2f-bbf4-debb4ac58a5c">robrecht bothyne</Parlementair>
    <Doorloopstatus xmlns="7a2e3783-fe9a-4a2f-bbf4-debb4ac58a5c">Beantwoord</Doorloopstatus>
    <Behandelaar xmlns="7a2e3783-fe9a-4a2f-bbf4-debb4ac58a5c">
      <UserInfo>
        <DisplayName>Bommerez, Lieselotte</DisplayName>
        <AccountId>108</AccountId>
        <AccountType/>
      </UserInfo>
    </Behandelaar>
    <Vraag_x0020_beantwoord xmlns="7a2e3783-fe9a-4a2f-bbf4-debb4ac58a5c">2013-01-24T12:27:50+00:00</Vraag_x0020_beantwoord>
    <TypeVraag xmlns="7a2e3783-fe9a-4a2f-bbf4-debb4ac58a5c">Schriftelijke Vraag</TypeVraag>
    <MinisterDomein xmlns="7a2e3783-fe9a-4a2f-bbf4-debb4ac58a5c">Werk</MinisterDomein>
    <DocSetId xmlns="ad923ab5-f988-4e82-b3fb-7226e10f9616">229</DocSetId>
    <Minister xmlns="ec82e040-88e9-4975-bc13-a42fab7bb9ce">1</Minister>
    <PVAfdeling xmlns="7a2e3783-fe9a-4a2f-bbf4-debb4ac58a5c">Werkgelegenheidsbeleid</PVAfdeling>
    <PVTeam xmlns="7a2e3783-fe9a-4a2f-bbf4-debb4ac58a5c">Competentiebeleid</PVTeam>
    <Historiek xmlns="7a2e3783-fe9a-4a2f-bbf4-debb4ac58a5c">Vraag aangemaakt door ALFA\backelle;08/01/2013 13:33:07;Bommerez, Lieselotte werd als behandelaar aangeduid;08/01/2013 15:11:41;De behandeling werd door Bommerez, Lieselotte geaccepteerd;09/01/2013 14:05:02;Behandeling werd afgerond door Bommerez, Lieselotte;24/01/2013 13:09:35;Het antwoord werd goedgekeurd;24/01/2013 13:27:50;</Historiek>
    <MinisterAlleDomeinen xmlns="7a2e3783-fe9a-4a2f-bbf4-debb4ac58a5c">Financiën, Begroting, Werk, Ruimtelijke Ordening en Sport</MinisterAlleDomeinen>
    <Extern_x0020_Agentschap xmlns="ad923ab5-f988-4e82-b3fb-7226e10f9616">1</Extern_x0020_Agentscha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Antwoord Parlementaire Vraag SV" ma:contentTypeID="0x010100988F5A92209A7C4FB064E8E0C9EC2A950604008CDD6A19FACFF3488C10A50D6D938897" ma:contentTypeVersion="9" ma:contentTypeDescription="Schriftelijke vraag met koppeling van andere template." ma:contentTypeScope="" ma:versionID="ed6840437db0d4efc656493ea58811ef">
  <xsd:schema xmlns:xsd="http://www.w3.org/2001/XMLSchema" xmlns:xs="http://www.w3.org/2001/XMLSchema" xmlns:p="http://schemas.microsoft.com/office/2006/metadata/properties" xmlns:ns1="http://schemas.microsoft.com/sharepoint/v3" xmlns:ns2="7a2e3783-fe9a-4a2f-bbf4-debb4ac58a5c" xmlns:ns3="ad923ab5-f988-4e82-b3fb-7226e10f9616" xmlns:ns4="ec82e040-88e9-4975-bc13-a42fab7bb9ce" targetNamespace="http://schemas.microsoft.com/office/2006/metadata/properties" ma:root="true" ma:fieldsID="206cc9eb33b325e3fff7e8b827dda1d9" ns1:_="" ns2:_="" ns3:_="" ns4:_="">
    <xsd:import namespace="http://schemas.microsoft.com/sharepoint/v3"/>
    <xsd:import namespace="7a2e3783-fe9a-4a2f-bbf4-debb4ac58a5c"/>
    <xsd:import namespace="ad923ab5-f988-4e82-b3fb-7226e10f9616"/>
    <xsd:import namespace="ec82e040-88e9-4975-bc13-a42fab7bb9ce"/>
    <xsd:element name="properties">
      <xsd:complexType>
        <xsd:sequence>
          <xsd:element name="documentManagement">
            <xsd:complexType>
              <xsd:all>
                <xsd:element ref="ns2:Type_x0020_Document" minOccurs="0"/>
                <xsd:element ref="ns2:la8087f2a9424c2586e7f3a9f367c2ee" minOccurs="0"/>
                <xsd:element ref="ns2:TaxCatchAll" minOccurs="0"/>
                <xsd:element ref="ns2:TaxCatchAllLabel" minOccurs="0"/>
                <xsd:element ref="ns2:Behandelaar" minOccurs="0"/>
                <xsd:element ref="ns2:Doorloopstatus" minOccurs="0"/>
                <xsd:element ref="ns2:DatumVraag"/>
                <xsd:element ref="ns2:Parlementair" minOccurs="0"/>
                <xsd:element ref="ns2:Vraagnummer" minOccurs="0"/>
                <xsd:element ref="ns2:Antwoordnummer" minOccurs="0"/>
                <xsd:element ref="ns2:Antwoord_x0020_vereist" minOccurs="0"/>
                <xsd:element ref="ns2:Extra_x0020_Behandelaars" minOccurs="0"/>
                <xsd:element ref="ns2:Onderwerp_x0020_vraag" minOccurs="0"/>
                <xsd:element ref="ns2:Titel_x0020_vraag" minOccurs="0"/>
                <xsd:element ref="ns2:Vraag_x0020_beantwoord" minOccurs="0"/>
                <xsd:element ref="ns2:TypeVraag" minOccurs="0"/>
                <xsd:element ref="ns2:MinisterDomein" minOccurs="0"/>
                <xsd:element ref="ns3:DocSetId" minOccurs="0"/>
                <xsd:element ref="ns4:Minister" minOccurs="0"/>
                <xsd:element ref="ns2:PVAfdeling" minOccurs="0"/>
                <xsd:element ref="ns2:PVTeam" minOccurs="0"/>
                <xsd:element ref="ns2:Historiek" minOccurs="0"/>
                <xsd:element ref="ns1:DocumentSetDescription" minOccurs="0"/>
                <xsd:element ref="ns2:MinisterAlleDomeinen" minOccurs="0"/>
                <xsd:element ref="ns3:Extern_x0020_Agentsch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3" nillable="true" ma:displayName="Beschrijving" ma:description="Een beschrijving van de documenten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2e3783-fe9a-4a2f-bbf4-debb4ac58a5c" elementFormDefault="qualified">
    <xsd:import namespace="http://schemas.microsoft.com/office/2006/documentManagement/types"/>
    <xsd:import namespace="http://schemas.microsoft.com/office/infopath/2007/PartnerControls"/>
    <xsd:element name="Type_x0020_Document" ma:index="9" nillable="true" ma:displayName="Type Document (oud)" ma:internalName="Type_x0020_Document" ma:readOnly="false" ma:requiredMultiChoice="true">
      <xsd:complexType>
        <xsd:complexContent>
          <xsd:extension base="dms:MultiChoice">
            <xsd:sequence>
              <xsd:element name="Value" maxOccurs="unbounded" minOccurs="0" nillable="true">
                <xsd:simpleType>
                  <xsd:restriction base="dms:Choice">
                    <xsd:enumeration value="Aanvraag"/>
                    <xsd:enumeration value="Agenda"/>
                    <xsd:enumeration value="Brieven"/>
                    <xsd:enumeration value="E-mail"/>
                    <xsd:enumeration value="Functiebeschrijving"/>
                    <xsd:enumeration value="Maandoverzicht"/>
                    <xsd:enumeration value="Mededeling"/>
                    <xsd:enumeration value="Nota"/>
                    <xsd:enumeration value="Ontwerp van antwoord"/>
                    <xsd:enumeration value="Parlementaire vragen"/>
                    <xsd:enumeration value="Plan van aanpak"/>
                    <xsd:enumeration value="Presentatie"/>
                    <xsd:enumeration value="Rapport"/>
                    <xsd:enumeration value="Regelgeving"/>
                    <xsd:enumeration value="Stand van zaken"/>
                    <xsd:enumeration value="Vacaturebericht"/>
                    <xsd:enumeration value="Verslag"/>
                    <xsd:enumeration value="Andere"/>
                  </xsd:restriction>
                </xsd:simpleType>
              </xsd:element>
            </xsd:sequence>
          </xsd:extension>
        </xsd:complexContent>
      </xsd:complexType>
    </xsd:element>
    <xsd:element name="la8087f2a9424c2586e7f3a9f367c2ee" ma:index="10" nillable="true" ma:taxonomy="true" ma:internalName="la8087f2a9424c2586e7f3a9f367c2ee" ma:taxonomyFieldName="Materie" ma:displayName="Materie (oud)" ma:readOnly="false" ma:default="" ma:fieldId="{5a8087f2-a942-4c25-86e7-f3a9f367c2ee}" ma:taxonomyMulti="true" ma:sspId="e72cec57-dc3f-4e2d-aa58-787a1f1f7a49" ma:termSetId="137f44f7-a364-4e09-823d-029e911e9d43" ma:anchorId="9cc1c115-b873-424a-88fa-19201ce3bc82" ma:open="false" ma:isKeyword="false">
      <xsd:complexType>
        <xsd:sequence>
          <xsd:element ref="pc:Terms" minOccurs="0" maxOccurs="1"/>
        </xsd:sequence>
      </xsd:complexType>
    </xsd:element>
    <xsd:element name="TaxCatchAll" ma:index="11" nillable="true" ma:displayName="Taxonomy Catch All Column" ma:hidden="true" ma:list="{8a186382-e4e9-428e-9807-86133d8c668c}" ma:internalName="TaxCatchAll" ma:showField="CatchAllData"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a186382-e4e9-428e-9807-86133d8c668c}" ma:internalName="TaxCatchAllLabel" ma:readOnly="true" ma:showField="CatchAllDataLabel"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Behandelaar" ma:index="14" nillable="true" ma:displayName="Behandelaar" ma:description="De behandelaar(s) voor deze parlementaire vraag" ma:list="UserInfo" ma:SharePointGroup="21" ma:internalName="Behandelaa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orloopstatus" ma:index="15" nillable="true" ma:displayName="Doorloopstatus" ma:default="Nieuw" ma:format="Dropdown" ma:internalName="Doorloopstatus">
      <xsd:simpleType>
        <xsd:restriction base="dms:Choice">
          <xsd:enumeration value="Nieuw"/>
          <xsd:enumeration value="Ter acceptatie behandeling"/>
          <xsd:enumeration value="Behandeling geweigerd"/>
          <xsd:enumeration value="In afwachting definitieve data"/>
          <xsd:enumeration value="Verwerking"/>
          <xsd:enumeration value="In behandeling"/>
          <xsd:enumeration value="Ter validering"/>
          <xsd:enumeration value="In afwachting antwoord"/>
          <xsd:enumeration value="In afwachting validatie gecoördineerd antwoord"/>
          <xsd:enumeration value="Goedkeuring"/>
          <xsd:enumeration value="Goedgekeurd"/>
          <xsd:enumeration value="Antwoord afgekeurd"/>
          <xsd:enumeration value="Beantwoord"/>
        </xsd:restriction>
      </xsd:simpleType>
    </xsd:element>
    <xsd:element name="DatumVraag" ma:index="16" ma:displayName="Datum Vraag" ma:description="De datum waarop de vraag werd gesteld." ma:format="DateOnly" ma:internalName="DatumVraag" ma:readOnly="false">
      <xsd:simpleType>
        <xsd:restriction base="dms:DateTime"/>
      </xsd:simpleType>
    </xsd:element>
    <xsd:element name="Parlementair" ma:index="17" nillable="true" ma:displayName="Parlementair" ma:description="De parlementair die de vraag stelt. Vb: &quot;Jos Vermeulen&quot;." ma:internalName="Parlementair" ma:readOnly="false">
      <xsd:simpleType>
        <xsd:restriction base="dms:Text">
          <xsd:maxLength value="255"/>
        </xsd:restriction>
      </xsd:simpleType>
    </xsd:element>
    <xsd:element name="Vraagnummer" ma:index="18" nillable="true" ma:displayName="Vraagnummer" ma:description="Het nummer van de vraag. Bvb &quot;0021&quot;." ma:internalName="Vraagnummer" ma:readOnly="false">
      <xsd:simpleType>
        <xsd:restriction base="dms:Text">
          <xsd:maxLength value="10"/>
        </xsd:restriction>
      </xsd:simpleType>
    </xsd:element>
    <xsd:element name="Antwoordnummer" ma:index="19" nillable="true" ma:displayName="Antwoordnummer" ma:internalName="Antwoordnummer" ma:readOnly="false">
      <xsd:simpleType>
        <xsd:restriction base="dms:Text">
          <xsd:maxLength value="10"/>
        </xsd:restriction>
      </xsd:simpleType>
    </xsd:element>
    <xsd:element name="Antwoord_x0020_vereist" ma:index="20" nillable="true" ma:displayName="Antwoord vereist" ma:description="De uiterste datum waarop de vraag moet beantwoord zijn." ma:format="DateOnly" ma:internalName="Antwoord_x0020_vereist" ma:readOnly="false">
      <xsd:simpleType>
        <xsd:restriction base="dms:DateTime"/>
      </xsd:simpleType>
    </xsd:element>
    <xsd:element name="Extra_x0020_Behandelaars" ma:index="22" nillable="true" ma:displayName="Extra Behandelaars" ma:list="UserInfo" ma:SharePointGroup="21" ma:internalName="Extra_x0020_Behandelaa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nderwerp_x0020_vraag" ma:index="23" nillable="true" ma:displayName="Onderwerp vraag" ma:internalName="Onderwerp_x0020_vraag" ma:readOnly="false">
      <xsd:simpleType>
        <xsd:restriction base="dms:Note">
          <xsd:maxLength value="255"/>
        </xsd:restriction>
      </xsd:simpleType>
    </xsd:element>
    <xsd:element name="Titel_x0020_vraag" ma:index="24" nillable="true" ma:displayName="Titel vraag" ma:internalName="Titel_x0020_vraag" ma:readOnly="false">
      <xsd:simpleType>
        <xsd:restriction base="dms:Text">
          <xsd:maxLength value="255"/>
        </xsd:restriction>
      </xsd:simpleType>
    </xsd:element>
    <xsd:element name="Vraag_x0020_beantwoord" ma:index="25" nillable="true" ma:displayName="Vraag beantwoord" ma:format="DateOnly" ma:internalName="Vraag_x0020_beantwoord">
      <xsd:simpleType>
        <xsd:restriction base="dms:DateTime"/>
      </xsd:simpleType>
    </xsd:element>
    <xsd:element name="TypeVraag" ma:index="26" nillable="true" ma:displayName="TypeVraag" ma:default="Schriftelijke Vraag" ma:format="Dropdown" ma:internalName="TypeVraag" ma:readOnly="false">
      <xsd:simpleType>
        <xsd:restriction base="dms:Choice">
          <xsd:enumeration value="Schriftelijke Vraag"/>
          <xsd:enumeration value="Vraag Om uitleg"/>
          <xsd:enumeration value="Gecoördineerde Vraag"/>
        </xsd:restriction>
      </xsd:simpleType>
    </xsd:element>
    <xsd:element name="MinisterDomein" ma:index="27" nillable="true" ma:displayName="Domein" ma:format="Dropdown" ma:internalName="MinisterDomein" ma:readOnly="false">
      <xsd:simpleType>
        <xsd:restriction base="dms:Choice">
          <xsd:enumeration value="Werk"/>
          <xsd:enumeration value="Sociale Economie"/>
        </xsd:restriction>
      </xsd:simpleType>
    </xsd:element>
    <xsd:element name="PVAfdeling" ma:index="30" nillable="true" ma:displayName="Afdeling" ma:internalName="PVAfdeling">
      <xsd:simpleType>
        <xsd:restriction base="dms:Text">
          <xsd:maxLength value="255"/>
        </xsd:restriction>
      </xsd:simpleType>
    </xsd:element>
    <xsd:element name="PVTeam" ma:index="31" nillable="true" ma:displayName="Team" ma:internalName="PVTeam">
      <xsd:simpleType>
        <xsd:restriction base="dms:Text">
          <xsd:maxLength value="255"/>
        </xsd:restriction>
      </xsd:simpleType>
    </xsd:element>
    <xsd:element name="Historiek" ma:index="32" nillable="true" ma:displayName="Historiek" ma:description="Historisch overzicht van de activiteiten" ma:internalName="Historiek">
      <xsd:simpleType>
        <xsd:restriction base="dms:Note">
          <xsd:maxLength value="255"/>
        </xsd:restriction>
      </xsd:simpleType>
    </xsd:element>
    <xsd:element name="MinisterAlleDomeinen" ma:index="34" nillable="true" ma:displayName="MinisterAlleDomeinen" ma:internalName="MinisterAlleDomeine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923ab5-f988-4e82-b3fb-7226e10f9616" elementFormDefault="qualified">
    <xsd:import namespace="http://schemas.microsoft.com/office/2006/documentManagement/types"/>
    <xsd:import namespace="http://schemas.microsoft.com/office/infopath/2007/PartnerControls"/>
    <xsd:element name="DocSetId" ma:index="28" nillable="true" ma:displayName="DocSetId" ma:internalName="DocSetId" ma:readOnly="false">
      <xsd:simpleType>
        <xsd:restriction base="dms:Text">
          <xsd:maxLength value="255"/>
        </xsd:restriction>
      </xsd:simpleType>
    </xsd:element>
    <xsd:element name="Extern_x0020_Agentschap" ma:index="35" nillable="true" ma:displayName="Extern Agentschap" ma:list="{018b224e-9935-410e-85d0-ef8844e68a6f}" ma:internalName="Extern_x0020_Agentschap"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c82e040-88e9-4975-bc13-a42fab7bb9ce" elementFormDefault="qualified">
    <xsd:import namespace="http://schemas.microsoft.com/office/2006/documentManagement/types"/>
    <xsd:import namespace="http://schemas.microsoft.com/office/infopath/2007/PartnerControls"/>
    <xsd:element name="Minister" ma:index="29" nillable="true" ma:displayName="Minister" ma:list="{b67b3043-2083-422e-a1af-e8c2fd97112c}" ma:internalName="Minister" ma:showField="Title" ma:web="ec82e040-88e9-4975-bc13-a42fab7bb9c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ma:index="8" ma:displayName="Opmerkinge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298DB8-679A-49E4-AA34-B450138B57AB}">
  <ds:schemaRefs>
    <ds:schemaRef ds:uri="http://schemas.microsoft.com/sharepoint/v3"/>
    <ds:schemaRef ds:uri="http://schemas.microsoft.com/office/2006/documentManagement/types"/>
    <ds:schemaRef ds:uri="http://www.w3.org/XML/1998/namespace"/>
    <ds:schemaRef ds:uri="ad923ab5-f988-4e82-b3fb-7226e10f9616"/>
    <ds:schemaRef ds:uri="http://schemas.openxmlformats.org/package/2006/metadata/core-properties"/>
    <ds:schemaRef ds:uri="http://purl.org/dc/dcmitype/"/>
    <ds:schemaRef ds:uri="http://purl.org/dc/elements/1.1/"/>
    <ds:schemaRef ds:uri="http://purl.org/dc/terms/"/>
    <ds:schemaRef ds:uri="7a2e3783-fe9a-4a2f-bbf4-debb4ac58a5c"/>
    <ds:schemaRef ds:uri="http://schemas.microsoft.com/office/infopath/2007/PartnerControls"/>
    <ds:schemaRef ds:uri="ec82e040-88e9-4975-bc13-a42fab7bb9ce"/>
    <ds:schemaRef ds:uri="http://schemas.microsoft.com/office/2006/metadata/properties"/>
  </ds:schemaRefs>
</ds:datastoreItem>
</file>

<file path=customXml/itemProps2.xml><?xml version="1.0" encoding="utf-8"?>
<ds:datastoreItem xmlns:ds="http://schemas.openxmlformats.org/officeDocument/2006/customXml" ds:itemID="{5B635A39-51D8-43BE-91A6-9585373A129D}">
  <ds:schemaRefs>
    <ds:schemaRef ds:uri="http://schemas.microsoft.com/sharepoint/v3/contenttype/forms"/>
  </ds:schemaRefs>
</ds:datastoreItem>
</file>

<file path=customXml/itemProps3.xml><?xml version="1.0" encoding="utf-8"?>
<ds:datastoreItem xmlns:ds="http://schemas.openxmlformats.org/officeDocument/2006/customXml" ds:itemID="{32B0084B-6694-4FFF-AB4D-E8A71F87F8E8}">
  <ds:schemaRefs>
    <ds:schemaRef ds:uri="http://schemas.microsoft.com/office/2006/customDocumentInformationPanel"/>
  </ds:schemaRefs>
</ds:datastoreItem>
</file>

<file path=customXml/itemProps4.xml><?xml version="1.0" encoding="utf-8"?>
<ds:datastoreItem xmlns:ds="http://schemas.openxmlformats.org/officeDocument/2006/customXml" ds:itemID="{704F6106-6F0A-4A0F-A8A7-BF049B8EE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2e3783-fe9a-4a2f-bbf4-debb4ac58a5c"/>
    <ds:schemaRef ds:uri="ad923ab5-f988-4e82-b3fb-7226e10f9616"/>
    <ds:schemaRef ds:uri="ec82e040-88e9-4975-bc13-a42fab7bb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910</Words>
  <Characters>5513</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Webleren VDAB</vt:lpstr>
      <vt:lpstr/>
    </vt:vector>
  </TitlesOfParts>
  <Company>MVG</Company>
  <LinksUpToDate>false</LinksUpToDate>
  <CharactersWithSpaces>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Webleren VDAB</dc:title>
  <dc:creator>Tommy Vanhee</dc:creator>
  <cp:lastModifiedBy>Vlaams Parlement</cp:lastModifiedBy>
  <cp:revision>2</cp:revision>
  <cp:lastPrinted>1900-12-31T23:00:00Z</cp:lastPrinted>
  <dcterms:created xsi:type="dcterms:W3CDTF">2013-03-04T12:47:00Z</dcterms:created>
  <dcterms:modified xsi:type="dcterms:W3CDTF">2013-03-04T12:47:00Z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0x010100988F5A92209A7C4FB064E8E0C9EC2A950604008CDD6A19FACFF3488C10A50D6D938897</vt:lpwstr>
  </property>
  <property fmtid="{D5CDD505-2E9C-101B-9397-08002B2CF9AE}" pid="3" name="Materie">
    <vt:lpwstr/>
  </property>
  <property fmtid="{D5CDD505-2E9C-101B-9397-08002B2CF9AE}" pid="4" name="Order">
    <vt:r8>3800</vt:r8>
  </property>
  <property fmtid="{D5CDD505-2E9C-101B-9397-08002B2CF9AE}" pid="5" name="_docset_NoMedatataSyncRequired">
    <vt:lpwstr>False</vt:lpwstr>
  </property>
  <property fmtid="{D5CDD505-2E9C-101B-9397-08002B2CF9AE}" pid="6" name="GUID">
    <vt:lpwstr>472dd372-d942-4da8-988e-24406f575735</vt:lpwstr>
  </property>
  <property fmtid="{D5CDD505-2E9C-101B-9397-08002B2CF9AE}" pid="7" name="WorkflowCreationPath">
    <vt:lpwstr>e616e2c7-cfd3-4c82-aac5-dd48f413a690;</vt:lpwstr>
  </property>
  <property fmtid="{D5CDD505-2E9C-101B-9397-08002B2CF9AE}" pid="8" name="ProcessInstanceID">
    <vt:lpwstr>34b4c4e7ee2a456cb64827c0ff406b6b;4468a57e65054c48904ff21f1cb7d535;bc61d38d5dd249afb0ed2849460ee800;3ef89bd0b7934a9aa1b007112c392ae2;b03c59aebee144a690bd9c58262ade28;33bac060ac2b4f00bb88da44d85022ac;a9674105456f46e1bde1190536843f62;f49642dbb9e8454b89a1d739</vt:lpwstr>
  </property>
  <property fmtid="{D5CDD505-2E9C-101B-9397-08002B2CF9AE}" pid="9" name="ecm_ItemDeleteBlockHolders">
    <vt:lpwstr>ecm_InPlaceRecordLock</vt:lpwstr>
  </property>
  <property fmtid="{D5CDD505-2E9C-101B-9397-08002B2CF9AE}" pid="10" name="_vti_ItemDeclaredRecord">
    <vt:filetime>2013-01-24T12:30:37Z</vt:filetime>
  </property>
  <property fmtid="{D5CDD505-2E9C-101B-9397-08002B2CF9AE}" pid="11" name="_vti_ItemHoldRecordStatus">
    <vt:i4>273</vt:i4>
  </property>
  <property fmtid="{D5CDD505-2E9C-101B-9397-08002B2CF9AE}" pid="12" name="IconOverlay">
    <vt:lpwstr>|docx|lockoverlay.png</vt:lpwstr>
  </property>
  <property fmtid="{D5CDD505-2E9C-101B-9397-08002B2CF9AE}" pid="13" name="ecm_RecordRestrictions">
    <vt:lpwstr>BlockDelete, BlockEdit</vt:lpwstr>
  </property>
  <property fmtid="{D5CDD505-2E9C-101B-9397-08002B2CF9AE}" pid="14" name="ecm_ItemLockHolders">
    <vt:lpwstr>ecm_InPlaceRecordLock</vt:lpwstr>
  </property>
</Properties>
</file>