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7" w:rsidRDefault="001332A7" w:rsidP="00164735">
      <w:pPr>
        <w:jc w:val="both"/>
        <w:rPr>
          <w:b/>
          <w:smallCaps/>
          <w:sz w:val="22"/>
        </w:rPr>
      </w:pPr>
      <w:bookmarkStart w:id="0" w:name="_GoBack"/>
      <w:r>
        <w:rPr>
          <w:b/>
          <w:smallCaps/>
          <w:sz w:val="22"/>
        </w:rPr>
        <w:t>ingrid lieten</w:t>
      </w:r>
    </w:p>
    <w:p w:rsidR="001332A7" w:rsidRDefault="001332A7" w:rsidP="00164735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1332A7" w:rsidRDefault="001332A7" w:rsidP="00164735">
      <w:pPr>
        <w:pBdr>
          <w:bottom w:val="single" w:sz="4" w:space="1" w:color="auto"/>
        </w:pBdr>
        <w:jc w:val="both"/>
        <w:rPr>
          <w:sz w:val="22"/>
        </w:rPr>
      </w:pPr>
    </w:p>
    <w:p w:rsidR="001332A7" w:rsidRDefault="001332A7" w:rsidP="00164735">
      <w:pPr>
        <w:jc w:val="both"/>
        <w:rPr>
          <w:sz w:val="22"/>
        </w:rPr>
      </w:pPr>
    </w:p>
    <w:p w:rsidR="001332A7" w:rsidRDefault="001332A7" w:rsidP="00164735">
      <w:p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antwoord</w:t>
      </w:r>
    </w:p>
    <w:p w:rsidR="001332A7" w:rsidRDefault="001332A7" w:rsidP="001647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vraag nr. </w:t>
      </w:r>
      <w:r>
        <w:rPr>
          <w:sz w:val="22"/>
        </w:rPr>
        <w:t>190</w:t>
      </w:r>
      <w:r>
        <w:rPr>
          <w:sz w:val="22"/>
          <w:szCs w:val="22"/>
        </w:rPr>
        <w:t xml:space="preserve"> van </w:t>
      </w:r>
      <w:r>
        <w:rPr>
          <w:sz w:val="22"/>
        </w:rPr>
        <w:t>30 januari 2013</w:t>
      </w:r>
    </w:p>
    <w:p w:rsidR="001332A7" w:rsidRDefault="001332A7" w:rsidP="00164735">
      <w:pPr>
        <w:jc w:val="both"/>
        <w:rPr>
          <w:sz w:val="22"/>
          <w:szCs w:val="24"/>
        </w:rPr>
      </w:pPr>
      <w:r>
        <w:rPr>
          <w:sz w:val="22"/>
          <w:szCs w:val="22"/>
        </w:rPr>
        <w:t xml:space="preserve">van </w:t>
      </w:r>
      <w:r>
        <w:rPr>
          <w:b/>
          <w:smallCaps/>
        </w:rPr>
        <w:t>robrecht bothuyne</w:t>
      </w:r>
    </w:p>
    <w:p w:rsidR="001332A7" w:rsidRDefault="001332A7" w:rsidP="00164735">
      <w:pPr>
        <w:pBdr>
          <w:bottom w:val="single" w:sz="4" w:space="1" w:color="auto"/>
        </w:pBdr>
        <w:jc w:val="both"/>
        <w:rPr>
          <w:sz w:val="22"/>
        </w:rPr>
      </w:pPr>
    </w:p>
    <w:p w:rsidR="001332A7" w:rsidRPr="001332A7" w:rsidRDefault="001332A7" w:rsidP="00164735">
      <w:pPr>
        <w:jc w:val="both"/>
        <w:rPr>
          <w:sz w:val="22"/>
          <w:szCs w:val="22"/>
        </w:rPr>
      </w:pPr>
    </w:p>
    <w:p w:rsidR="001332A7" w:rsidRPr="001332A7" w:rsidRDefault="001332A7" w:rsidP="00164735">
      <w:pPr>
        <w:pStyle w:val="SVVlaamsParlement"/>
        <w:rPr>
          <w:b w:val="0"/>
        </w:rPr>
      </w:pPr>
    </w:p>
    <w:p w:rsidR="008D347B" w:rsidRPr="001332A7" w:rsidRDefault="004F12E3" w:rsidP="00164735">
      <w:pPr>
        <w:pStyle w:val="StandaardSV"/>
        <w:rPr>
          <w:i/>
        </w:rPr>
      </w:pPr>
      <w:r w:rsidRPr="001332A7">
        <w:rPr>
          <w:i/>
          <w:u w:val="single"/>
        </w:rPr>
        <w:t>Pro memorie</w:t>
      </w:r>
    </w:p>
    <w:p w:rsidR="008D347B" w:rsidRPr="001332A7" w:rsidRDefault="008D347B" w:rsidP="00164735">
      <w:pPr>
        <w:pStyle w:val="StandaardSV"/>
        <w:rPr>
          <w:i/>
        </w:rPr>
      </w:pPr>
    </w:p>
    <w:p w:rsidR="004F12E3" w:rsidRPr="001332A7" w:rsidRDefault="004F12E3" w:rsidP="00164735">
      <w:pPr>
        <w:pStyle w:val="StandaardSV"/>
        <w:numPr>
          <w:ilvl w:val="0"/>
          <w:numId w:val="33"/>
        </w:numPr>
        <w:ind w:left="360"/>
        <w:rPr>
          <w:i/>
        </w:rPr>
      </w:pPr>
      <w:r w:rsidRPr="001332A7">
        <w:rPr>
          <w:i/>
        </w:rPr>
        <w:t>ARKimedesfondsen zijn dakfondsen (</w:t>
      </w:r>
      <w:r w:rsidR="00C14DF7">
        <w:rPr>
          <w:i/>
        </w:rPr>
        <w:t>“</w:t>
      </w:r>
      <w:r w:rsidRPr="001332A7">
        <w:rPr>
          <w:i/>
        </w:rPr>
        <w:t>fund-of-fund</w:t>
      </w:r>
      <w:r w:rsidR="00C14DF7">
        <w:rPr>
          <w:i/>
        </w:rPr>
        <w:t>”</w:t>
      </w:r>
      <w:r w:rsidRPr="001332A7">
        <w:rPr>
          <w:i/>
        </w:rPr>
        <w:t xml:space="preserve">) die indirect investeren in starters en kmo’s in Vlaanderen. Het zijn de ARKIV-fondsen, waarin </w:t>
      </w:r>
      <w:r w:rsidR="00FB48F3" w:rsidRPr="001332A7">
        <w:rPr>
          <w:i/>
        </w:rPr>
        <w:t xml:space="preserve">ARKimedesfondsen </w:t>
      </w:r>
      <w:r w:rsidRPr="001332A7">
        <w:rPr>
          <w:i/>
        </w:rPr>
        <w:t xml:space="preserve">investeren (&lt; 50%), die directe participaties nemen in doelondernemingen. De uitvoering van het investeringsbeleid van de ARKIV’s geschiedt autonoom door gespecialiseerde </w:t>
      </w:r>
      <w:r w:rsidR="005F5589" w:rsidRPr="001332A7">
        <w:rPr>
          <w:i/>
        </w:rPr>
        <w:t>ARKIV-</w:t>
      </w:r>
      <w:r w:rsidRPr="001332A7">
        <w:rPr>
          <w:i/>
        </w:rPr>
        <w:t>beheerders.</w:t>
      </w:r>
    </w:p>
    <w:p w:rsidR="00430610" w:rsidRPr="001332A7" w:rsidRDefault="00430610" w:rsidP="00164735">
      <w:pPr>
        <w:pStyle w:val="StandaardSV"/>
        <w:ind w:left="360"/>
        <w:rPr>
          <w:i/>
        </w:rPr>
      </w:pPr>
    </w:p>
    <w:p w:rsidR="008D347B" w:rsidRPr="001332A7" w:rsidRDefault="008D347B" w:rsidP="00164735">
      <w:pPr>
        <w:pStyle w:val="StandaardSV"/>
        <w:numPr>
          <w:ilvl w:val="0"/>
          <w:numId w:val="33"/>
        </w:numPr>
        <w:ind w:left="360"/>
        <w:rPr>
          <w:i/>
        </w:rPr>
      </w:pPr>
      <w:r w:rsidRPr="001332A7">
        <w:rPr>
          <w:i/>
        </w:rPr>
        <w:t xml:space="preserve">De allocatie van </w:t>
      </w:r>
      <w:r w:rsidR="006C5506" w:rsidRPr="001332A7">
        <w:rPr>
          <w:i/>
        </w:rPr>
        <w:t xml:space="preserve">investeringsmiddelen van </w:t>
      </w:r>
      <w:r w:rsidRPr="001332A7">
        <w:rPr>
          <w:i/>
        </w:rPr>
        <w:t xml:space="preserve">ARKimedes-Fonds II </w:t>
      </w:r>
      <w:r w:rsidR="00E957EB" w:rsidRPr="001332A7">
        <w:rPr>
          <w:i/>
        </w:rPr>
        <w:t xml:space="preserve">aan kandidaat-ARKIV’s </w:t>
      </w:r>
      <w:r w:rsidRPr="001332A7">
        <w:rPr>
          <w:i/>
        </w:rPr>
        <w:t xml:space="preserve">geschiedt op basis van objectieve elementen zoals </w:t>
      </w:r>
      <w:r w:rsidR="00C14DF7">
        <w:rPr>
          <w:i/>
        </w:rPr>
        <w:t>“</w:t>
      </w:r>
      <w:r w:rsidRPr="001332A7">
        <w:rPr>
          <w:i/>
        </w:rPr>
        <w:t>scoring</w:t>
      </w:r>
      <w:r w:rsidR="00C14DF7">
        <w:rPr>
          <w:i/>
        </w:rPr>
        <w:t xml:space="preserve">” </w:t>
      </w:r>
      <w:r w:rsidRPr="001332A7">
        <w:rPr>
          <w:i/>
        </w:rPr>
        <w:t xml:space="preserve">en historisch </w:t>
      </w:r>
      <w:r w:rsidR="00C14DF7">
        <w:rPr>
          <w:i/>
        </w:rPr>
        <w:t>“</w:t>
      </w:r>
      <w:r w:rsidRPr="001332A7">
        <w:rPr>
          <w:i/>
        </w:rPr>
        <w:t>track record</w:t>
      </w:r>
      <w:r w:rsidR="00C14DF7">
        <w:rPr>
          <w:i/>
        </w:rPr>
        <w:t>”</w:t>
      </w:r>
      <w:r w:rsidRPr="001332A7">
        <w:rPr>
          <w:i/>
        </w:rPr>
        <w:t xml:space="preserve"> van het team</w:t>
      </w:r>
      <w:r w:rsidR="00430610" w:rsidRPr="001332A7">
        <w:rPr>
          <w:i/>
        </w:rPr>
        <w:t>,</w:t>
      </w:r>
      <w:r w:rsidRPr="001332A7">
        <w:rPr>
          <w:i/>
        </w:rPr>
        <w:t xml:space="preserve"> teneinde een evenwichtige en gediversifieerde portefeuillesamenstelling te bekomen. Bij deze allocatie wordt de nodige aandacht besteed aan Vlaamse speerpuntsectoren</w:t>
      </w:r>
      <w:r w:rsidR="00601788" w:rsidRPr="001332A7">
        <w:rPr>
          <w:i/>
        </w:rPr>
        <w:t xml:space="preserve"> (biotechnologie, cleantech &amp; engineering, ICT)</w:t>
      </w:r>
      <w:r w:rsidR="005C5749" w:rsidRPr="001332A7">
        <w:rPr>
          <w:i/>
        </w:rPr>
        <w:t>, aangevuld met klassieke kmo-financiering</w:t>
      </w:r>
      <w:r w:rsidRPr="001332A7">
        <w:rPr>
          <w:i/>
        </w:rPr>
        <w:t>. Er wordt evenwel geen allocatie per provincie in overweging genomen.</w:t>
      </w:r>
    </w:p>
    <w:p w:rsidR="007756AB" w:rsidRPr="001332A7" w:rsidRDefault="007756AB" w:rsidP="00164735">
      <w:pPr>
        <w:pStyle w:val="StandaardSV"/>
      </w:pPr>
    </w:p>
    <w:p w:rsidR="001332A7" w:rsidRDefault="001332A7" w:rsidP="00164735">
      <w:pPr>
        <w:pStyle w:val="StandaardSV"/>
        <w:numPr>
          <w:ilvl w:val="0"/>
          <w:numId w:val="34"/>
        </w:numPr>
      </w:pPr>
      <w:r w:rsidRPr="001332A7">
        <w:t>Zie onderstaande tabel.</w:t>
      </w:r>
    </w:p>
    <w:p w:rsidR="001332A7" w:rsidRDefault="001332A7" w:rsidP="00164735">
      <w:pPr>
        <w:pStyle w:val="Geenafstand"/>
        <w:ind w:left="360"/>
        <w:jc w:val="both"/>
        <w:rPr>
          <w:sz w:val="22"/>
          <w:szCs w:val="22"/>
        </w:rPr>
      </w:pPr>
    </w:p>
    <w:tbl>
      <w:tblPr>
        <w:tblStyle w:val="Tabelraster"/>
        <w:tblW w:w="8117" w:type="dxa"/>
        <w:tblInd w:w="534" w:type="dxa"/>
        <w:tblLook w:val="04A0" w:firstRow="1" w:lastRow="0" w:firstColumn="1" w:lastColumn="0" w:noHBand="0" w:noVBand="1"/>
      </w:tblPr>
      <w:tblGrid>
        <w:gridCol w:w="4821"/>
        <w:gridCol w:w="876"/>
        <w:gridCol w:w="766"/>
        <w:gridCol w:w="766"/>
        <w:gridCol w:w="888"/>
      </w:tblGrid>
      <w:tr w:rsidR="001332A7" w:rsidRPr="001332A7" w:rsidTr="001332A7">
        <w:tc>
          <w:tcPr>
            <w:tcW w:w="4821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88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Totaal</w:t>
            </w:r>
          </w:p>
        </w:tc>
      </w:tr>
      <w:tr w:rsidR="001332A7" w:rsidRPr="001332A7" w:rsidTr="001332A7">
        <w:tc>
          <w:tcPr>
            <w:tcW w:w="4821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sz w:val="22"/>
                <w:szCs w:val="22"/>
              </w:rPr>
            </w:pPr>
            <w:r w:rsidRPr="001332A7">
              <w:rPr>
                <w:sz w:val="22"/>
                <w:szCs w:val="22"/>
              </w:rPr>
              <w:t>Aantal ingediende aanvragen (#)</w:t>
            </w:r>
          </w:p>
        </w:tc>
        <w:tc>
          <w:tcPr>
            <w:tcW w:w="87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8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22</w:t>
            </w:r>
          </w:p>
        </w:tc>
      </w:tr>
      <w:tr w:rsidR="001332A7" w:rsidRPr="001332A7" w:rsidTr="001332A7">
        <w:tc>
          <w:tcPr>
            <w:tcW w:w="4821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sz w:val="22"/>
                <w:szCs w:val="22"/>
              </w:rPr>
            </w:pPr>
            <w:r w:rsidRPr="001332A7">
              <w:rPr>
                <w:sz w:val="22"/>
                <w:szCs w:val="22"/>
              </w:rPr>
              <w:t>∑ gevraagd bedrag aan ARK-F II</w:t>
            </w:r>
            <w:r>
              <w:rPr>
                <w:sz w:val="22"/>
                <w:szCs w:val="22"/>
              </w:rPr>
              <w:t xml:space="preserve"> </w:t>
            </w:r>
            <w:r w:rsidRPr="001332A7">
              <w:rPr>
                <w:sz w:val="22"/>
                <w:szCs w:val="22"/>
              </w:rPr>
              <w:t>(in miljoen euro)</w:t>
            </w:r>
          </w:p>
        </w:tc>
        <w:tc>
          <w:tcPr>
            <w:tcW w:w="87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 xml:space="preserve">195,7 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66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17,4</w:t>
            </w:r>
          </w:p>
        </w:tc>
        <w:tc>
          <w:tcPr>
            <w:tcW w:w="888" w:type="dxa"/>
          </w:tcPr>
          <w:p w:rsidR="001332A7" w:rsidRPr="001332A7" w:rsidRDefault="001332A7" w:rsidP="00164735">
            <w:pPr>
              <w:pStyle w:val="Geenafstand"/>
              <w:jc w:val="both"/>
              <w:rPr>
                <w:bCs/>
                <w:sz w:val="22"/>
                <w:szCs w:val="22"/>
              </w:rPr>
            </w:pPr>
            <w:r w:rsidRPr="001332A7">
              <w:rPr>
                <w:bCs/>
                <w:sz w:val="22"/>
                <w:szCs w:val="22"/>
              </w:rPr>
              <w:t>213,1</w:t>
            </w:r>
          </w:p>
        </w:tc>
      </w:tr>
    </w:tbl>
    <w:p w:rsidR="001332A7" w:rsidRPr="00C52E64" w:rsidRDefault="001332A7" w:rsidP="00164735">
      <w:pPr>
        <w:pStyle w:val="Geenafstand"/>
        <w:ind w:left="360"/>
        <w:jc w:val="both"/>
        <w:rPr>
          <w:sz w:val="22"/>
          <w:szCs w:val="22"/>
        </w:rPr>
      </w:pPr>
    </w:p>
    <w:p w:rsidR="00C52E64" w:rsidRDefault="001332A7" w:rsidP="00164735">
      <w:pPr>
        <w:pStyle w:val="StandaardSV"/>
        <w:ind w:left="360" w:hanging="360"/>
      </w:pPr>
      <w:r w:rsidRPr="00C52E64">
        <w:t>1a.</w:t>
      </w:r>
      <w:r w:rsidRPr="00C52E64">
        <w:tab/>
      </w:r>
      <w:r w:rsidR="004F12E3" w:rsidRPr="00C52E64">
        <w:t xml:space="preserve">Tijdens de eerste erkenningsperiode </w:t>
      </w:r>
      <w:r w:rsidR="00EC1C7F" w:rsidRPr="00C52E64">
        <w:t xml:space="preserve">van ARKimedes-Fonds II, dewelke liep van 15 september 2010 t.e.m. 15 december 2010, </w:t>
      </w:r>
      <w:r w:rsidR="004F12E3" w:rsidRPr="00C52E64">
        <w:t xml:space="preserve">werden bij ARKimedes Management </w:t>
      </w:r>
      <w:r w:rsidR="00946221" w:rsidRPr="00C52E64">
        <w:t>20 aanvragen tot erkenning als ARKIV ingediend.</w:t>
      </w:r>
    </w:p>
    <w:p w:rsidR="00C52E64" w:rsidRDefault="004200F8" w:rsidP="00164735">
      <w:pPr>
        <w:pStyle w:val="StandaardSV"/>
        <w:ind w:left="360"/>
      </w:pPr>
      <w:r w:rsidRPr="00C52E64">
        <w:t>In de tweede ronde midden juli 2012 informeerde ARKimedes Management via een oproep dat ARKimedes-Fonds II nog over middelen beschikte om toe te wijzen aan risicokapitaalverschaffers die in aanmerking wilden komen voor een erkenning als ARKIV.</w:t>
      </w:r>
    </w:p>
    <w:p w:rsidR="003205D6" w:rsidRPr="00C52E64" w:rsidRDefault="003205D6" w:rsidP="00164735">
      <w:pPr>
        <w:pStyle w:val="StandaardSV"/>
        <w:ind w:left="360"/>
      </w:pPr>
      <w:r w:rsidRPr="00C52E64">
        <w:t xml:space="preserve">ARKimedes </w:t>
      </w:r>
      <w:r w:rsidR="00F643D2" w:rsidRPr="00C52E64">
        <w:t xml:space="preserve">Management </w:t>
      </w:r>
      <w:r w:rsidRPr="00C52E64">
        <w:t>ontving</w:t>
      </w:r>
      <w:r w:rsidR="00F643D2" w:rsidRPr="00C52E64">
        <w:t xml:space="preserve"> in de tweede ronde nog</w:t>
      </w:r>
      <w:r w:rsidRPr="00C52E64">
        <w:t xml:space="preserve"> 2 </w:t>
      </w:r>
      <w:r w:rsidR="00030889" w:rsidRPr="00C52E64">
        <w:t xml:space="preserve">bijkomende </w:t>
      </w:r>
      <w:r w:rsidRPr="00C52E64">
        <w:t>erkenningsdos</w:t>
      </w:r>
      <w:r w:rsidR="00805C69" w:rsidRPr="00C52E64">
        <w:t>siers.</w:t>
      </w:r>
    </w:p>
    <w:p w:rsidR="007756AB" w:rsidRPr="00C52E64" w:rsidRDefault="007756AB" w:rsidP="00164735">
      <w:pPr>
        <w:pStyle w:val="StandaardSV"/>
        <w:ind w:left="360"/>
      </w:pPr>
    </w:p>
    <w:p w:rsidR="00C52E64" w:rsidRDefault="001332A7" w:rsidP="00164735">
      <w:pPr>
        <w:pStyle w:val="StandaardSV"/>
        <w:ind w:left="426" w:hanging="426"/>
      </w:pPr>
      <w:r w:rsidRPr="00C52E64">
        <w:t>1b.</w:t>
      </w:r>
      <w:r w:rsidRPr="00C52E64">
        <w:tab/>
      </w:r>
      <w:r w:rsidR="00301C77" w:rsidRPr="00C52E64">
        <w:t>Tijdens de eerste erkenningsperiode eind 2010, wer</w:t>
      </w:r>
      <w:r w:rsidR="00805C69" w:rsidRPr="00C52E64">
        <w:t xml:space="preserve">d </w:t>
      </w:r>
      <w:r w:rsidR="00301C77" w:rsidRPr="00C52E64">
        <w:t xml:space="preserve">voor een totaalbedrag van 195,7 </w:t>
      </w:r>
      <w:r w:rsidR="00C14DF7">
        <w:t>miljoen</w:t>
      </w:r>
      <w:r w:rsidR="00301C77" w:rsidRPr="00C52E64">
        <w:t xml:space="preserve"> euro</w:t>
      </w:r>
      <w:r w:rsidR="00805C69" w:rsidRPr="00C52E64">
        <w:t xml:space="preserve"> </w:t>
      </w:r>
      <w:r w:rsidR="00486618" w:rsidRPr="00C52E64">
        <w:t xml:space="preserve">aan </w:t>
      </w:r>
      <w:r w:rsidR="00805C69" w:rsidRPr="00C52E64">
        <w:t>investeringsmiddelen gevraagd</w:t>
      </w:r>
      <w:r w:rsidR="00301C77" w:rsidRPr="00C52E64">
        <w:t>.</w:t>
      </w:r>
    </w:p>
    <w:p w:rsidR="00301C77" w:rsidRPr="00C52E64" w:rsidRDefault="00F643D2" w:rsidP="00164735">
      <w:pPr>
        <w:pStyle w:val="StandaardSV"/>
        <w:ind w:left="426"/>
      </w:pPr>
      <w:r w:rsidRPr="00C52E64">
        <w:t>In de tweede ronde m</w:t>
      </w:r>
      <w:r w:rsidR="00301C77" w:rsidRPr="00C52E64">
        <w:t xml:space="preserve">idden juli 2012 </w:t>
      </w:r>
      <w:r w:rsidR="00805C69" w:rsidRPr="00C52E64">
        <w:t xml:space="preserve">steeg het </w:t>
      </w:r>
      <w:r w:rsidR="00301C77" w:rsidRPr="00C52E64">
        <w:t xml:space="preserve">totaal gevraagde bedrag met 17,4 </w:t>
      </w:r>
      <w:r w:rsidR="00C14DF7">
        <w:t>miljoen</w:t>
      </w:r>
      <w:r w:rsidR="00301C77" w:rsidRPr="00C52E64">
        <w:t xml:space="preserve"> euro tot 213,1 </w:t>
      </w:r>
      <w:r w:rsidR="00C14DF7">
        <w:t>miljoen</w:t>
      </w:r>
      <w:r w:rsidR="00301C77" w:rsidRPr="00C52E64">
        <w:t xml:space="preserve"> euro.</w:t>
      </w:r>
    </w:p>
    <w:p w:rsidR="007756AB" w:rsidRDefault="007756AB" w:rsidP="00164735">
      <w:pPr>
        <w:pStyle w:val="StandaardSV"/>
        <w:ind w:left="360"/>
      </w:pPr>
    </w:p>
    <w:p w:rsidR="00C52E64" w:rsidRDefault="00C52E64" w:rsidP="00164735">
      <w:pPr>
        <w:pStyle w:val="StandaardSV"/>
        <w:numPr>
          <w:ilvl w:val="0"/>
          <w:numId w:val="34"/>
        </w:numPr>
      </w:pPr>
      <w:r>
        <w:t>Zie onderstaande tabel.</w:t>
      </w:r>
    </w:p>
    <w:p w:rsidR="00C52E64" w:rsidRDefault="00C52E64" w:rsidP="00164735">
      <w:pPr>
        <w:pStyle w:val="StandaardSV"/>
        <w:ind w:left="360"/>
      </w:pPr>
    </w:p>
    <w:tbl>
      <w:tblPr>
        <w:tblStyle w:val="Tabelraster"/>
        <w:tblW w:w="9442" w:type="dxa"/>
        <w:tblInd w:w="534" w:type="dxa"/>
        <w:tblLook w:val="04A0" w:firstRow="1" w:lastRow="0" w:firstColumn="1" w:lastColumn="0" w:noHBand="0" w:noVBand="1"/>
      </w:tblPr>
      <w:tblGrid>
        <w:gridCol w:w="6151"/>
        <w:gridCol w:w="766"/>
        <w:gridCol w:w="821"/>
        <w:gridCol w:w="766"/>
        <w:gridCol w:w="938"/>
      </w:tblGrid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</w:tcPr>
          <w:p w:rsidR="00C52E64" w:rsidRPr="001332A7" w:rsidRDefault="00C52E64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821" w:type="dxa"/>
          </w:tcPr>
          <w:p w:rsidR="00C52E64" w:rsidRPr="001332A7" w:rsidRDefault="00C52E64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766" w:type="dxa"/>
          </w:tcPr>
          <w:p w:rsidR="00C52E64" w:rsidRPr="001332A7" w:rsidRDefault="00C52E64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938" w:type="dxa"/>
          </w:tcPr>
          <w:p w:rsidR="00C52E64" w:rsidRPr="001332A7" w:rsidRDefault="00C52E64" w:rsidP="00164735">
            <w:pPr>
              <w:pStyle w:val="Geenafstand"/>
              <w:jc w:val="both"/>
              <w:rPr>
                <w:b/>
                <w:bCs/>
                <w:sz w:val="22"/>
                <w:szCs w:val="22"/>
              </w:rPr>
            </w:pPr>
            <w:r w:rsidRPr="001332A7">
              <w:rPr>
                <w:b/>
                <w:bCs/>
                <w:sz w:val="22"/>
                <w:szCs w:val="22"/>
              </w:rPr>
              <w:t>Totaal</w:t>
            </w:r>
          </w:p>
        </w:tc>
      </w:tr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sz w:val="21"/>
                <w:szCs w:val="21"/>
              </w:rPr>
            </w:pPr>
            <w:r w:rsidRPr="00C52E64">
              <w:rPr>
                <w:sz w:val="21"/>
                <w:szCs w:val="21"/>
              </w:rPr>
              <w:t>Aantal erkende ARKIV’s (#)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</w:t>
            </w:r>
          </w:p>
        </w:tc>
        <w:tc>
          <w:tcPr>
            <w:tcW w:w="938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11</w:t>
            </w:r>
          </w:p>
        </w:tc>
      </w:tr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sz w:val="21"/>
                <w:szCs w:val="21"/>
              </w:rPr>
            </w:pPr>
            <w:r w:rsidRPr="00C52E64">
              <w:rPr>
                <w:sz w:val="21"/>
                <w:szCs w:val="21"/>
              </w:rPr>
              <w:t>Aantal opgerichte ARKIV’s (#)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10</w:t>
            </w:r>
          </w:p>
        </w:tc>
      </w:tr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sz w:val="21"/>
                <w:szCs w:val="21"/>
              </w:rPr>
            </w:pPr>
            <w:r w:rsidRPr="00C52E64">
              <w:rPr>
                <w:sz w:val="21"/>
                <w:szCs w:val="21"/>
              </w:rPr>
              <w:t>∑ door ARK-F II toegekende erkenningen/-beloftes (in miljoen euro)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99,0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7,5</w:t>
            </w:r>
          </w:p>
        </w:tc>
        <w:tc>
          <w:tcPr>
            <w:tcW w:w="938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106,5</w:t>
            </w:r>
          </w:p>
        </w:tc>
      </w:tr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sz w:val="21"/>
                <w:szCs w:val="21"/>
              </w:rPr>
            </w:pPr>
            <w:r w:rsidRPr="00C52E64">
              <w:rPr>
                <w:sz w:val="21"/>
                <w:szCs w:val="21"/>
              </w:rPr>
              <w:t>∑ door ARK-F II effectief opgerichte ARKIV’s (in miljoen euro)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52,0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44,5</w:t>
            </w:r>
          </w:p>
        </w:tc>
        <w:tc>
          <w:tcPr>
            <w:tcW w:w="938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96,4</w:t>
            </w:r>
          </w:p>
        </w:tc>
      </w:tr>
      <w:tr w:rsidR="00C52E64" w:rsidRPr="001332A7" w:rsidTr="00C52E64">
        <w:tc>
          <w:tcPr>
            <w:tcW w:w="6151" w:type="dxa"/>
          </w:tcPr>
          <w:p w:rsidR="00C52E64" w:rsidRPr="00C52E64" w:rsidRDefault="00C52E64" w:rsidP="00164735">
            <w:pPr>
              <w:pStyle w:val="Geenafstand"/>
              <w:jc w:val="both"/>
              <w:rPr>
                <w:sz w:val="21"/>
                <w:szCs w:val="21"/>
              </w:rPr>
            </w:pPr>
            <w:r w:rsidRPr="00C52E64">
              <w:rPr>
                <w:sz w:val="21"/>
                <w:szCs w:val="21"/>
              </w:rPr>
              <w:t xml:space="preserve">Totale fondsgrootte opgerichte ARKIV’s (in </w:t>
            </w:r>
            <w:r>
              <w:rPr>
                <w:sz w:val="21"/>
                <w:szCs w:val="21"/>
              </w:rPr>
              <w:t>miljoen</w:t>
            </w:r>
            <w:r w:rsidRPr="00C52E64">
              <w:rPr>
                <w:sz w:val="21"/>
                <w:szCs w:val="21"/>
              </w:rPr>
              <w:t xml:space="preserve"> euro)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110,5</w:t>
            </w:r>
          </w:p>
        </w:tc>
        <w:tc>
          <w:tcPr>
            <w:tcW w:w="766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94,0</w:t>
            </w:r>
          </w:p>
        </w:tc>
        <w:tc>
          <w:tcPr>
            <w:tcW w:w="938" w:type="dxa"/>
          </w:tcPr>
          <w:p w:rsidR="00C52E64" w:rsidRPr="00C52E64" w:rsidRDefault="00C52E64" w:rsidP="00164735">
            <w:pPr>
              <w:jc w:val="both"/>
              <w:rPr>
                <w:sz w:val="22"/>
                <w:szCs w:val="22"/>
              </w:rPr>
            </w:pPr>
            <w:r w:rsidRPr="00C52E64">
              <w:rPr>
                <w:sz w:val="22"/>
                <w:szCs w:val="22"/>
              </w:rPr>
              <w:t>204,5</w:t>
            </w:r>
          </w:p>
        </w:tc>
      </w:tr>
    </w:tbl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 w:hanging="360"/>
      </w:pPr>
      <w:r>
        <w:lastRenderedPageBreak/>
        <w:t>2a.</w:t>
      </w:r>
      <w:r>
        <w:tab/>
        <w:t xml:space="preserve">In mei 2011 ontvingen 5 partijen een ARKIV-erkenning en 5 partijen een erkenningsbelofte (i.e. erkenning conditioneel aan het vinden van de nodige private financiering en/of de definitieve samenstelling van het team van de </w:t>
      </w:r>
      <w:r w:rsidR="00FB48F3">
        <w:t xml:space="preserve">beheerder). 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/>
      </w:pPr>
      <w:r>
        <w:t xml:space="preserve">Eind 2011 waren al 5 ARKIV’s opgericht. In het eerste halfjaar van 2012 werden nog 3 erkende ARKIV’s opgericht. Daarnaast stonden er nog 2 erkenningsbeloftes open: één erkenningsbelofte kwam te vervallen aangezien de </w:t>
      </w:r>
      <w:r w:rsidR="00C14DF7">
        <w:t>“</w:t>
      </w:r>
      <w:r>
        <w:t>private funding</w:t>
      </w:r>
      <w:r w:rsidR="00C14DF7">
        <w:t>”</w:t>
      </w:r>
      <w:r>
        <w:t xml:space="preserve"> niet werd gevonden; en één erkenning diende hernieuwd te worden wegens aanslepende negotiaties.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/>
      </w:pPr>
      <w:r>
        <w:t xml:space="preserve">Na analyse en </w:t>
      </w:r>
      <w:r w:rsidR="00C14DF7">
        <w:t>“</w:t>
      </w:r>
      <w:r>
        <w:t>due diligence</w:t>
      </w:r>
      <w:r w:rsidR="00C14DF7">
        <w:t>”</w:t>
      </w:r>
      <w:r>
        <w:t xml:space="preserve"> van de aanvragen in de tweede ronde werd in augustus 2012 nog één bijkomende erkenning uitgereikt. 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/>
      </w:pPr>
      <w:r>
        <w:t>In het vierde kwartaal van 2012 werden dan de laatste 2 ARKIV’s opgericht om het totaal te brengen op 10 nieuwe ARKIV’s onder ARKimedes-Fonds II.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 w:hanging="360"/>
      </w:pPr>
      <w:r>
        <w:t>2b.</w:t>
      </w:r>
      <w:r>
        <w:tab/>
        <w:t xml:space="preserve">De eerste erkenningsperiode resulteerde in een allocatie waarbij de ARKIV-erkenningen 59,5 miljoen euro en de erkenningsbelofte 39,5 miljoen euro bedroegen, </w:t>
      </w:r>
      <w:r w:rsidR="00FB48F3">
        <w:t>samen</w:t>
      </w:r>
      <w:r>
        <w:t xml:space="preserve"> 99 </w:t>
      </w:r>
      <w:r w:rsidR="00C14DF7">
        <w:t>miljoen</w:t>
      </w:r>
      <w:r>
        <w:t xml:space="preserve"> euro. </w:t>
      </w:r>
    </w:p>
    <w:p w:rsidR="00C52E64" w:rsidRDefault="00C52E64" w:rsidP="00164735">
      <w:pPr>
        <w:pStyle w:val="StandaardSV"/>
        <w:ind w:left="360"/>
      </w:pPr>
      <w:r>
        <w:t xml:space="preserve">Eind 2011 waren al 5 ARKIV’s opgericht voor een bedrag van 52 </w:t>
      </w:r>
      <w:r w:rsidR="00C14DF7">
        <w:t>miljoen</w:t>
      </w:r>
      <w:r>
        <w:t xml:space="preserve"> euro. 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/>
      </w:pPr>
      <w:r>
        <w:t xml:space="preserve">De tweede erkenningsperiode leverde één bijkomende erkenning op ten bedrage van 7,5 </w:t>
      </w:r>
      <w:r w:rsidR="00C14DF7">
        <w:t>miljoen</w:t>
      </w:r>
      <w:r>
        <w:t xml:space="preserve"> euro. </w:t>
      </w:r>
    </w:p>
    <w:p w:rsidR="00C52E64" w:rsidRDefault="00C52E64" w:rsidP="00164735">
      <w:pPr>
        <w:pStyle w:val="StandaardSV"/>
        <w:ind w:left="360"/>
      </w:pPr>
    </w:p>
    <w:p w:rsidR="00C52E64" w:rsidRDefault="00C52E64" w:rsidP="00164735">
      <w:pPr>
        <w:pStyle w:val="StandaardSV"/>
        <w:ind w:left="360"/>
      </w:pPr>
      <w:r>
        <w:t>Per 31 december 2012 zijn tien ARKIV’s opgericht, waaraan ARKimedes-Fonds II in totaal 96,4 miljoen euro heeft gealloceerd.</w:t>
      </w:r>
    </w:p>
    <w:p w:rsidR="00C52E64" w:rsidRDefault="00C52E64" w:rsidP="00164735">
      <w:pPr>
        <w:pStyle w:val="StandaardSV"/>
        <w:ind w:left="360"/>
      </w:pPr>
      <w:r>
        <w:t xml:space="preserve"> </w:t>
      </w:r>
    </w:p>
    <w:p w:rsidR="00C52E64" w:rsidRDefault="00C52E64" w:rsidP="00164735">
      <w:pPr>
        <w:pStyle w:val="StandaardSV"/>
        <w:ind w:left="360"/>
      </w:pPr>
      <w:r>
        <w:t xml:space="preserve">Dankzij de hefboomwerking van ARKimedes bedraagt de totale fondsgrootte van deze 10 nieuwe ARKIV’s onder ARKimedes-Fonds II 204,5 </w:t>
      </w:r>
      <w:r w:rsidR="00C14DF7">
        <w:t>miljoen</w:t>
      </w:r>
      <w:r>
        <w:t xml:space="preserve"> euro. </w:t>
      </w:r>
    </w:p>
    <w:p w:rsidR="00C52E64" w:rsidRDefault="00C52E64" w:rsidP="00164735">
      <w:pPr>
        <w:pStyle w:val="StandaardSV"/>
        <w:ind w:left="360"/>
      </w:pPr>
    </w:p>
    <w:p w:rsidR="007756AB" w:rsidRDefault="00C52E64" w:rsidP="00164735">
      <w:pPr>
        <w:pStyle w:val="StandaardSV"/>
        <w:ind w:left="360"/>
      </w:pPr>
      <w:r>
        <w:t xml:space="preserve">De spreiding per sector ziet er als volgt uit: 33% ICT &amp; media; 25% cleantech &amp; </w:t>
      </w:r>
      <w:r w:rsidR="00FB48F3">
        <w:t xml:space="preserve">engineering; </w:t>
      </w:r>
      <w:r>
        <w:t>20% life sciences; en 22% klassieke kmo-financiering.</w:t>
      </w:r>
    </w:p>
    <w:p w:rsidR="00C52E64" w:rsidRDefault="00C52E64" w:rsidP="00164735">
      <w:pPr>
        <w:pStyle w:val="StandaardSV"/>
        <w:ind w:left="360"/>
      </w:pPr>
    </w:p>
    <w:p w:rsidR="00C14DF7" w:rsidRDefault="00C14DF7" w:rsidP="00164735">
      <w:pPr>
        <w:pStyle w:val="StandaardSV"/>
        <w:ind w:left="360"/>
      </w:pPr>
      <w:r>
        <w:t>Een overzichtstabel vindt u hieronder.</w:t>
      </w:r>
    </w:p>
    <w:p w:rsidR="00C14DF7" w:rsidRDefault="00C14DF7" w:rsidP="00164735">
      <w:pPr>
        <w:pStyle w:val="StandaardSV"/>
        <w:ind w:left="360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143"/>
        <w:gridCol w:w="1159"/>
        <w:gridCol w:w="1106"/>
        <w:gridCol w:w="1829"/>
      </w:tblGrid>
      <w:tr w:rsidR="00FB48F3" w:rsidRPr="00FB48F3" w:rsidTr="006F1BF6">
        <w:tc>
          <w:tcPr>
            <w:tcW w:w="212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en-US" w:eastAsia="en-US"/>
              </w:rPr>
              <w:t xml:space="preserve">ARKIV 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en-US" w:eastAsia="en-US"/>
              </w:rPr>
              <w:t>(ARK-F II)</w:t>
            </w:r>
          </w:p>
        </w:tc>
        <w:tc>
          <w:tcPr>
            <w:tcW w:w="1418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>Fonds-grootte</w:t>
            </w:r>
          </w:p>
        </w:tc>
        <w:tc>
          <w:tcPr>
            <w:tcW w:w="2143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>Toegezegd bedrag door ARK-F II</w:t>
            </w:r>
          </w:p>
        </w:tc>
        <w:tc>
          <w:tcPr>
            <w:tcW w:w="1159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 xml:space="preserve">% 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>ARK-F II</w:t>
            </w:r>
          </w:p>
        </w:tc>
        <w:tc>
          <w:tcPr>
            <w:tcW w:w="1106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>Focus qua stadia</w:t>
            </w:r>
          </w:p>
        </w:tc>
        <w:tc>
          <w:tcPr>
            <w:tcW w:w="1829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val="nl-BE" w:eastAsia="en-US"/>
              </w:rPr>
              <w:t>Focus qua sector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12" w:space="0" w:color="00808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EA37E6" w:rsidP="00164735">
            <w:pPr>
              <w:jc w:val="both"/>
              <w:rPr>
                <w:rFonts w:ascii="Verdana" w:eastAsia="PMingLiU" w:hAnsi="Verdana"/>
                <w:sz w:val="16"/>
                <w:szCs w:val="16"/>
                <w:u w:val="single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24"/>
                <w:lang w:val="en-GB" w:eastAsia="en-US"/>
              </w:rPr>
              <w:fldChar w:fldCharType="begin"/>
            </w:r>
            <w:r w:rsidR="002852A6" w:rsidRPr="00FB48F3">
              <w:rPr>
                <w:rFonts w:ascii="Verdana" w:eastAsia="PMingLiU" w:hAnsi="Verdana"/>
                <w:sz w:val="16"/>
                <w:szCs w:val="24"/>
                <w:lang w:val="en-GB" w:eastAsia="en-US"/>
              </w:rPr>
              <w:instrText>HYPERLINK "http://www.aaafund.be/"</w:instrText>
            </w:r>
            <w:r w:rsidRPr="00FB48F3">
              <w:rPr>
                <w:rFonts w:ascii="Verdana" w:eastAsia="PMingLiU" w:hAnsi="Verdana"/>
                <w:sz w:val="16"/>
                <w:szCs w:val="24"/>
                <w:lang w:val="en-GB" w:eastAsia="en-US"/>
              </w:rPr>
              <w:fldChar w:fldCharType="separate"/>
            </w:r>
            <w:r w:rsidR="002852A6" w:rsidRPr="00FB48F3">
              <w:rPr>
                <w:rFonts w:ascii="Verdana" w:eastAsia="PMingLiU" w:hAnsi="Verdana"/>
                <w:sz w:val="16"/>
                <w:szCs w:val="16"/>
                <w:u w:val="single"/>
                <w:lang w:val="en-US" w:eastAsia="en-US"/>
              </w:rPr>
              <w:t xml:space="preserve">ARK-Angels Activator Fund </w:t>
            </w:r>
            <w:proofErr w:type="spellStart"/>
            <w:r w:rsidR="002852A6" w:rsidRPr="00FB48F3">
              <w:rPr>
                <w:rFonts w:ascii="Verdana" w:eastAsia="PMingLiU" w:hAnsi="Verdana"/>
                <w:sz w:val="16"/>
                <w:szCs w:val="16"/>
                <w:u w:val="single"/>
                <w:lang w:val="en-US" w:eastAsia="en-US"/>
              </w:rPr>
              <w:t>nv</w:t>
            </w:r>
            <w:proofErr w:type="spellEnd"/>
            <w:r w:rsidR="002852A6" w:rsidRPr="00FB48F3">
              <w:rPr>
                <w:rFonts w:ascii="Verdana" w:eastAsia="PMingLiU" w:hAnsi="Verdana"/>
                <w:sz w:val="16"/>
                <w:szCs w:val="16"/>
                <w:u w:val="single"/>
                <w:lang w:val="en-US" w:eastAsia="en-US"/>
              </w:rPr>
              <w:t xml:space="preserve"> (AAA Fund)</w:t>
            </w:r>
          </w:p>
          <w:p w:rsidR="002852A6" w:rsidRPr="00FB48F3" w:rsidRDefault="00EA37E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24"/>
                <w:lang w:val="en-GB"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808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14.800.000</w:t>
            </w:r>
          </w:p>
        </w:tc>
        <w:tc>
          <w:tcPr>
            <w:tcW w:w="2143" w:type="dxa"/>
            <w:tcBorders>
              <w:top w:val="single" w:sz="12" w:space="0" w:color="00808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5</w:t>
            </w: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.000.000</w:t>
            </w:r>
          </w:p>
        </w:tc>
        <w:tc>
          <w:tcPr>
            <w:tcW w:w="1159" w:type="dxa"/>
            <w:tcBorders>
              <w:top w:val="single" w:sz="12" w:space="0" w:color="00808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33,78</w:t>
            </w: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%</w:t>
            </w:r>
          </w:p>
        </w:tc>
        <w:tc>
          <w:tcPr>
            <w:tcW w:w="1106" w:type="dxa"/>
            <w:tcBorders>
              <w:top w:val="single" w:sz="12" w:space="0" w:color="00808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Early</w:t>
            </w: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,</w:t>
            </w: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 xml:space="preserve"> mid</w:t>
            </w: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 xml:space="preserve"> &amp; late</w:t>
            </w: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 xml:space="preserve">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</w:p>
        </w:tc>
        <w:tc>
          <w:tcPr>
            <w:tcW w:w="1829" w:type="dxa"/>
            <w:tcBorders>
              <w:top w:val="single" w:sz="12" w:space="0" w:color="00808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Alle sectoren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hyperlink r:id="rId9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en-US" w:eastAsia="en-US"/>
                </w:rPr>
                <w:t xml:space="preserve">Capital-E II ARKIV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en-US" w:eastAsia="en-US"/>
                </w:rPr>
                <w:t>nv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30.005.000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15.000.000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49,99%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Zaai, start-up, early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Micro- en nano-elektronica, Imec-dossiers en nieuwe materialen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hyperlink r:id="rId10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en-US" w:eastAsia="en-US"/>
                </w:rPr>
                <w:t>Capricorn ICT ARKIV nv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15.052.000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7.450.000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49,50%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Zaai, start-up, early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ICT met voornaamste focus ‘digital healthcare’ en ‘big data’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hyperlink r:id="rId11" w:history="1"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GB" w:eastAsia="en-US"/>
                </w:rPr>
                <w:t>Gimv</w:t>
              </w:r>
              <w:proofErr w:type="spellEnd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GB" w:eastAsia="en-US"/>
                </w:rPr>
                <w:t xml:space="preserve">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GB" w:eastAsia="en-US"/>
                </w:rPr>
                <w:t>Arkiv</w:t>
              </w:r>
              <w:proofErr w:type="spellEnd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GB" w:eastAsia="en-US"/>
                </w:rPr>
                <w:t xml:space="preserve"> Tech Fund II nv</w:t>
              </w:r>
            </w:hyperlink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25.000.000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12.000.000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48,00%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Early &amp; mid stage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ICT &amp; Cleantech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  <w:hyperlink r:id="rId12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Hummingbird ARKIV nv</w:t>
              </w:r>
            </w:hyperlink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20.020.000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10.000.000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49,95%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Early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ICT</w:t>
            </w:r>
          </w:p>
        </w:tc>
      </w:tr>
      <w:tr w:rsidR="00FB48F3" w:rsidRPr="00173FC9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  <w:hyperlink r:id="rId13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KMOFIN 2 nv</w:t>
              </w:r>
            </w:hyperlink>
            <w:r w:rsidR="002852A6" w:rsidRPr="00FB48F3">
              <w:rPr>
                <w:rFonts w:ascii="Verdana" w:eastAsia="PMingLiU" w:hAnsi="Verdana"/>
                <w:sz w:val="16"/>
                <w:szCs w:val="16"/>
                <w:lang w:val="fr-FR" w:eastAsia="en-US"/>
              </w:rPr>
              <w:t xml:space="preserve"> 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fr-FR" w:eastAsia="en-US"/>
              </w:rPr>
              <w:t>(</w:t>
            </w:r>
            <w:hyperlink r:id="rId14" w:history="1">
              <w:r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LRM</w:t>
              </w:r>
            </w:hyperlink>
            <w:r w:rsidRPr="00FB48F3">
              <w:rPr>
                <w:rFonts w:ascii="Verdana" w:eastAsia="PMingLiU" w:hAnsi="Verdana"/>
                <w:sz w:val="16"/>
                <w:szCs w:val="16"/>
                <w:lang w:val="fr-FR" w:eastAsia="en-US"/>
              </w:rPr>
              <w:t xml:space="preserve"> i.s.m. </w:t>
            </w:r>
            <w:hyperlink r:id="rId15" w:history="1">
              <w:r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UHasselt Venture Management</w:t>
              </w:r>
            </w:hyperlink>
            <w:r w:rsidRPr="00FB48F3">
              <w:rPr>
                <w:rFonts w:ascii="Verdana" w:eastAsia="PMingLiU" w:hAnsi="Verdana"/>
                <w:sz w:val="16"/>
                <w:szCs w:val="16"/>
                <w:lang w:val="fr-FR" w:eastAsia="en-US"/>
              </w:rPr>
              <w:t>)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35.500.000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15.000.000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42,25%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Zaai, start-up, early tot late stage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auto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 xml:space="preserve">Life sciences, 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ICT &amp; media, cleantech, kmo’s en spin-offs AUHL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auto"/>
              <w:left w:val="single" w:sz="12" w:space="0" w:color="008080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  <w:hyperlink r:id="rId16" w:history="1"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Qbic</w:t>
              </w:r>
              <w:proofErr w:type="spellEnd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 xml:space="preserve"> ARKIV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Fund</w:t>
              </w:r>
              <w:proofErr w:type="spellEnd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 xml:space="preserve">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fr-FR" w:eastAsia="en-US"/>
                </w:rPr>
                <w:t>nv</w:t>
              </w:r>
              <w:proofErr w:type="spellEnd"/>
            </w:hyperlink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24.048.000</w:t>
            </w:r>
          </w:p>
        </w:tc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12.000.000</w:t>
            </w:r>
          </w:p>
        </w:tc>
        <w:tc>
          <w:tcPr>
            <w:tcW w:w="11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49,90%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Zaai, start-up, early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008080"/>
            </w:tcBorders>
          </w:tcPr>
          <w:p w:rsidR="002852A6" w:rsidRPr="00173FC9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173FC9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 xml:space="preserve">Interuniversitair spin-off fonds </w:t>
            </w:r>
            <w:proofErr w:type="spellStart"/>
            <w:r w:rsidRPr="00173FC9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UGent</w:t>
            </w:r>
            <w:proofErr w:type="spellEnd"/>
            <w:r w:rsidRPr="00173FC9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, VUB en UA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auto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hyperlink r:id="rId17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en-US" w:eastAsia="en-US"/>
                </w:rPr>
                <w:t>Think2Act ARKIV nv</w:t>
              </w:r>
            </w:hyperlink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fr-FR"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10.050.000</w:t>
            </w:r>
          </w:p>
        </w:tc>
        <w:tc>
          <w:tcPr>
            <w:tcW w:w="2143" w:type="dxa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5.000.000</w:t>
            </w:r>
          </w:p>
        </w:tc>
        <w:tc>
          <w:tcPr>
            <w:tcW w:w="1159" w:type="dxa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en-US" w:eastAsia="en-US"/>
              </w:rPr>
              <w:t>49,75%</w:t>
            </w:r>
          </w:p>
        </w:tc>
        <w:tc>
          <w:tcPr>
            <w:tcW w:w="1106" w:type="dxa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Late stage &amp; groei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Alle sectoren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hyperlink r:id="rId18" w:history="1">
              <w:r w:rsidR="002852A6" w:rsidRPr="00FB48F3">
                <w:rPr>
                  <w:rFonts w:ascii="Verdana" w:eastAsia="PMingLiU" w:hAnsi="Verdana"/>
                  <w:sz w:val="16"/>
                  <w:szCs w:val="16"/>
                  <w:u w:val="single"/>
                  <w:lang w:val="nl-BE" w:eastAsia="en-US"/>
                </w:rPr>
                <w:t>Vectis ARKIV nv</w:t>
              </w:r>
            </w:hyperlink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15.000.000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7.499.000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49,99%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Late stage &amp; groei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Alle sectoren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2" w:space="0" w:color="000000"/>
              <w:left w:val="single" w:sz="12" w:space="0" w:color="008080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634E7D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en-US" w:eastAsia="en-US"/>
              </w:rPr>
            </w:pPr>
            <w:hyperlink r:id="rId19" w:history="1"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US" w:eastAsia="en-US"/>
                </w:rPr>
                <w:t xml:space="preserve">Vesalius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US" w:eastAsia="en-US"/>
                </w:rPr>
                <w:t>Biocapital</w:t>
              </w:r>
              <w:proofErr w:type="spellEnd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US" w:eastAsia="en-US"/>
                </w:rPr>
                <w:t xml:space="preserve"> II ARKIV </w:t>
              </w:r>
              <w:proofErr w:type="spellStart"/>
              <w:r w:rsidR="002852A6" w:rsidRPr="00FB48F3">
                <w:rPr>
                  <w:rFonts w:ascii="Verdana" w:eastAsia="PMingLiU" w:hAnsi="Verdana"/>
                  <w:sz w:val="16"/>
                  <w:szCs w:val="24"/>
                  <w:u w:val="single"/>
                  <w:lang w:val="en-US" w:eastAsia="en-US"/>
                </w:rPr>
                <w:t>nv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15.000.000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7.490.000</w:t>
            </w:r>
          </w:p>
        </w:tc>
        <w:tc>
          <w:tcPr>
            <w:tcW w:w="1159" w:type="dxa"/>
            <w:tcBorders>
              <w:top w:val="single" w:sz="2" w:space="0" w:color="00000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49,93%</w:t>
            </w: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Early &amp; mid stage</w:t>
            </w:r>
          </w:p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12" w:space="0" w:color="008080"/>
              <w:right w:val="single" w:sz="12" w:space="0" w:color="008080"/>
            </w:tcBorders>
          </w:tcPr>
          <w:p w:rsidR="002852A6" w:rsidRPr="00FB48F3" w:rsidRDefault="002852A6" w:rsidP="00164735">
            <w:pPr>
              <w:jc w:val="both"/>
              <w:rPr>
                <w:rFonts w:ascii="Verdana" w:eastAsia="PMingLiU" w:hAnsi="Verdana"/>
                <w:sz w:val="16"/>
                <w:szCs w:val="16"/>
                <w:lang w:val="nl-BE" w:eastAsia="en-US"/>
              </w:rPr>
            </w:pPr>
            <w:r w:rsidRPr="00FB48F3">
              <w:rPr>
                <w:rFonts w:ascii="Verdana" w:eastAsia="PMingLiU" w:hAnsi="Verdana"/>
                <w:sz w:val="16"/>
                <w:szCs w:val="16"/>
                <w:lang w:val="nl-BE" w:eastAsia="en-US"/>
              </w:rPr>
              <w:t>Life sciences</w:t>
            </w:r>
          </w:p>
        </w:tc>
      </w:tr>
      <w:tr w:rsidR="00FB48F3" w:rsidRPr="00FB48F3" w:rsidTr="006F1BF6">
        <w:tc>
          <w:tcPr>
            <w:tcW w:w="2127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  <w:t>TOTAAL</w:t>
            </w:r>
          </w:p>
        </w:tc>
        <w:tc>
          <w:tcPr>
            <w:tcW w:w="1418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  <w:t>204.475.000</w:t>
            </w:r>
          </w:p>
        </w:tc>
        <w:tc>
          <w:tcPr>
            <w:tcW w:w="2143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  <w:r w:rsidRPr="00FB48F3"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  <w:t>96.439.000</w:t>
            </w:r>
          </w:p>
        </w:tc>
        <w:tc>
          <w:tcPr>
            <w:tcW w:w="1159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  <w:shd w:val="clear" w:color="auto" w:fill="auto"/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12" w:space="0" w:color="008080"/>
              <w:left w:val="nil"/>
              <w:bottom w:val="single" w:sz="12" w:space="0" w:color="008080"/>
              <w:right w:val="nil"/>
            </w:tcBorders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</w:tcPr>
          <w:p w:rsidR="002852A6" w:rsidRPr="00FB48F3" w:rsidRDefault="002852A6" w:rsidP="00164735">
            <w:pPr>
              <w:spacing w:after="120"/>
              <w:jc w:val="both"/>
              <w:rPr>
                <w:rFonts w:ascii="Verdana" w:eastAsia="PMingLiU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B276DA" w:rsidRDefault="00B276DA" w:rsidP="00164735">
      <w:pPr>
        <w:pStyle w:val="StandaardSV"/>
      </w:pPr>
    </w:p>
    <w:p w:rsidR="00FB48F3" w:rsidRDefault="00FB48F3" w:rsidP="00164735">
      <w:pPr>
        <w:pStyle w:val="StandaardSV"/>
        <w:numPr>
          <w:ilvl w:val="0"/>
          <w:numId w:val="34"/>
        </w:numPr>
      </w:pPr>
      <w:r>
        <w:t xml:space="preserve">Per eind 2012 zijn de 10 nieuwe ARKIV’s effectief opgericht, waar dit eind 2011 slechts 5 nieuwe ARKIV’s waren. 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t xml:space="preserve">Wat de indirecte investeringen van ARKimedes-Fonds II in de eigenlijke doelondernemingen betreft, werd er per eind 2011 (toen de helft van de ARKIV’s was opgericht) 3,7 </w:t>
      </w:r>
      <w:r w:rsidR="00C14DF7">
        <w:t>miljoen</w:t>
      </w:r>
      <w:r>
        <w:t xml:space="preserve"> euro geïnvesteerd door de ARKIV’s in 4 verschillende Vlaamse starters en kmo’s. 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t xml:space="preserve">Inmiddels, per eind 2012, werd er een bedrag van 13 </w:t>
      </w:r>
      <w:r w:rsidR="00C14DF7">
        <w:t>miljoen</w:t>
      </w:r>
      <w:r>
        <w:t xml:space="preserve"> euro geïnvesteerd door de ARKIV’s in 17 verschillende Vlaamse starters en kmo’s via 21 ARK-investeringen (18 initiële investeringen en 3 vervolginvesteringen). 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t>Deze 17 ondernemingen, vaak opstartend in hoogtechnologische speerpuntsectoren met hoger opgeleide arbeidsprofielen, zorgen voor een directe tewerkstelling van ca. 200 VTE.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t>Een overzicht van de historiek van de ARK-investeringen per ARKIV wordt verschaft in onderstaande tabel.</w:t>
      </w:r>
    </w:p>
    <w:p w:rsidR="002852A6" w:rsidRPr="00FB48F3" w:rsidRDefault="002852A6" w:rsidP="00164735">
      <w:pPr>
        <w:pStyle w:val="StandaardSV"/>
        <w:ind w:left="360"/>
      </w:pPr>
    </w:p>
    <w:tbl>
      <w:tblPr>
        <w:tblW w:w="10774" w:type="dxa"/>
        <w:tblInd w:w="-8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1679"/>
        <w:gridCol w:w="1560"/>
        <w:gridCol w:w="1559"/>
        <w:gridCol w:w="1417"/>
        <w:gridCol w:w="2127"/>
      </w:tblGrid>
      <w:tr w:rsidR="00FB48F3" w:rsidRPr="00FB48F3" w:rsidTr="00F06FA4">
        <w:tc>
          <w:tcPr>
            <w:tcW w:w="243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b/>
                <w:bCs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 xml:space="preserve">ARKIV </w:t>
            </w:r>
          </w:p>
        </w:tc>
        <w:tc>
          <w:tcPr>
            <w:tcW w:w="1679" w:type="dxa"/>
            <w:tcBorders>
              <w:top w:val="single" w:sz="18" w:space="0" w:color="008080"/>
              <w:left w:val="nil"/>
              <w:bottom w:val="single" w:sz="18" w:space="0" w:color="0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b/>
                <w:bCs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rFonts w:ascii="Arial" w:hAnsi="Arial" w:cs="Arial"/>
                <w:b/>
                <w:bCs/>
                <w:i/>
                <w:sz w:val="18"/>
                <w:szCs w:val="18"/>
                <w:lang w:val="nl-BE"/>
              </w:rPr>
              <w:t xml:space="preserve"> ∑</w:t>
            </w: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 xml:space="preserve"> ARK-investeringen per 31/12/12</w:t>
            </w:r>
          </w:p>
        </w:tc>
        <w:tc>
          <w:tcPr>
            <w:tcW w:w="1560" w:type="dxa"/>
            <w:tcBorders>
              <w:top w:val="single" w:sz="18" w:space="0" w:color="008080"/>
              <w:left w:val="nil"/>
              <w:bottom w:val="single" w:sz="18" w:space="0" w:color="0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ind w:left="92"/>
              <w:jc w:val="both"/>
              <w:rPr>
                <w:rFonts w:eastAsia="SimSun" w:cs="SimSun"/>
                <w:b/>
                <w:bCs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Aantal dossiers per 31/12/12</w:t>
            </w:r>
          </w:p>
        </w:tc>
        <w:tc>
          <w:tcPr>
            <w:tcW w:w="1559" w:type="dxa"/>
            <w:tcBorders>
              <w:top w:val="single" w:sz="18" w:space="0" w:color="008080"/>
              <w:left w:val="nil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ind w:left="50"/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rFonts w:ascii="Arial" w:hAnsi="Arial" w:cs="Arial"/>
                <w:b/>
                <w:bCs/>
                <w:i/>
                <w:sz w:val="18"/>
                <w:szCs w:val="18"/>
                <w:lang w:val="nl-BE"/>
              </w:rPr>
              <w:t xml:space="preserve"> ∑</w:t>
            </w: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 xml:space="preserve"> ARK-investeringen per 31/12/11</w:t>
            </w:r>
          </w:p>
        </w:tc>
        <w:tc>
          <w:tcPr>
            <w:tcW w:w="1417" w:type="dxa"/>
            <w:tcBorders>
              <w:top w:val="single" w:sz="18" w:space="0" w:color="008080"/>
              <w:left w:val="single" w:sz="8" w:space="0" w:color="auto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ind w:left="92"/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Aantal dossiers per 31/12/11</w:t>
            </w:r>
          </w:p>
        </w:tc>
        <w:tc>
          <w:tcPr>
            <w:tcW w:w="2127" w:type="dxa"/>
            <w:tcBorders>
              <w:top w:val="single" w:sz="18" w:space="0" w:color="008080"/>
              <w:left w:val="single" w:sz="8" w:space="0" w:color="auto"/>
              <w:bottom w:val="single" w:sz="18" w:space="0" w:color="008080"/>
              <w:right w:val="single" w:sz="18" w:space="0" w:color="0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b/>
                <w:bCs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Werkgelegenheid bin</w:t>
            </w:r>
            <w:r w:rsidR="00BB70FF" w:rsidRPr="00FB48F3">
              <w:rPr>
                <w:b/>
                <w:bCs/>
                <w:i/>
                <w:sz w:val="18"/>
                <w:szCs w:val="18"/>
                <w:lang w:val="nl-BE"/>
              </w:rPr>
              <w:t>nen de doel</w:t>
            </w: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 xml:space="preserve">ondernemingen per 31/12/12   </w:t>
            </w:r>
            <w:r w:rsidRPr="00FB48F3">
              <w:rPr>
                <w:i/>
                <w:iCs/>
                <w:sz w:val="18"/>
                <w:szCs w:val="18"/>
                <w:lang w:val="nl-BE"/>
              </w:rPr>
              <w:t>(1)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ARK Angels Activator Fund</w:t>
            </w:r>
          </w:p>
        </w:tc>
        <w:tc>
          <w:tcPr>
            <w:tcW w:w="1679" w:type="dxa"/>
            <w:tcBorders>
              <w:top w:val="single" w:sz="18" w:space="0" w:color="0080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18" w:space="0" w:color="00808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8080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1417" w:type="dxa"/>
            <w:tcBorders>
              <w:top w:val="single" w:sz="18" w:space="0" w:color="00808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2127" w:type="dxa"/>
            <w:tcBorders>
              <w:top w:val="single" w:sz="18" w:space="0" w:color="008080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0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eastAsia="zh-CN"/>
              </w:rPr>
            </w:pPr>
            <w:r w:rsidRPr="00FB48F3">
              <w:rPr>
                <w:i/>
                <w:sz w:val="18"/>
                <w:szCs w:val="18"/>
              </w:rPr>
              <w:t>Capital-E II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0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eastAsia="zh-CN"/>
              </w:rPr>
            </w:pPr>
            <w:r w:rsidRPr="00FB48F3">
              <w:rPr>
                <w:i/>
                <w:sz w:val="18"/>
                <w:szCs w:val="18"/>
              </w:rPr>
              <w:t>Capricorn ICT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0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en-US" w:eastAsia="zh-CN"/>
              </w:rPr>
            </w:pPr>
            <w:r w:rsidRPr="00FB48F3">
              <w:rPr>
                <w:i/>
                <w:sz w:val="18"/>
                <w:szCs w:val="18"/>
                <w:lang w:val="en-US"/>
              </w:rPr>
              <w:t>Gimv Arkiv Tech Fund II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0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i/>
                <w:sz w:val="18"/>
                <w:szCs w:val="18"/>
              </w:rPr>
              <w:t>Hummingbird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4.500.011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999.999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55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eastAsia="zh-CN"/>
              </w:rPr>
            </w:pPr>
            <w:r w:rsidRPr="00FB48F3">
              <w:rPr>
                <w:i/>
                <w:sz w:val="18"/>
                <w:szCs w:val="18"/>
              </w:rPr>
              <w:t>KMOFIN 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3.534.346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200.000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56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i/>
                <w:sz w:val="18"/>
                <w:szCs w:val="18"/>
              </w:rPr>
              <w:t>Qbic ARKIV Fund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0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en-US" w:eastAsia="zh-CN"/>
              </w:rPr>
            </w:pPr>
            <w:r w:rsidRPr="00FB48F3">
              <w:rPr>
                <w:i/>
                <w:sz w:val="18"/>
                <w:szCs w:val="18"/>
                <w:lang w:val="en-US"/>
              </w:rPr>
              <w:t>Think2Act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969.826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Nvt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-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en-US" w:eastAsia="zh-CN"/>
              </w:rPr>
            </w:pPr>
            <w:r w:rsidRPr="00FB48F3">
              <w:rPr>
                <w:i/>
                <w:sz w:val="18"/>
                <w:szCs w:val="18"/>
                <w:lang w:val="en-US"/>
              </w:rPr>
              <w:t>Vectis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2.040.000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1.500.000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75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18" w:space="0" w:color="00808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Vesalius Biocapital ARKIV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8" w:space="0" w:color="00808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</w:rPr>
            </w:pPr>
            <w:r w:rsidRPr="00FB48F3">
              <w:rPr>
                <w:i/>
                <w:sz w:val="18"/>
                <w:szCs w:val="18"/>
              </w:rPr>
              <w:t>1.937.500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808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1.000.000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i/>
                <w:sz w:val="18"/>
                <w:szCs w:val="18"/>
                <w:lang w:val="nl-BE"/>
              </w:rPr>
            </w:pPr>
            <w:r w:rsidRPr="00FB48F3">
              <w:rPr>
                <w:i/>
                <w:sz w:val="18"/>
                <w:szCs w:val="18"/>
                <w:lang w:val="nl-BE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18" w:space="0" w:color="00808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/>
                <w:i/>
                <w:sz w:val="18"/>
                <w:szCs w:val="18"/>
                <w:lang w:eastAsia="zh-CN"/>
              </w:rPr>
            </w:pPr>
            <w:r w:rsidRPr="00FB48F3">
              <w:rPr>
                <w:rFonts w:eastAsia="SimSun"/>
                <w:i/>
                <w:sz w:val="18"/>
                <w:szCs w:val="18"/>
                <w:lang w:eastAsia="zh-CN"/>
              </w:rPr>
              <w:t>16</w:t>
            </w:r>
          </w:p>
        </w:tc>
      </w:tr>
      <w:tr w:rsidR="00FB48F3" w:rsidRPr="00FB48F3" w:rsidTr="00F06FA4">
        <w:tc>
          <w:tcPr>
            <w:tcW w:w="2432" w:type="dxa"/>
            <w:tcBorders>
              <w:top w:val="nil"/>
              <w:left w:val="single" w:sz="18" w:space="0" w:color="008080"/>
              <w:bottom w:val="single" w:sz="18" w:space="0" w:color="0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rFonts w:eastAsia="SimSun" w:cs="SimSun"/>
                <w:b/>
                <w:bCs/>
                <w:i/>
                <w:sz w:val="18"/>
                <w:szCs w:val="18"/>
                <w:lang w:val="nl-BE" w:eastAsia="zh-CN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18" w:space="0" w:color="0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12.981.682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3.699.999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18" w:space="0" w:color="008080"/>
              <w:right w:val="single" w:sz="8" w:space="0" w:color="auto"/>
            </w:tcBorders>
          </w:tcPr>
          <w:p w:rsidR="006C5506" w:rsidRPr="00FB48F3" w:rsidRDefault="006C5506" w:rsidP="00164735">
            <w:pPr>
              <w:ind w:right="74"/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18" w:space="0" w:color="008080"/>
              <w:right w:val="single" w:sz="1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506" w:rsidRPr="00FB48F3" w:rsidRDefault="006C5506" w:rsidP="00164735">
            <w:pPr>
              <w:jc w:val="both"/>
              <w:rPr>
                <w:b/>
                <w:bCs/>
                <w:i/>
                <w:sz w:val="18"/>
                <w:szCs w:val="18"/>
                <w:lang w:val="nl-BE"/>
              </w:rPr>
            </w:pPr>
            <w:r w:rsidRPr="00FB48F3">
              <w:rPr>
                <w:b/>
                <w:bCs/>
                <w:i/>
                <w:sz w:val="18"/>
                <w:szCs w:val="18"/>
                <w:lang w:val="nl-BE"/>
              </w:rPr>
              <w:t>Ca. 200</w:t>
            </w:r>
            <w:r w:rsidR="00BB70FF" w:rsidRPr="00FB48F3">
              <w:rPr>
                <w:b/>
                <w:bCs/>
                <w:i/>
                <w:sz w:val="18"/>
                <w:szCs w:val="18"/>
                <w:lang w:val="nl-BE"/>
              </w:rPr>
              <w:t xml:space="preserve"> VTE</w:t>
            </w:r>
          </w:p>
        </w:tc>
      </w:tr>
    </w:tbl>
    <w:p w:rsidR="006C5506" w:rsidRPr="00FB48F3" w:rsidRDefault="006C5506" w:rsidP="00164735">
      <w:pPr>
        <w:pStyle w:val="StandaardSV"/>
        <w:ind w:left="426"/>
        <w:rPr>
          <w:i/>
          <w:sz w:val="18"/>
        </w:rPr>
      </w:pPr>
    </w:p>
    <w:p w:rsidR="00FB48F3" w:rsidRDefault="006C5506" w:rsidP="00164735">
      <w:pPr>
        <w:pStyle w:val="StandaardSV"/>
        <w:ind w:left="360"/>
        <w:rPr>
          <w:i/>
          <w:sz w:val="18"/>
        </w:rPr>
      </w:pPr>
      <w:r w:rsidRPr="00FB48F3">
        <w:rPr>
          <w:i/>
          <w:sz w:val="18"/>
        </w:rPr>
        <w:t>(1)</w:t>
      </w:r>
      <w:r w:rsidRPr="00FB48F3">
        <w:rPr>
          <w:i/>
          <w:sz w:val="18"/>
        </w:rPr>
        <w:tab/>
        <w:t xml:space="preserve">In de kolom werkgelegenheid wordt voor elke ARKIV de totale werkgelegenheid vermeld van alle doelondernemingen samen waarin de ARKIV investeerde. Daarbij moet rekening worden gehouden </w:t>
      </w:r>
      <w:r w:rsidR="00C14DF7">
        <w:rPr>
          <w:i/>
          <w:sz w:val="18"/>
        </w:rPr>
        <w:t xml:space="preserve">met het feit </w:t>
      </w:r>
      <w:r w:rsidRPr="00FB48F3">
        <w:rPr>
          <w:i/>
          <w:sz w:val="18"/>
        </w:rPr>
        <w:t>dat soms meer dan één ARKIV in eenzelfde doelonderneming investeerde. Eventuele dubbeltellingen op het geconsolideerde ARKimedes-Fonds II-niveau worden daarom geëlimineerd. De doelondernemingen vertegenwoordigen samen circa 200 voltijdse arbeidsplaatsen (VTE) per 31/12/12.</w:t>
      </w:r>
    </w:p>
    <w:p w:rsidR="00FB48F3" w:rsidRDefault="00FB48F3" w:rsidP="00164735">
      <w:pPr>
        <w:jc w:val="both"/>
        <w:rPr>
          <w:i/>
          <w:sz w:val="18"/>
        </w:rPr>
      </w:pPr>
      <w:r>
        <w:rPr>
          <w:i/>
          <w:sz w:val="18"/>
        </w:rPr>
        <w:br w:type="page"/>
      </w:r>
    </w:p>
    <w:p w:rsidR="007756AB" w:rsidRPr="00FB48F3" w:rsidRDefault="007756AB" w:rsidP="00164735">
      <w:pPr>
        <w:pStyle w:val="StandaardSV"/>
        <w:ind w:left="360"/>
      </w:pPr>
    </w:p>
    <w:p w:rsidR="007756AB" w:rsidRDefault="00FB48F3" w:rsidP="00164735">
      <w:pPr>
        <w:pStyle w:val="StandaardSV"/>
        <w:numPr>
          <w:ilvl w:val="0"/>
          <w:numId w:val="34"/>
        </w:numPr>
      </w:pPr>
      <w:r w:rsidRPr="00FB48F3">
        <w:t>De 17 ondernemingen die tot dusver financiering ontvingen van ARKIV’s situeren zich voornamelijk in hoogtechnologische speerpuntsectoren: ICT 52%; biotechnologie 21%; cleantech &amp; engineering 11%; daarnaast neemt klassieke kmo-financiering16% van de geïnvesteerde middelen voor zijn rekening.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rPr>
          <w:noProof/>
          <w:lang w:val="nl-BE" w:eastAsia="nl-BE"/>
        </w:rPr>
        <w:drawing>
          <wp:inline distT="0" distB="0" distL="0" distR="0">
            <wp:extent cx="4568825" cy="2740025"/>
            <wp:effectExtent l="0" t="0" r="22225" b="222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 w:rsidRPr="00FB48F3">
        <w:t>65% van deze ARK-investeringen hebben betrekking op opstart- (64%) en zaaidossier</w:t>
      </w:r>
      <w:r w:rsidR="00C14DF7">
        <w:t>s</w:t>
      </w:r>
      <w:r w:rsidRPr="00FB48F3">
        <w:t xml:space="preserve"> (1%)</w:t>
      </w:r>
      <w:r w:rsidR="00C14DF7">
        <w:t>;</w:t>
      </w:r>
      <w:r w:rsidRPr="00FB48F3">
        <w:t xml:space="preserve"> de resterende 35% betreffen groeidossiers</w:t>
      </w:r>
      <w:r w:rsidR="00C14DF7">
        <w:t>.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rPr>
          <w:noProof/>
          <w:lang w:val="nl-BE" w:eastAsia="nl-BE"/>
        </w:rPr>
        <w:drawing>
          <wp:inline distT="0" distB="0" distL="0" distR="0">
            <wp:extent cx="4568825" cy="2740025"/>
            <wp:effectExtent l="0" t="0" r="22225" b="22225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numPr>
          <w:ilvl w:val="0"/>
          <w:numId w:val="34"/>
        </w:numPr>
      </w:pPr>
      <w:r>
        <w:t xml:space="preserve">In 2012 werden 5 nieuwe ARKIV’s opgericht wat het totaal brengt op10 ARKIV’s onder ARKimedes-Fonds II. Alzo alloceerde ARKimedes-Fonds II 96,4 </w:t>
      </w:r>
      <w:r w:rsidR="00C14DF7">
        <w:t>miljoen</w:t>
      </w:r>
      <w:r>
        <w:t xml:space="preserve"> euro van de 100 </w:t>
      </w:r>
      <w:r w:rsidR="00C14DF7">
        <w:t>miljoen</w:t>
      </w:r>
      <w:r>
        <w:t xml:space="preserve"> euro toegewezen investeringsmiddelen. Dankzij de hefboomwerking van ARKimedes bedraagt de totale fondsgrootte van deze 10 nieuwe ARKIV’s 204,5 </w:t>
      </w:r>
      <w:r w:rsidR="00C14DF7">
        <w:t>miljoen</w:t>
      </w:r>
      <w:r>
        <w:t xml:space="preserve"> euro. </w:t>
      </w:r>
    </w:p>
    <w:p w:rsidR="00FB48F3" w:rsidRDefault="00FB48F3" w:rsidP="00164735">
      <w:pPr>
        <w:pStyle w:val="StandaardSV"/>
        <w:ind w:left="360"/>
      </w:pPr>
    </w:p>
    <w:p w:rsidR="00FB48F3" w:rsidRDefault="00FB48F3" w:rsidP="00164735">
      <w:pPr>
        <w:pStyle w:val="StandaardSV"/>
        <w:ind w:left="360"/>
      </w:pPr>
      <w:r>
        <w:t xml:space="preserve">Eind 2012 werden door 5 ARKIV’s reeds ARK-investeringen uitgevoerd in 17 verschillende starters en kmo’s voor een bedrag van 13 </w:t>
      </w:r>
      <w:r w:rsidR="00C14DF7">
        <w:t>miljoen</w:t>
      </w:r>
      <w:r>
        <w:t xml:space="preserve"> euro. Deze investeringen geschieden vaak in hoogtechnologische speerpuntsectoren in een vroege investeringsfase alwaar de </w:t>
      </w:r>
      <w:r w:rsidR="00C14DF7">
        <w:t>“</w:t>
      </w:r>
      <w:r>
        <w:t>equity gap</w:t>
      </w:r>
      <w:r w:rsidR="00C14DF7">
        <w:t>”</w:t>
      </w:r>
      <w:r>
        <w:t xml:space="preserve"> het grootst is om innovatieve ondernemersinitiatieven te financieren. </w:t>
      </w:r>
    </w:p>
    <w:p w:rsidR="00FB48F3" w:rsidRDefault="00FB48F3" w:rsidP="00164735">
      <w:pPr>
        <w:pStyle w:val="StandaardSV"/>
        <w:ind w:left="360"/>
      </w:pPr>
    </w:p>
    <w:p w:rsidR="0095325B" w:rsidRPr="0095325B" w:rsidRDefault="00FB48F3" w:rsidP="00634E7D">
      <w:pPr>
        <w:pStyle w:val="StandaardSV"/>
        <w:ind w:left="360"/>
        <w:rPr>
          <w:szCs w:val="22"/>
        </w:rPr>
      </w:pPr>
      <w:r>
        <w:t>Nu deze 10 nieuwe ARKIV</w:t>
      </w:r>
      <w:r w:rsidR="00C14DF7">
        <w:t>’</w:t>
      </w:r>
      <w:r>
        <w:t xml:space="preserve">s op de rails staan en een aanloopperiode achter de rug is, is de verwachting dat het investeringsritme zal toenemen. Temeer daar de vooruitzichten qua </w:t>
      </w:r>
      <w:r w:rsidR="00C14DF7">
        <w:t>“</w:t>
      </w:r>
      <w:r>
        <w:t>dealflow</w:t>
      </w:r>
      <w:r w:rsidR="00C14DF7">
        <w:t>”</w:t>
      </w:r>
      <w:r>
        <w:t xml:space="preserve"> positief zijn en er zich voldoende kwalitatieve investeringsprojecten aandienen.</w:t>
      </w:r>
      <w:bookmarkEnd w:id="0"/>
    </w:p>
    <w:sectPr w:rsidR="0095325B" w:rsidRPr="0095325B" w:rsidSect="00EA37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7C" w:rsidRDefault="0018457C" w:rsidP="00A21113">
      <w:r>
        <w:separator/>
      </w:r>
    </w:p>
  </w:endnote>
  <w:endnote w:type="continuationSeparator" w:id="0">
    <w:p w:rsidR="0018457C" w:rsidRDefault="0018457C" w:rsidP="00A2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7C" w:rsidRDefault="0018457C" w:rsidP="00A21113">
      <w:r>
        <w:separator/>
      </w:r>
    </w:p>
  </w:footnote>
  <w:footnote w:type="continuationSeparator" w:id="0">
    <w:p w:rsidR="0018457C" w:rsidRDefault="0018457C" w:rsidP="00A2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  <w:sz w:val="18"/>
        <w:szCs w:val="18"/>
      </w:rPr>
    </w:lvl>
  </w:abstractNum>
  <w:abstractNum w:abstractNumId="1">
    <w:nsid w:val="00F27974"/>
    <w:multiLevelType w:val="hybridMultilevel"/>
    <w:tmpl w:val="D67E17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644F1"/>
    <w:multiLevelType w:val="hybridMultilevel"/>
    <w:tmpl w:val="10C0D66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60E3E"/>
    <w:multiLevelType w:val="hybridMultilevel"/>
    <w:tmpl w:val="3BB61D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D721C"/>
    <w:multiLevelType w:val="hybridMultilevel"/>
    <w:tmpl w:val="044E99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32D91"/>
    <w:multiLevelType w:val="hybridMultilevel"/>
    <w:tmpl w:val="A3325A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2672B95"/>
    <w:multiLevelType w:val="hybridMultilevel"/>
    <w:tmpl w:val="CC2C71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243CB4"/>
    <w:multiLevelType w:val="hybridMultilevel"/>
    <w:tmpl w:val="D1F0630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1252"/>
    <w:multiLevelType w:val="hybridMultilevel"/>
    <w:tmpl w:val="7E96DAC4"/>
    <w:lvl w:ilvl="0" w:tplc="081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44CE2"/>
    <w:multiLevelType w:val="hybridMultilevel"/>
    <w:tmpl w:val="4DFE5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252EF"/>
    <w:multiLevelType w:val="hybridMultilevel"/>
    <w:tmpl w:val="B406D184"/>
    <w:lvl w:ilvl="0" w:tplc="FAF2A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47729"/>
    <w:multiLevelType w:val="hybridMultilevel"/>
    <w:tmpl w:val="6FD2496E"/>
    <w:lvl w:ilvl="0" w:tplc="EF58B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E7132"/>
    <w:multiLevelType w:val="hybridMultilevel"/>
    <w:tmpl w:val="736A3D70"/>
    <w:lvl w:ilvl="0" w:tplc="0A0E26D8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D964C5"/>
    <w:multiLevelType w:val="hybridMultilevel"/>
    <w:tmpl w:val="4244BC66"/>
    <w:lvl w:ilvl="0" w:tplc="ADC841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D15FF"/>
    <w:multiLevelType w:val="hybridMultilevel"/>
    <w:tmpl w:val="3CE8119E"/>
    <w:lvl w:ilvl="0" w:tplc="BE02D4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111F4B"/>
    <w:multiLevelType w:val="hybridMultilevel"/>
    <w:tmpl w:val="E1B22E6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65A45"/>
    <w:multiLevelType w:val="hybridMultilevel"/>
    <w:tmpl w:val="D1F0630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55E9"/>
    <w:multiLevelType w:val="hybridMultilevel"/>
    <w:tmpl w:val="E1B22E6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0E6BD3"/>
    <w:multiLevelType w:val="hybridMultilevel"/>
    <w:tmpl w:val="6F8601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D4209"/>
    <w:multiLevelType w:val="hybridMultilevel"/>
    <w:tmpl w:val="1BD4F8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E5241"/>
    <w:multiLevelType w:val="hybridMultilevel"/>
    <w:tmpl w:val="16F4121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5348"/>
    <w:multiLevelType w:val="hybridMultilevel"/>
    <w:tmpl w:val="81947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27"/>
  </w:num>
  <w:num w:numId="5">
    <w:abstractNumId w:val="22"/>
  </w:num>
  <w:num w:numId="6">
    <w:abstractNumId w:val="9"/>
  </w:num>
  <w:num w:numId="7">
    <w:abstractNumId w:val="7"/>
  </w:num>
  <w:num w:numId="8">
    <w:abstractNumId w:val="23"/>
  </w:num>
  <w:num w:numId="9">
    <w:abstractNumId w:val="14"/>
  </w:num>
  <w:num w:numId="10">
    <w:abstractNumId w:val="0"/>
  </w:num>
  <w:num w:numId="11">
    <w:abstractNumId w:val="28"/>
  </w:num>
  <w:num w:numId="12">
    <w:abstractNumId w:val="3"/>
  </w:num>
  <w:num w:numId="13">
    <w:abstractNumId w:val="15"/>
  </w:num>
  <w:num w:numId="14">
    <w:abstractNumId w:val="5"/>
  </w:num>
  <w:num w:numId="15">
    <w:abstractNumId w:val="11"/>
  </w:num>
  <w:num w:numId="16">
    <w:abstractNumId w:val="4"/>
  </w:num>
  <w:num w:numId="17">
    <w:abstractNumId w:val="26"/>
  </w:num>
  <w:num w:numId="18">
    <w:abstractNumId w:val="31"/>
  </w:num>
  <w:num w:numId="19">
    <w:abstractNumId w:val="29"/>
  </w:num>
  <w:num w:numId="20">
    <w:abstractNumId w:val="30"/>
  </w:num>
  <w:num w:numId="21">
    <w:abstractNumId w:val="1"/>
  </w:num>
  <w:num w:numId="22">
    <w:abstractNumId w:val="24"/>
  </w:num>
  <w:num w:numId="23">
    <w:abstractNumId w:val="16"/>
  </w:num>
  <w:num w:numId="24">
    <w:abstractNumId w:val="13"/>
  </w:num>
  <w:num w:numId="25">
    <w:abstractNumId w:val="20"/>
  </w:num>
  <w:num w:numId="26">
    <w:abstractNumId w:val="6"/>
  </w:num>
  <w:num w:numId="27">
    <w:abstractNumId w:val="25"/>
  </w:num>
  <w:num w:numId="28">
    <w:abstractNumId w:val="12"/>
  </w:num>
  <w:num w:numId="29">
    <w:abstractNumId w:val="18"/>
  </w:num>
  <w:num w:numId="30">
    <w:abstractNumId w:val="8"/>
  </w:num>
  <w:num w:numId="31">
    <w:abstractNumId w:val="17"/>
  </w:num>
  <w:num w:numId="32">
    <w:abstractNumId w:val="21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98"/>
    <w:rsid w:val="00030889"/>
    <w:rsid w:val="000464A2"/>
    <w:rsid w:val="000651BC"/>
    <w:rsid w:val="00070064"/>
    <w:rsid w:val="00071DA4"/>
    <w:rsid w:val="00080040"/>
    <w:rsid w:val="000838CE"/>
    <w:rsid w:val="000920CA"/>
    <w:rsid w:val="000A69A7"/>
    <w:rsid w:val="000E309F"/>
    <w:rsid w:val="001132B3"/>
    <w:rsid w:val="001332A7"/>
    <w:rsid w:val="00157523"/>
    <w:rsid w:val="00164735"/>
    <w:rsid w:val="00171F2E"/>
    <w:rsid w:val="00173FC9"/>
    <w:rsid w:val="0018457C"/>
    <w:rsid w:val="00187BFC"/>
    <w:rsid w:val="001917F0"/>
    <w:rsid w:val="001E4BBA"/>
    <w:rsid w:val="001F2B1B"/>
    <w:rsid w:val="002852A6"/>
    <w:rsid w:val="002A4C18"/>
    <w:rsid w:val="003019BF"/>
    <w:rsid w:val="00301C77"/>
    <w:rsid w:val="003205D6"/>
    <w:rsid w:val="0033102D"/>
    <w:rsid w:val="00334494"/>
    <w:rsid w:val="00343A8F"/>
    <w:rsid w:val="003503D4"/>
    <w:rsid w:val="004200F8"/>
    <w:rsid w:val="00427E2D"/>
    <w:rsid w:val="00430610"/>
    <w:rsid w:val="00486618"/>
    <w:rsid w:val="004D7979"/>
    <w:rsid w:val="004E1B35"/>
    <w:rsid w:val="004E1D59"/>
    <w:rsid w:val="004E50C8"/>
    <w:rsid w:val="004F12E3"/>
    <w:rsid w:val="005051B9"/>
    <w:rsid w:val="005569BD"/>
    <w:rsid w:val="00557E93"/>
    <w:rsid w:val="0057585E"/>
    <w:rsid w:val="005A0D53"/>
    <w:rsid w:val="005A4F93"/>
    <w:rsid w:val="005C5749"/>
    <w:rsid w:val="005F5589"/>
    <w:rsid w:val="00601788"/>
    <w:rsid w:val="00634E7D"/>
    <w:rsid w:val="00667CE6"/>
    <w:rsid w:val="00693743"/>
    <w:rsid w:val="006C5506"/>
    <w:rsid w:val="006E7289"/>
    <w:rsid w:val="006F1BF6"/>
    <w:rsid w:val="006F29F5"/>
    <w:rsid w:val="006F49EA"/>
    <w:rsid w:val="006F5DFC"/>
    <w:rsid w:val="007756AB"/>
    <w:rsid w:val="0078435B"/>
    <w:rsid w:val="007A7738"/>
    <w:rsid w:val="007E2BBA"/>
    <w:rsid w:val="007F4EB9"/>
    <w:rsid w:val="00805C69"/>
    <w:rsid w:val="008157A4"/>
    <w:rsid w:val="0083747B"/>
    <w:rsid w:val="00842F2E"/>
    <w:rsid w:val="00844521"/>
    <w:rsid w:val="00861A0C"/>
    <w:rsid w:val="00865C8A"/>
    <w:rsid w:val="008873BE"/>
    <w:rsid w:val="008D347B"/>
    <w:rsid w:val="008E08EC"/>
    <w:rsid w:val="00941198"/>
    <w:rsid w:val="00946221"/>
    <w:rsid w:val="0095325B"/>
    <w:rsid w:val="009864CE"/>
    <w:rsid w:val="009C170D"/>
    <w:rsid w:val="009D0DED"/>
    <w:rsid w:val="009F10A6"/>
    <w:rsid w:val="00A21113"/>
    <w:rsid w:val="00A22F88"/>
    <w:rsid w:val="00AD78E8"/>
    <w:rsid w:val="00AF4ED8"/>
    <w:rsid w:val="00B04C92"/>
    <w:rsid w:val="00B1151F"/>
    <w:rsid w:val="00B276DA"/>
    <w:rsid w:val="00B336D1"/>
    <w:rsid w:val="00B56FDC"/>
    <w:rsid w:val="00B6547D"/>
    <w:rsid w:val="00BB70FF"/>
    <w:rsid w:val="00BD07FB"/>
    <w:rsid w:val="00BD517B"/>
    <w:rsid w:val="00C14DF7"/>
    <w:rsid w:val="00C36C07"/>
    <w:rsid w:val="00C52E64"/>
    <w:rsid w:val="00C67EDF"/>
    <w:rsid w:val="00C7420F"/>
    <w:rsid w:val="00C75C7E"/>
    <w:rsid w:val="00CB2006"/>
    <w:rsid w:val="00CC63C8"/>
    <w:rsid w:val="00CD196E"/>
    <w:rsid w:val="00CE3830"/>
    <w:rsid w:val="00CF4E65"/>
    <w:rsid w:val="00D45D8D"/>
    <w:rsid w:val="00D73618"/>
    <w:rsid w:val="00DF5EC5"/>
    <w:rsid w:val="00DF6517"/>
    <w:rsid w:val="00E52FCF"/>
    <w:rsid w:val="00E63F45"/>
    <w:rsid w:val="00E957EB"/>
    <w:rsid w:val="00EA37E6"/>
    <w:rsid w:val="00EC1C7F"/>
    <w:rsid w:val="00EF258F"/>
    <w:rsid w:val="00EF296F"/>
    <w:rsid w:val="00F06FA4"/>
    <w:rsid w:val="00F52CAF"/>
    <w:rsid w:val="00F643D2"/>
    <w:rsid w:val="00FA594E"/>
    <w:rsid w:val="00FB364E"/>
    <w:rsid w:val="00FB48F3"/>
    <w:rsid w:val="00FC1093"/>
    <w:rsid w:val="00FC489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20C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Ballontekst">
    <w:name w:val="Balloon Text"/>
    <w:basedOn w:val="Standaard"/>
    <w:link w:val="BallontekstChar"/>
    <w:rsid w:val="00FA594E"/>
    <w:rPr>
      <w:rFonts w:ascii="Tahoma" w:hAnsi="Tahoma"/>
      <w:sz w:val="16"/>
      <w:szCs w:val="16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character" w:customStyle="1" w:styleId="BallontekstChar">
    <w:name w:val="Ballontekst Char"/>
    <w:link w:val="Ballontekst"/>
    <w:rsid w:val="00FA594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157A4"/>
    <w:pPr>
      <w:ind w:left="708"/>
    </w:pPr>
  </w:style>
  <w:style w:type="paragraph" w:styleId="Voetnoottekst">
    <w:name w:val="footnote text"/>
    <w:basedOn w:val="Standaard"/>
    <w:link w:val="VoetnoottekstChar"/>
    <w:rsid w:val="00A21113"/>
    <w:rPr>
      <w:sz w:val="20"/>
    </w:rPr>
  </w:style>
  <w:style w:type="character" w:customStyle="1" w:styleId="VoetnoottekstChar">
    <w:name w:val="Voetnoottekst Char"/>
    <w:link w:val="Voetnoottekst"/>
    <w:rsid w:val="00A21113"/>
    <w:rPr>
      <w:lang w:val="nl-NL" w:eastAsia="nl-NL"/>
    </w:rPr>
  </w:style>
  <w:style w:type="character" w:styleId="Voetnootmarkering">
    <w:name w:val="footnote reference"/>
    <w:rsid w:val="00A21113"/>
    <w:rPr>
      <w:rFonts w:ascii="Verdana" w:hAnsi="Verdana"/>
      <w:sz w:val="17"/>
      <w:vertAlign w:val="superscript"/>
    </w:rPr>
  </w:style>
  <w:style w:type="paragraph" w:styleId="Geenafstand">
    <w:name w:val="No Spacing"/>
    <w:uiPriority w:val="1"/>
    <w:qFormat/>
    <w:rsid w:val="001332A7"/>
    <w:rPr>
      <w:sz w:val="24"/>
      <w:lang w:val="nl-NL" w:eastAsia="nl-NL"/>
    </w:rPr>
  </w:style>
  <w:style w:type="table" w:styleId="Tabelraster">
    <w:name w:val="Table Grid"/>
    <w:basedOn w:val="Standaardtabel"/>
    <w:rsid w:val="0013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20CA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paragraph" w:styleId="Ballontekst">
    <w:name w:val="Balloon Text"/>
    <w:basedOn w:val="Standaard"/>
    <w:link w:val="BallontekstChar"/>
    <w:rsid w:val="00FA594E"/>
    <w:rPr>
      <w:rFonts w:ascii="Tahoma" w:hAnsi="Tahoma"/>
      <w:sz w:val="16"/>
      <w:szCs w:val="16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character" w:customStyle="1" w:styleId="BallontekstChar">
    <w:name w:val="Ballontekst Char"/>
    <w:link w:val="Ballontekst"/>
    <w:rsid w:val="00FA594E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157A4"/>
    <w:pPr>
      <w:ind w:left="708"/>
    </w:pPr>
  </w:style>
  <w:style w:type="paragraph" w:styleId="Voetnoottekst">
    <w:name w:val="footnote text"/>
    <w:basedOn w:val="Standaard"/>
    <w:link w:val="VoetnoottekstChar"/>
    <w:rsid w:val="00A21113"/>
    <w:rPr>
      <w:sz w:val="20"/>
    </w:rPr>
  </w:style>
  <w:style w:type="character" w:customStyle="1" w:styleId="VoetnoottekstChar">
    <w:name w:val="Voetnoottekst Char"/>
    <w:link w:val="Voetnoottekst"/>
    <w:rsid w:val="00A21113"/>
    <w:rPr>
      <w:lang w:val="nl-NL" w:eastAsia="nl-NL"/>
    </w:rPr>
  </w:style>
  <w:style w:type="character" w:styleId="Voetnootmarkering">
    <w:name w:val="footnote reference"/>
    <w:rsid w:val="00A21113"/>
    <w:rPr>
      <w:rFonts w:ascii="Verdana" w:hAnsi="Verdana"/>
      <w:sz w:val="17"/>
      <w:vertAlign w:val="superscript"/>
    </w:rPr>
  </w:style>
  <w:style w:type="paragraph" w:styleId="Geenafstand">
    <w:name w:val="No Spacing"/>
    <w:uiPriority w:val="1"/>
    <w:qFormat/>
    <w:rsid w:val="001332A7"/>
    <w:rPr>
      <w:sz w:val="24"/>
      <w:lang w:val="nl-NL" w:eastAsia="nl-NL"/>
    </w:rPr>
  </w:style>
  <w:style w:type="table" w:styleId="Tabelraster">
    <w:name w:val="Table Grid"/>
    <w:basedOn w:val="Standaardtabel"/>
    <w:rsid w:val="0013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rm.be" TargetMode="External"/><Relationship Id="rId18" Type="http://schemas.openxmlformats.org/officeDocument/2006/relationships/hyperlink" Target="http://www.vectisparticipaties.be" TargetMode="Externa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hyperlink" Target="http://www.hummingbird-ventures.com" TargetMode="External"/><Relationship Id="rId17" Type="http://schemas.openxmlformats.org/officeDocument/2006/relationships/hyperlink" Target="http://www.think2act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bic.be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mv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hasselt.be/uhv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pricorn.be/" TargetMode="External"/><Relationship Id="rId19" Type="http://schemas.openxmlformats.org/officeDocument/2006/relationships/hyperlink" Target="http://www.vesaliusbiocapit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ital-e.com" TargetMode="External"/><Relationship Id="rId14" Type="http://schemas.openxmlformats.org/officeDocument/2006/relationships/hyperlink" Target="http://www.lrm.be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cpmv2010\pmvgroup\BI\Groeifinanciering\ARKimedes\_company\ARK-F%20II\Arkiv's\Algemeen\W-ARK%20Mgt%20centrale%20boordtabel%20ARK-F%20II%20kwartaalrapport%203112201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dcpmv2010\pmvgroup\BI\Groeifinanciering\ARKimedes\_company\ARK-F%20II\Arkiv's\Algemeen\W-ARK%20Mgt%20centrale%20boordtabel%20ARK-F%20II%20kwartaalrapport%2031122012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nl-BE"/>
              <a:t>ARK-investeringen per speerpuntsector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'Charts per 20.12.12'!$B$47:$B$50</c:f>
              <c:strCache>
                <c:ptCount val="4"/>
                <c:pt idx="0">
                  <c:v>Biotechnologie</c:v>
                </c:pt>
                <c:pt idx="1">
                  <c:v>Cleantech/engineering</c:v>
                </c:pt>
                <c:pt idx="2">
                  <c:v>ICT</c:v>
                </c:pt>
                <c:pt idx="3">
                  <c:v>KMO</c:v>
                </c:pt>
              </c:strCache>
            </c:strRef>
          </c:cat>
          <c:val>
            <c:numRef>
              <c:f>'Charts per 20.12.12'!$D$47:$D$50</c:f>
              <c:numCache>
                <c:formatCode>#,##0</c:formatCode>
                <c:ptCount val="4"/>
                <c:pt idx="0">
                  <c:v>2672500</c:v>
                </c:pt>
                <c:pt idx="1">
                  <c:v>1500000</c:v>
                </c:pt>
                <c:pt idx="2">
                  <c:v>6769182</c:v>
                </c:pt>
                <c:pt idx="3">
                  <c:v>2040000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nl-BE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nl-BE"/>
              <a:t>ARK-investeringen per stadia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'Charts per 20.12.12'!$B$23:$B$25</c:f>
              <c:strCache>
                <c:ptCount val="3"/>
                <c:pt idx="0">
                  <c:v>Groei</c:v>
                </c:pt>
                <c:pt idx="1">
                  <c:v>Opstart</c:v>
                </c:pt>
                <c:pt idx="2">
                  <c:v>Zaai</c:v>
                </c:pt>
              </c:strCache>
            </c:strRef>
          </c:cat>
          <c:val>
            <c:numRef>
              <c:f>'Charts per 20.12.12'!$D$23:$D$25</c:f>
              <c:numCache>
                <c:formatCode>#,##0</c:formatCode>
                <c:ptCount val="3"/>
                <c:pt idx="0">
                  <c:v>4509826</c:v>
                </c:pt>
                <c:pt idx="1">
                  <c:v>8275011</c:v>
                </c:pt>
                <c:pt idx="2">
                  <c:v>196845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nl-BE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3742-BF1A-49B0-997E-2E7E4142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VLAAMS PARLEMENT</vt:lpstr>
      <vt:lpstr>VLAAMS PARLEMENT</vt:lpstr>
    </vt:vector>
  </TitlesOfParts>
  <Company>Vlaams Parlement</Company>
  <LinksUpToDate>false</LinksUpToDate>
  <CharactersWithSpaces>9202</CharactersWithSpaces>
  <SharedDoc>false</SharedDoc>
  <HLinks>
    <vt:vector size="72" baseType="variant">
      <vt:variant>
        <vt:i4>3997730</vt:i4>
      </vt:variant>
      <vt:variant>
        <vt:i4>33</vt:i4>
      </vt:variant>
      <vt:variant>
        <vt:i4>0</vt:i4>
      </vt:variant>
      <vt:variant>
        <vt:i4>5</vt:i4>
      </vt:variant>
      <vt:variant>
        <vt:lpwstr>http://www.vesaliusbiocapital.com/</vt:lpwstr>
      </vt:variant>
      <vt:variant>
        <vt:lpwstr/>
      </vt:variant>
      <vt:variant>
        <vt:i4>6488174</vt:i4>
      </vt:variant>
      <vt:variant>
        <vt:i4>30</vt:i4>
      </vt:variant>
      <vt:variant>
        <vt:i4>0</vt:i4>
      </vt:variant>
      <vt:variant>
        <vt:i4>5</vt:i4>
      </vt:variant>
      <vt:variant>
        <vt:lpwstr>http://www.vectisparticipaties.be/</vt:lpwstr>
      </vt:variant>
      <vt:variant>
        <vt:lpwstr/>
      </vt:variant>
      <vt:variant>
        <vt:i4>327756</vt:i4>
      </vt:variant>
      <vt:variant>
        <vt:i4>27</vt:i4>
      </vt:variant>
      <vt:variant>
        <vt:i4>0</vt:i4>
      </vt:variant>
      <vt:variant>
        <vt:i4>5</vt:i4>
      </vt:variant>
      <vt:variant>
        <vt:lpwstr>http://www.think2act.be/</vt:lpwstr>
      </vt:variant>
      <vt:variant>
        <vt:lpwstr/>
      </vt:variant>
      <vt:variant>
        <vt:i4>7864371</vt:i4>
      </vt:variant>
      <vt:variant>
        <vt:i4>24</vt:i4>
      </vt:variant>
      <vt:variant>
        <vt:i4>0</vt:i4>
      </vt:variant>
      <vt:variant>
        <vt:i4>5</vt:i4>
      </vt:variant>
      <vt:variant>
        <vt:lpwstr>http://www.qbic.be/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http://www.uhasselt.be/uhvm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http://www.lrm.be/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http://www.lrm.be/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http://www.hummingbird-ventures.com/</vt:lpwstr>
      </vt:variant>
      <vt:variant>
        <vt:lpwstr/>
      </vt:variant>
      <vt:variant>
        <vt:i4>5177409</vt:i4>
      </vt:variant>
      <vt:variant>
        <vt:i4>9</vt:i4>
      </vt:variant>
      <vt:variant>
        <vt:i4>0</vt:i4>
      </vt:variant>
      <vt:variant>
        <vt:i4>5</vt:i4>
      </vt:variant>
      <vt:variant>
        <vt:lpwstr>http://www.gimv.com/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http://www.capricorn.be/</vt:lpwstr>
      </vt:variant>
      <vt:variant>
        <vt:lpwstr/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http://www.capital-e.com/</vt:lpwstr>
      </vt:variant>
      <vt:variant>
        <vt:lpwstr/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http://www.aaafund.be/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2013-03-01T10:29:00Z</cp:lastPrinted>
  <dcterms:created xsi:type="dcterms:W3CDTF">2013-03-01T10:29:00Z</dcterms:created>
  <dcterms:modified xsi:type="dcterms:W3CDTF">2013-03-01T10:29:00Z</dcterms:modified>
</cp:coreProperties>
</file>