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C7" w:rsidRDefault="001F0937">
      <w:pPr>
        <w:rPr>
          <w:b/>
          <w:smallCaps/>
          <w:sz w:val="22"/>
        </w:rPr>
      </w:pPr>
      <w:r>
        <w:rPr>
          <w:b/>
          <w:smallCaps/>
          <w:sz w:val="22"/>
        </w:rPr>
        <w:t>ingrid  lieten</w:t>
      </w:r>
    </w:p>
    <w:p w:rsidR="005431C7" w:rsidRDefault="005431C7">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pPr>
        <w:pBdr>
          <w:bottom w:val="single" w:sz="4" w:space="1" w:color="auto"/>
        </w:pBdr>
        <w:rPr>
          <w:sz w:val="22"/>
        </w:rPr>
      </w:pPr>
    </w:p>
    <w:p w:rsidR="005431C7" w:rsidRDefault="005431C7">
      <w:pPr>
        <w:rPr>
          <w:sz w:val="22"/>
        </w:rPr>
      </w:pPr>
    </w:p>
    <w:p w:rsidR="005431C7" w:rsidRDefault="005431C7">
      <w:pPr>
        <w:rPr>
          <w:b/>
          <w:smallCaps/>
          <w:sz w:val="22"/>
        </w:rPr>
      </w:pPr>
      <w:r>
        <w:rPr>
          <w:b/>
          <w:smallCaps/>
          <w:sz w:val="22"/>
        </w:rPr>
        <w:t>antwoord</w:t>
      </w:r>
    </w:p>
    <w:p w:rsidR="005431C7" w:rsidRDefault="005431C7">
      <w:pPr>
        <w:rPr>
          <w:sz w:val="22"/>
        </w:rPr>
      </w:pPr>
      <w:r>
        <w:rPr>
          <w:sz w:val="22"/>
        </w:rPr>
        <w:t xml:space="preserve">op vraag nr. </w:t>
      </w:r>
      <w:bookmarkStart w:id="0" w:name="Text4"/>
      <w:r w:rsidR="00800894">
        <w:rPr>
          <w:sz w:val="22"/>
        </w:rPr>
        <w:fldChar w:fldCharType="begin">
          <w:ffData>
            <w:name w:val="Text4"/>
            <w:enabled/>
            <w:calcOnExit w:val="0"/>
            <w:textInput/>
          </w:ffData>
        </w:fldChar>
      </w:r>
      <w:r w:rsidR="007B527F">
        <w:rPr>
          <w:sz w:val="22"/>
        </w:rPr>
        <w:instrText xml:space="preserve"> FORMTEXT </w:instrText>
      </w:r>
      <w:r w:rsidR="00800894">
        <w:rPr>
          <w:sz w:val="22"/>
        </w:rPr>
      </w:r>
      <w:r w:rsidR="00800894">
        <w:rPr>
          <w:sz w:val="22"/>
        </w:rPr>
        <w:fldChar w:fldCharType="separate"/>
      </w:r>
      <w:r w:rsidR="007D3829">
        <w:rPr>
          <w:noProof/>
          <w:sz w:val="22"/>
        </w:rPr>
        <w:t>189</w:t>
      </w:r>
      <w:r w:rsidR="00800894">
        <w:rPr>
          <w:sz w:val="22"/>
        </w:rPr>
        <w:fldChar w:fldCharType="end"/>
      </w:r>
      <w:bookmarkEnd w:id="0"/>
      <w:r>
        <w:rPr>
          <w:sz w:val="22"/>
        </w:rPr>
        <w:t xml:space="preserve"> van </w:t>
      </w:r>
      <w:bookmarkStart w:id="1" w:name="Text5"/>
      <w:r w:rsidR="00800894">
        <w:rPr>
          <w:sz w:val="22"/>
        </w:rPr>
        <w:fldChar w:fldCharType="begin">
          <w:ffData>
            <w:name w:val="Text5"/>
            <w:enabled/>
            <w:calcOnExit w:val="0"/>
            <w:textInput>
              <w:default w:val="(datum)"/>
            </w:textInput>
          </w:ffData>
        </w:fldChar>
      </w:r>
      <w:r w:rsidR="007B527F">
        <w:rPr>
          <w:sz w:val="22"/>
        </w:rPr>
        <w:instrText xml:space="preserve"> FORMTEXT </w:instrText>
      </w:r>
      <w:r w:rsidR="00800894">
        <w:rPr>
          <w:sz w:val="22"/>
        </w:rPr>
      </w:r>
      <w:r w:rsidR="00800894">
        <w:rPr>
          <w:sz w:val="22"/>
        </w:rPr>
        <w:fldChar w:fldCharType="separate"/>
      </w:r>
      <w:r w:rsidR="007D3829">
        <w:rPr>
          <w:noProof/>
          <w:sz w:val="22"/>
        </w:rPr>
        <w:t>30 januari 2013</w:t>
      </w:r>
      <w:r w:rsidR="00800894">
        <w:rPr>
          <w:sz w:val="22"/>
        </w:rPr>
        <w:fldChar w:fldCharType="end"/>
      </w:r>
      <w:bookmarkEnd w:id="1"/>
    </w:p>
    <w:p w:rsidR="005431C7" w:rsidRDefault="005431C7">
      <w:pPr>
        <w:rPr>
          <w:sz w:val="22"/>
        </w:rPr>
      </w:pPr>
      <w:r>
        <w:rPr>
          <w:sz w:val="22"/>
        </w:rPr>
        <w:t xml:space="preserve">van </w:t>
      </w:r>
      <w:bookmarkStart w:id="2" w:name="Text3"/>
      <w:r w:rsidR="00800894">
        <w:rPr>
          <w:b/>
          <w:smallCaps/>
          <w:sz w:val="22"/>
          <w:szCs w:val="22"/>
        </w:rPr>
        <w:fldChar w:fldCharType="begin">
          <w:ffData>
            <w:name w:val="Text3"/>
            <w:enabled/>
            <w:calcOnExit w:val="0"/>
            <w:textInput>
              <w:default w:val="(naam vraagsteller)"/>
            </w:textInput>
          </w:ffData>
        </w:fldChar>
      </w:r>
      <w:r w:rsidR="007B527F">
        <w:rPr>
          <w:b/>
          <w:smallCaps/>
          <w:sz w:val="22"/>
          <w:szCs w:val="22"/>
        </w:rPr>
        <w:instrText xml:space="preserve"> FORMTEXT </w:instrText>
      </w:r>
      <w:r w:rsidR="00800894">
        <w:rPr>
          <w:b/>
          <w:smallCaps/>
          <w:sz w:val="22"/>
          <w:szCs w:val="22"/>
        </w:rPr>
      </w:r>
      <w:r w:rsidR="00800894">
        <w:rPr>
          <w:b/>
          <w:smallCaps/>
          <w:sz w:val="22"/>
          <w:szCs w:val="22"/>
        </w:rPr>
        <w:fldChar w:fldCharType="separate"/>
      </w:r>
      <w:r w:rsidR="007D3829">
        <w:rPr>
          <w:b/>
          <w:smallCaps/>
          <w:noProof/>
          <w:sz w:val="22"/>
          <w:szCs w:val="22"/>
        </w:rPr>
        <w:t>robrecht bothuyne</w:t>
      </w:r>
      <w:r w:rsidR="00800894">
        <w:rPr>
          <w:b/>
          <w:smallCaps/>
          <w:sz w:val="22"/>
          <w:szCs w:val="22"/>
        </w:rPr>
        <w:fldChar w:fldCharType="end"/>
      </w:r>
      <w:bookmarkEnd w:id="2"/>
    </w:p>
    <w:p w:rsidR="005431C7" w:rsidRDefault="005431C7" w:rsidP="009976C1">
      <w:pPr>
        <w:pBdr>
          <w:bottom w:val="single" w:sz="4" w:space="1" w:color="auto"/>
        </w:pBdr>
        <w:jc w:val="both"/>
        <w:rPr>
          <w:sz w:val="22"/>
        </w:rPr>
      </w:pPr>
    </w:p>
    <w:p w:rsidR="005431C7" w:rsidRDefault="005431C7" w:rsidP="009976C1">
      <w:pPr>
        <w:jc w:val="both"/>
        <w:rPr>
          <w:sz w:val="22"/>
        </w:rPr>
      </w:pPr>
    </w:p>
    <w:p w:rsidR="006A324D" w:rsidRDefault="006A324D" w:rsidP="009976C1">
      <w:pPr>
        <w:jc w:val="both"/>
        <w:rPr>
          <w:sz w:val="22"/>
        </w:rPr>
      </w:pPr>
    </w:p>
    <w:p w:rsidR="00AB0AA4" w:rsidRDefault="00AB0AA4" w:rsidP="009976C1">
      <w:pPr>
        <w:jc w:val="both"/>
        <w:rPr>
          <w:sz w:val="22"/>
        </w:rPr>
        <w:sectPr w:rsidR="00AB0AA4">
          <w:pgSz w:w="11906" w:h="16838"/>
          <w:pgMar w:top="1417" w:right="1417" w:bottom="1417" w:left="1417" w:header="708" w:footer="708" w:gutter="0"/>
          <w:cols w:space="708"/>
          <w:docGrid w:linePitch="360"/>
        </w:sectPr>
      </w:pPr>
    </w:p>
    <w:p w:rsidR="007D3829" w:rsidRPr="007D3829" w:rsidRDefault="007D3829" w:rsidP="00EE6868">
      <w:pPr>
        <w:pStyle w:val="StandaardSV"/>
        <w:numPr>
          <w:ilvl w:val="0"/>
          <w:numId w:val="10"/>
        </w:numPr>
        <w:ind w:left="426" w:hanging="426"/>
        <w:rPr>
          <w:szCs w:val="22"/>
        </w:rPr>
      </w:pPr>
      <w:r w:rsidRPr="007D3829">
        <w:rPr>
          <w:rFonts w:eastAsia="Calibri"/>
          <w:szCs w:val="22"/>
          <w:lang w:val="nl-BE" w:eastAsia="nl-BE"/>
        </w:rPr>
        <w:lastRenderedPageBreak/>
        <w:t>a)</w:t>
      </w:r>
      <w:r>
        <w:rPr>
          <w:rFonts w:eastAsia="Calibri"/>
          <w:szCs w:val="22"/>
          <w:lang w:val="nl-BE" w:eastAsia="nl-BE"/>
        </w:rPr>
        <w:tab/>
      </w:r>
      <w:r w:rsidRPr="007D3829">
        <w:rPr>
          <w:rFonts w:eastAsia="Calibri"/>
          <w:szCs w:val="22"/>
          <w:lang w:val="nl-BE" w:eastAsia="nl-BE"/>
        </w:rPr>
        <w:t>Een overzicht van de meer dan 50 projecten bevindt zich in de bijlage. Het aantal rechten</w:t>
      </w:r>
      <w:r w:rsidRPr="007D3829">
        <w:rPr>
          <w:szCs w:val="22"/>
        </w:rPr>
        <w:t xml:space="preserve"> </w:t>
      </w:r>
      <w:r w:rsidRPr="007D3829">
        <w:rPr>
          <w:rFonts w:eastAsia="Calibri"/>
          <w:szCs w:val="22"/>
          <w:lang w:val="nl-BE" w:eastAsia="nl-BE"/>
        </w:rPr>
        <w:t>die de projecten uiteindelijk zullen opleveren wordt geraamd op 1.750.000 eenheden voor het</w:t>
      </w:r>
      <w:r w:rsidRPr="007D3829">
        <w:rPr>
          <w:szCs w:val="22"/>
        </w:rPr>
        <w:t xml:space="preserve"> </w:t>
      </w:r>
      <w:proofErr w:type="spellStart"/>
      <w:r w:rsidRPr="007D3829">
        <w:rPr>
          <w:szCs w:val="22"/>
        </w:rPr>
        <w:t>Asia</w:t>
      </w:r>
      <w:proofErr w:type="spellEnd"/>
      <w:r w:rsidRPr="007D3829">
        <w:rPr>
          <w:szCs w:val="22"/>
        </w:rPr>
        <w:t xml:space="preserve"> Pacific Carbon Fund (APCF), 160.000 voor het </w:t>
      </w:r>
      <w:proofErr w:type="spellStart"/>
      <w:r w:rsidRPr="007D3829">
        <w:rPr>
          <w:szCs w:val="22"/>
        </w:rPr>
        <w:t>Multilateral</w:t>
      </w:r>
      <w:proofErr w:type="spellEnd"/>
      <w:r w:rsidRPr="007D3829">
        <w:rPr>
          <w:szCs w:val="22"/>
        </w:rPr>
        <w:t xml:space="preserve"> Carbon Credit Fund (MCCF) en een voorlopig onbekend aantal voor het </w:t>
      </w:r>
      <w:proofErr w:type="spellStart"/>
      <w:r w:rsidRPr="007D3829">
        <w:rPr>
          <w:szCs w:val="22"/>
        </w:rPr>
        <w:t>Future</w:t>
      </w:r>
      <w:proofErr w:type="spellEnd"/>
      <w:r w:rsidRPr="007D3829">
        <w:rPr>
          <w:szCs w:val="22"/>
        </w:rPr>
        <w:t xml:space="preserve"> Carbon Fund (FCF). Het aan</w:t>
      </w:r>
      <w:r w:rsidR="00C74420">
        <w:rPr>
          <w:szCs w:val="22"/>
        </w:rPr>
        <w:t>tal</w:t>
      </w:r>
      <w:r w:rsidRPr="007D3829">
        <w:rPr>
          <w:szCs w:val="22"/>
        </w:rPr>
        <w:t xml:space="preserve"> eenheden voor FCF is nog onbekend omdat de investeringsperiode nog loopt.</w:t>
      </w:r>
    </w:p>
    <w:p w:rsidR="007D3829" w:rsidRPr="007D3829" w:rsidRDefault="007D3829" w:rsidP="00EE6868">
      <w:pPr>
        <w:pStyle w:val="StandaardSV"/>
        <w:ind w:left="426"/>
        <w:rPr>
          <w:szCs w:val="22"/>
        </w:rPr>
      </w:pPr>
    </w:p>
    <w:p w:rsidR="007D3829" w:rsidRPr="007D3829" w:rsidRDefault="007D3829" w:rsidP="00EE6868">
      <w:pPr>
        <w:pStyle w:val="Normaalweb"/>
        <w:ind w:left="426"/>
        <w:jc w:val="both"/>
        <w:rPr>
          <w:sz w:val="22"/>
          <w:szCs w:val="22"/>
        </w:rPr>
      </w:pPr>
      <w:r w:rsidRPr="007D3829">
        <w:rPr>
          <w:sz w:val="22"/>
          <w:szCs w:val="22"/>
        </w:rPr>
        <w:t>b)</w:t>
      </w:r>
      <w:r w:rsidRPr="007D3829">
        <w:rPr>
          <w:sz w:val="22"/>
          <w:szCs w:val="22"/>
        </w:rPr>
        <w:tab/>
        <w:t xml:space="preserve">De verschillende fondsen hebben geen grote impact op de financiering van de projecten, die vormt wel een onderdeel van </w:t>
      </w:r>
      <w:proofErr w:type="spellStart"/>
      <w:r w:rsidRPr="007D3829">
        <w:rPr>
          <w:sz w:val="22"/>
          <w:szCs w:val="22"/>
        </w:rPr>
        <w:t>due</w:t>
      </w:r>
      <w:proofErr w:type="spellEnd"/>
      <w:r w:rsidRPr="007D3829">
        <w:rPr>
          <w:sz w:val="22"/>
          <w:szCs w:val="22"/>
        </w:rPr>
        <w:t xml:space="preserve"> diligence en is meestal als projectfinanciering gestructureerd (al dan niet met inbr</w:t>
      </w:r>
      <w:bookmarkStart w:id="3" w:name="_GoBack"/>
      <w:bookmarkEnd w:id="3"/>
      <w:r w:rsidRPr="007D3829">
        <w:rPr>
          <w:sz w:val="22"/>
          <w:szCs w:val="22"/>
        </w:rPr>
        <w:t xml:space="preserve">eng van een ontwikkelingsbank). </w:t>
      </w:r>
    </w:p>
    <w:p w:rsidR="007D3829" w:rsidRPr="007D3829" w:rsidRDefault="007D3829" w:rsidP="00EE6868">
      <w:pPr>
        <w:pStyle w:val="Normaalweb"/>
        <w:ind w:left="426"/>
        <w:jc w:val="both"/>
        <w:rPr>
          <w:sz w:val="22"/>
          <w:szCs w:val="22"/>
        </w:rPr>
      </w:pPr>
      <w:r w:rsidRPr="007D3829">
        <w:rPr>
          <w:sz w:val="22"/>
          <w:szCs w:val="22"/>
        </w:rPr>
        <w:t xml:space="preserve">De wijze waarop de financiering wordt vastgelegd is specifiek voor elk project en daar kan –  gelet op het grote aantal –  niet middels een redelijke inspanning een coherent overzicht van gegeven worden, bovendien valt dit onder de confidentialiteitsregels opgenomen in de financieringsovereenkomsten waar het fonds noch PMV partij bij zijn en ook onder de vertrouwelijkheidsbepalingen van het aankoopcontract tussen elk fonds en de projectentiteit. </w:t>
      </w:r>
    </w:p>
    <w:p w:rsidR="007D3829" w:rsidRPr="007D3829" w:rsidRDefault="007D3829" w:rsidP="00EE6868">
      <w:pPr>
        <w:pStyle w:val="Normaalweb"/>
        <w:ind w:left="426"/>
        <w:jc w:val="both"/>
        <w:rPr>
          <w:sz w:val="22"/>
          <w:szCs w:val="22"/>
        </w:rPr>
      </w:pPr>
      <w:r w:rsidRPr="007D3829">
        <w:rPr>
          <w:sz w:val="22"/>
          <w:szCs w:val="22"/>
        </w:rPr>
        <w:t xml:space="preserve">Het is dus niet mogelijk om hier verder in detail te treden. </w:t>
      </w:r>
    </w:p>
    <w:p w:rsidR="007D3829" w:rsidRPr="007D3829" w:rsidRDefault="007D3829" w:rsidP="00EE6868">
      <w:pPr>
        <w:pStyle w:val="Normaalweb"/>
        <w:ind w:left="426"/>
        <w:jc w:val="both"/>
        <w:rPr>
          <w:sz w:val="22"/>
          <w:szCs w:val="22"/>
        </w:rPr>
      </w:pPr>
      <w:r w:rsidRPr="007D3829">
        <w:rPr>
          <w:sz w:val="22"/>
          <w:szCs w:val="22"/>
        </w:rPr>
        <w:t> </w:t>
      </w:r>
    </w:p>
    <w:p w:rsidR="007D3829" w:rsidRPr="007D3829" w:rsidRDefault="007D3829" w:rsidP="00EE6868">
      <w:pPr>
        <w:pStyle w:val="StandaardSV"/>
        <w:ind w:left="426"/>
        <w:rPr>
          <w:szCs w:val="22"/>
        </w:rPr>
      </w:pPr>
      <w:r w:rsidRPr="007D3829">
        <w:rPr>
          <w:szCs w:val="22"/>
        </w:rPr>
        <w:t>c)</w:t>
      </w:r>
      <w:r w:rsidRPr="007D3829">
        <w:rPr>
          <w:szCs w:val="22"/>
        </w:rPr>
        <w:tab/>
        <w:t>Zie het antwoord op vraag 1b)</w:t>
      </w:r>
    </w:p>
    <w:p w:rsidR="007D3829" w:rsidRPr="007D3829" w:rsidRDefault="007D3829" w:rsidP="00EE6868">
      <w:pPr>
        <w:pStyle w:val="StandaardSV"/>
        <w:ind w:left="426"/>
        <w:rPr>
          <w:szCs w:val="22"/>
        </w:rPr>
      </w:pPr>
    </w:p>
    <w:p w:rsidR="007D3829" w:rsidRDefault="00EE6868" w:rsidP="00EE6868">
      <w:pPr>
        <w:pStyle w:val="StandaardSV"/>
        <w:numPr>
          <w:ilvl w:val="0"/>
          <w:numId w:val="10"/>
        </w:numPr>
        <w:ind w:left="426" w:hanging="426"/>
        <w:rPr>
          <w:szCs w:val="22"/>
        </w:rPr>
      </w:pPr>
      <w:r>
        <w:rPr>
          <w:szCs w:val="22"/>
        </w:rPr>
        <w:t xml:space="preserve">a) </w:t>
      </w:r>
      <w:r w:rsidR="007D3829" w:rsidRPr="007D3829">
        <w:rPr>
          <w:rFonts w:eastAsia="Calibri"/>
          <w:szCs w:val="22"/>
          <w:lang w:val="nl-BE" w:eastAsia="nl-BE"/>
        </w:rPr>
        <w:t xml:space="preserve">Enkel bij het </w:t>
      </w:r>
      <w:proofErr w:type="spellStart"/>
      <w:r w:rsidR="007D3829" w:rsidRPr="007D3829">
        <w:rPr>
          <w:rFonts w:eastAsia="Calibri"/>
          <w:szCs w:val="22"/>
          <w:lang w:val="nl-BE" w:eastAsia="nl-BE"/>
        </w:rPr>
        <w:t>Future</w:t>
      </w:r>
      <w:proofErr w:type="spellEnd"/>
      <w:r w:rsidR="007D3829" w:rsidRPr="007D3829">
        <w:rPr>
          <w:rFonts w:eastAsia="Calibri"/>
          <w:szCs w:val="22"/>
          <w:lang w:val="nl-BE" w:eastAsia="nl-BE"/>
        </w:rPr>
        <w:t xml:space="preserve"> Carbon Fund (FCF) wordt er mogelijkerwijze nog in nieuwe projecten</w:t>
      </w:r>
      <w:r w:rsidR="007D3829" w:rsidRPr="007D3829">
        <w:rPr>
          <w:szCs w:val="22"/>
        </w:rPr>
        <w:t xml:space="preserve"> geïnvesteerd. Gelet op het voorwaardelijke en vertrouwelijke karakter van de contractuele </w:t>
      </w:r>
      <w:r w:rsidR="00C74420">
        <w:rPr>
          <w:szCs w:val="22"/>
        </w:rPr>
        <w:t xml:space="preserve">verbintenissen </w:t>
      </w:r>
      <w:r w:rsidR="007D3829" w:rsidRPr="007D3829">
        <w:rPr>
          <w:szCs w:val="22"/>
        </w:rPr>
        <w:t>is het nog niet mogelijk om in detail te treden over de projectenpijplijn van dit fonds.</w:t>
      </w:r>
    </w:p>
    <w:p w:rsidR="00EE6868" w:rsidRPr="007D3829" w:rsidRDefault="00EE6868" w:rsidP="00EE6868">
      <w:pPr>
        <w:pStyle w:val="StandaardSV"/>
        <w:ind w:left="426"/>
        <w:rPr>
          <w:szCs w:val="22"/>
        </w:rPr>
      </w:pPr>
    </w:p>
    <w:p w:rsidR="007D3829" w:rsidRDefault="007D3829" w:rsidP="00EE6868">
      <w:pPr>
        <w:pStyle w:val="StandaardSV"/>
        <w:ind w:left="426"/>
        <w:rPr>
          <w:rFonts w:eastAsia="Calibri"/>
          <w:szCs w:val="22"/>
          <w:lang w:val="nl-BE" w:eastAsia="nl-BE"/>
        </w:rPr>
      </w:pPr>
      <w:r w:rsidRPr="007D3829">
        <w:rPr>
          <w:rFonts w:eastAsia="Calibri"/>
          <w:szCs w:val="22"/>
          <w:lang w:val="nl-BE" w:eastAsia="nl-BE"/>
        </w:rPr>
        <w:t>b)</w:t>
      </w:r>
      <w:r w:rsidRPr="007D3829">
        <w:rPr>
          <w:rFonts w:eastAsia="Calibri"/>
          <w:szCs w:val="22"/>
          <w:lang w:val="nl-BE" w:eastAsia="nl-BE"/>
        </w:rPr>
        <w:tab/>
        <w:t>Zie het antwoord op vraag 2 a)</w:t>
      </w:r>
    </w:p>
    <w:p w:rsidR="00EE6868" w:rsidRPr="007D3829" w:rsidRDefault="00EE6868" w:rsidP="00EE6868">
      <w:pPr>
        <w:pStyle w:val="StandaardSV"/>
        <w:ind w:left="426"/>
        <w:rPr>
          <w:rFonts w:eastAsia="Calibri"/>
          <w:szCs w:val="22"/>
          <w:lang w:val="nl-BE" w:eastAsia="nl-BE"/>
        </w:rPr>
      </w:pPr>
    </w:p>
    <w:p w:rsidR="007D3829" w:rsidRDefault="007D3829" w:rsidP="00EE6868">
      <w:pPr>
        <w:pStyle w:val="StandaardSV"/>
        <w:ind w:left="426"/>
        <w:rPr>
          <w:rFonts w:eastAsia="Calibri"/>
          <w:szCs w:val="22"/>
          <w:lang w:val="nl-BE" w:eastAsia="nl-BE"/>
        </w:rPr>
      </w:pPr>
      <w:r w:rsidRPr="007D3829">
        <w:rPr>
          <w:rFonts w:eastAsia="Calibri"/>
          <w:szCs w:val="22"/>
          <w:lang w:val="nl-BE" w:eastAsia="nl-BE"/>
        </w:rPr>
        <w:t>c)</w:t>
      </w:r>
      <w:r w:rsidRPr="007D3829">
        <w:rPr>
          <w:rFonts w:eastAsia="Calibri"/>
          <w:szCs w:val="22"/>
          <w:lang w:val="nl-BE" w:eastAsia="nl-BE"/>
        </w:rPr>
        <w:tab/>
        <w:t>Zie het antwoord op vraag 1b)</w:t>
      </w:r>
    </w:p>
    <w:p w:rsidR="00EE6868" w:rsidRPr="007D3829" w:rsidRDefault="00EE6868" w:rsidP="00EE6868">
      <w:pPr>
        <w:pStyle w:val="StandaardSV"/>
        <w:ind w:left="426"/>
        <w:rPr>
          <w:rFonts w:eastAsia="Calibri"/>
          <w:szCs w:val="22"/>
          <w:lang w:val="nl-BE" w:eastAsia="nl-BE"/>
        </w:rPr>
      </w:pPr>
    </w:p>
    <w:p w:rsidR="007D3829" w:rsidRPr="007D3829" w:rsidRDefault="00EE6868" w:rsidP="00EE6868">
      <w:pPr>
        <w:pStyle w:val="StandaardSV"/>
        <w:ind w:left="426"/>
        <w:rPr>
          <w:rFonts w:eastAsia="Calibri"/>
          <w:szCs w:val="22"/>
          <w:lang w:val="nl-BE" w:eastAsia="nl-BE"/>
        </w:rPr>
      </w:pPr>
      <w:r>
        <w:rPr>
          <w:rFonts w:eastAsia="Calibri"/>
          <w:szCs w:val="22"/>
          <w:lang w:val="nl-BE" w:eastAsia="nl-BE"/>
        </w:rPr>
        <w:t>d</w:t>
      </w:r>
      <w:r w:rsidR="007D3829" w:rsidRPr="007D3829">
        <w:rPr>
          <w:rFonts w:eastAsia="Calibri"/>
          <w:szCs w:val="22"/>
          <w:lang w:val="nl-BE" w:eastAsia="nl-BE"/>
        </w:rPr>
        <w:t>)</w:t>
      </w:r>
      <w:r w:rsidR="007D3829" w:rsidRPr="007D3829">
        <w:rPr>
          <w:rFonts w:eastAsia="Calibri"/>
          <w:szCs w:val="22"/>
          <w:lang w:val="nl-BE" w:eastAsia="nl-BE"/>
        </w:rPr>
        <w:tab/>
        <w:t>Zie het antwoord op vraag 2 a)</w:t>
      </w:r>
    </w:p>
    <w:p w:rsidR="007D3829" w:rsidRPr="007D3829" w:rsidRDefault="007D3829" w:rsidP="00EE6868">
      <w:pPr>
        <w:pStyle w:val="StandaardSV"/>
        <w:ind w:left="426"/>
        <w:rPr>
          <w:szCs w:val="22"/>
        </w:rPr>
      </w:pPr>
    </w:p>
    <w:p w:rsidR="007D3829" w:rsidRPr="007D3829" w:rsidRDefault="007D3829" w:rsidP="00EE6868">
      <w:pPr>
        <w:pStyle w:val="StandaardSV"/>
        <w:ind w:left="426" w:hanging="426"/>
        <w:rPr>
          <w:szCs w:val="22"/>
        </w:rPr>
      </w:pPr>
      <w:r w:rsidRPr="007D3829">
        <w:rPr>
          <w:szCs w:val="22"/>
        </w:rPr>
        <w:t>3.</w:t>
      </w:r>
      <w:r w:rsidRPr="007D3829">
        <w:rPr>
          <w:szCs w:val="22"/>
        </w:rPr>
        <w:tab/>
        <w:t xml:space="preserve">De minister kan zich enkel uitspreken over de rol van PMV. Zij is van oordeel dat PMV steeds binnen het mandaat en de principes heeft gehandeld die daarvoor door de Vlaamse Regering en de bevoegde minister van Leefmilieu zijn vooropgesteld. </w:t>
      </w:r>
    </w:p>
    <w:p w:rsidR="007D3829" w:rsidRPr="007D3829" w:rsidRDefault="007D3829" w:rsidP="00EE6868">
      <w:pPr>
        <w:pStyle w:val="StandaardSV"/>
        <w:ind w:left="426"/>
        <w:rPr>
          <w:szCs w:val="22"/>
        </w:rPr>
      </w:pPr>
      <w:r w:rsidRPr="007D3829">
        <w:rPr>
          <w:szCs w:val="22"/>
        </w:rPr>
        <w:t>Voor een inhoudelijke appreciatie verwijst de minister naar haar collega, bevoegd voor Leefmilieu.</w:t>
      </w:r>
    </w:p>
    <w:p w:rsidR="007D3829" w:rsidRDefault="007D3829" w:rsidP="007B527F">
      <w:pPr>
        <w:jc w:val="both"/>
        <w:rPr>
          <w:sz w:val="22"/>
        </w:rPr>
      </w:pPr>
    </w:p>
    <w:p w:rsidR="007D3829" w:rsidRDefault="007D3829" w:rsidP="007D3829">
      <w:pPr>
        <w:jc w:val="both"/>
        <w:rPr>
          <w:b/>
          <w:smallCaps/>
          <w:color w:val="FF0000"/>
          <w:szCs w:val="22"/>
          <w:u w:val="single"/>
        </w:rPr>
      </w:pPr>
      <w:r w:rsidRPr="00A222E2">
        <w:rPr>
          <w:b/>
          <w:smallCaps/>
          <w:color w:val="FF0000"/>
          <w:szCs w:val="22"/>
          <w:u w:val="single"/>
        </w:rPr>
        <w:t>bijlagen</w:t>
      </w:r>
    </w:p>
    <w:p w:rsidR="007D3829" w:rsidRDefault="007D3829" w:rsidP="007D3829">
      <w:pPr>
        <w:jc w:val="both"/>
        <w:rPr>
          <w:szCs w:val="22"/>
        </w:rPr>
      </w:pPr>
    </w:p>
    <w:p w:rsidR="007D3829" w:rsidRDefault="00EE6868" w:rsidP="00EE6868">
      <w:pPr>
        <w:jc w:val="both"/>
        <w:rPr>
          <w:sz w:val="22"/>
        </w:rPr>
      </w:pPr>
      <w:r>
        <w:rPr>
          <w:rFonts w:eastAsia="Calibri"/>
          <w:szCs w:val="22"/>
          <w:lang w:val="nl-BE" w:eastAsia="nl-BE"/>
        </w:rPr>
        <w:t>O</w:t>
      </w:r>
      <w:r w:rsidR="007D3829" w:rsidRPr="007D3829">
        <w:rPr>
          <w:rFonts w:eastAsia="Calibri"/>
          <w:szCs w:val="22"/>
          <w:lang w:val="nl-BE" w:eastAsia="nl-BE"/>
        </w:rPr>
        <w:t>verzicht van de meer dan 50 projecten</w:t>
      </w:r>
      <w:r w:rsidR="007D3829">
        <w:rPr>
          <w:rFonts w:eastAsia="Calibri"/>
          <w:szCs w:val="22"/>
          <w:lang w:val="nl-BE" w:eastAsia="nl-BE"/>
        </w:rPr>
        <w:t>.</w:t>
      </w:r>
    </w:p>
    <w:sectPr w:rsidR="007D3829" w:rsidSect="00800894">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A684B46"/>
    <w:lvl w:ilvl="0">
      <w:start w:val="1"/>
      <w:numFmt w:val="decimal"/>
      <w:pStyle w:val="Lijstnummering"/>
      <w:lvlText w:val="%1."/>
      <w:lvlJc w:val="left"/>
      <w:pPr>
        <w:tabs>
          <w:tab w:val="num" w:pos="357"/>
        </w:tabs>
        <w:ind w:left="357" w:hanging="357"/>
      </w:pPr>
      <w:rPr>
        <w:rFonts w:hint="default"/>
      </w:rPr>
    </w:lvl>
  </w:abstractNum>
  <w:abstractNum w:abstractNumId="1">
    <w:nsid w:val="00F27974"/>
    <w:multiLevelType w:val="hybridMultilevel"/>
    <w:tmpl w:val="D67E174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0692F42"/>
    <w:multiLevelType w:val="hybridMultilevel"/>
    <w:tmpl w:val="F4A28B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2E31252"/>
    <w:multiLevelType w:val="hybridMultilevel"/>
    <w:tmpl w:val="7E96DAC4"/>
    <w:lvl w:ilvl="0" w:tplc="08130017">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4A512C1"/>
    <w:multiLevelType w:val="hybridMultilevel"/>
    <w:tmpl w:val="6BDC3120"/>
    <w:lvl w:ilvl="0" w:tplc="C06A2B1C">
      <w:start w:val="2"/>
      <w:numFmt w:val="decimal"/>
      <w:lvlText w:val="%1."/>
      <w:lvlJc w:val="left"/>
      <w:pPr>
        <w:tabs>
          <w:tab w:val="num" w:pos="720"/>
        </w:tabs>
        <w:ind w:left="720" w:hanging="360"/>
      </w:pPr>
      <w:rPr>
        <w:rFonts w:hint="default"/>
      </w:rPr>
    </w:lvl>
    <w:lvl w:ilvl="1" w:tplc="2F3206E2" w:tentative="1">
      <w:start w:val="1"/>
      <w:numFmt w:val="lowerLetter"/>
      <w:lvlText w:val="%2."/>
      <w:lvlJc w:val="left"/>
      <w:pPr>
        <w:tabs>
          <w:tab w:val="num" w:pos="1440"/>
        </w:tabs>
        <w:ind w:left="1440" w:hanging="360"/>
      </w:pPr>
    </w:lvl>
    <w:lvl w:ilvl="2" w:tplc="498AB93C" w:tentative="1">
      <w:start w:val="1"/>
      <w:numFmt w:val="lowerRoman"/>
      <w:lvlText w:val="%3."/>
      <w:lvlJc w:val="right"/>
      <w:pPr>
        <w:tabs>
          <w:tab w:val="num" w:pos="2160"/>
        </w:tabs>
        <w:ind w:left="2160" w:hanging="180"/>
      </w:pPr>
    </w:lvl>
    <w:lvl w:ilvl="3" w:tplc="E3E8F9D4" w:tentative="1">
      <w:start w:val="1"/>
      <w:numFmt w:val="decimal"/>
      <w:lvlText w:val="%4."/>
      <w:lvlJc w:val="left"/>
      <w:pPr>
        <w:tabs>
          <w:tab w:val="num" w:pos="2880"/>
        </w:tabs>
        <w:ind w:left="2880" w:hanging="360"/>
      </w:pPr>
    </w:lvl>
    <w:lvl w:ilvl="4" w:tplc="BC9C4358" w:tentative="1">
      <w:start w:val="1"/>
      <w:numFmt w:val="lowerLetter"/>
      <w:lvlText w:val="%5."/>
      <w:lvlJc w:val="left"/>
      <w:pPr>
        <w:tabs>
          <w:tab w:val="num" w:pos="3600"/>
        </w:tabs>
        <w:ind w:left="3600" w:hanging="360"/>
      </w:pPr>
    </w:lvl>
    <w:lvl w:ilvl="5" w:tplc="1AB4EC8C" w:tentative="1">
      <w:start w:val="1"/>
      <w:numFmt w:val="lowerRoman"/>
      <w:lvlText w:val="%6."/>
      <w:lvlJc w:val="right"/>
      <w:pPr>
        <w:tabs>
          <w:tab w:val="num" w:pos="4320"/>
        </w:tabs>
        <w:ind w:left="4320" w:hanging="180"/>
      </w:pPr>
    </w:lvl>
    <w:lvl w:ilvl="6" w:tplc="3956F54A" w:tentative="1">
      <w:start w:val="1"/>
      <w:numFmt w:val="decimal"/>
      <w:lvlText w:val="%7."/>
      <w:lvlJc w:val="left"/>
      <w:pPr>
        <w:tabs>
          <w:tab w:val="num" w:pos="5040"/>
        </w:tabs>
        <w:ind w:left="5040" w:hanging="360"/>
      </w:pPr>
    </w:lvl>
    <w:lvl w:ilvl="7" w:tplc="B04AA1D8" w:tentative="1">
      <w:start w:val="1"/>
      <w:numFmt w:val="lowerLetter"/>
      <w:lvlText w:val="%8."/>
      <w:lvlJc w:val="left"/>
      <w:pPr>
        <w:tabs>
          <w:tab w:val="num" w:pos="5760"/>
        </w:tabs>
        <w:ind w:left="5760" w:hanging="360"/>
      </w:pPr>
    </w:lvl>
    <w:lvl w:ilvl="8" w:tplc="4CACF364" w:tentative="1">
      <w:start w:val="1"/>
      <w:numFmt w:val="lowerRoman"/>
      <w:lvlText w:val="%9."/>
      <w:lvlJc w:val="right"/>
      <w:pPr>
        <w:tabs>
          <w:tab w:val="num" w:pos="6480"/>
        </w:tabs>
        <w:ind w:left="6480" w:hanging="180"/>
      </w:pPr>
    </w:lvl>
  </w:abstractNum>
  <w:abstractNum w:abstractNumId="5">
    <w:nsid w:val="2855733E"/>
    <w:multiLevelType w:val="hybridMultilevel"/>
    <w:tmpl w:val="57EC64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9FE27C4"/>
    <w:multiLevelType w:val="hybridMultilevel"/>
    <w:tmpl w:val="982EB9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B0C5731"/>
    <w:multiLevelType w:val="hybridMultilevel"/>
    <w:tmpl w:val="44EC80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7"/>
  </w:num>
  <w:num w:numId="6">
    <w:abstractNumId w:val="8"/>
  </w:num>
  <w:num w:numId="7">
    <w:abstractNumId w:val="0"/>
  </w:num>
  <w:num w:numId="8">
    <w:abstractNumId w:val="0"/>
    <w:lvlOverride w:ilvl="0">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29"/>
    <w:rsid w:val="001747B4"/>
    <w:rsid w:val="001F0937"/>
    <w:rsid w:val="005431C7"/>
    <w:rsid w:val="006A324D"/>
    <w:rsid w:val="006F7264"/>
    <w:rsid w:val="007A666B"/>
    <w:rsid w:val="007B527F"/>
    <w:rsid w:val="007D3829"/>
    <w:rsid w:val="00800894"/>
    <w:rsid w:val="009976C1"/>
    <w:rsid w:val="00AB0AA4"/>
    <w:rsid w:val="00C74420"/>
    <w:rsid w:val="00EE68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0089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800894"/>
    <w:pPr>
      <w:jc w:val="both"/>
    </w:pPr>
    <w:rPr>
      <w:sz w:val="22"/>
      <w:szCs w:val="20"/>
    </w:rPr>
  </w:style>
  <w:style w:type="paragraph" w:styleId="Ballontekst">
    <w:name w:val="Balloon Text"/>
    <w:basedOn w:val="Standaard"/>
    <w:semiHidden/>
    <w:rsid w:val="00800894"/>
    <w:rPr>
      <w:rFonts w:ascii="Tahoma" w:hAnsi="Tahoma" w:cs="Tahoma"/>
      <w:sz w:val="16"/>
      <w:szCs w:val="16"/>
    </w:rPr>
  </w:style>
  <w:style w:type="paragraph" w:styleId="Normaalweb">
    <w:name w:val="Normal (Web)"/>
    <w:basedOn w:val="Standaard"/>
    <w:uiPriority w:val="99"/>
    <w:unhideWhenUsed/>
    <w:rsid w:val="007D3829"/>
    <w:rPr>
      <w:rFonts w:eastAsia="Calibri"/>
      <w:lang w:val="nl-BE" w:eastAsia="nl-BE"/>
    </w:rPr>
  </w:style>
  <w:style w:type="paragraph" w:styleId="Lijstnummering">
    <w:name w:val="List Number"/>
    <w:basedOn w:val="Standaard"/>
    <w:rsid w:val="007D3829"/>
    <w:pPr>
      <w:numPr>
        <w:numId w:val="7"/>
      </w:numPr>
      <w:suppressAutoHyphens/>
    </w:pPr>
    <w:rPr>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0089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800894"/>
    <w:pPr>
      <w:jc w:val="both"/>
    </w:pPr>
    <w:rPr>
      <w:sz w:val="22"/>
      <w:szCs w:val="20"/>
    </w:rPr>
  </w:style>
  <w:style w:type="paragraph" w:styleId="Ballontekst">
    <w:name w:val="Balloon Text"/>
    <w:basedOn w:val="Standaard"/>
    <w:semiHidden/>
    <w:rsid w:val="00800894"/>
    <w:rPr>
      <w:rFonts w:ascii="Tahoma" w:hAnsi="Tahoma" w:cs="Tahoma"/>
      <w:sz w:val="16"/>
      <w:szCs w:val="16"/>
    </w:rPr>
  </w:style>
  <w:style w:type="paragraph" w:styleId="Normaalweb">
    <w:name w:val="Normal (Web)"/>
    <w:basedOn w:val="Standaard"/>
    <w:uiPriority w:val="99"/>
    <w:unhideWhenUsed/>
    <w:rsid w:val="007D3829"/>
    <w:rPr>
      <w:rFonts w:eastAsia="Calibri"/>
      <w:lang w:val="nl-BE" w:eastAsia="nl-BE"/>
    </w:rPr>
  </w:style>
  <w:style w:type="paragraph" w:styleId="Lijstnummering">
    <w:name w:val="List Number"/>
    <w:basedOn w:val="Standaard"/>
    <w:rsid w:val="007D3829"/>
    <w:pPr>
      <w:numPr>
        <w:numId w:val="7"/>
      </w:numPr>
      <w:suppressAutoHyphens/>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Ilse%20en%20Marielle\Schriftelijke%20vragen\Procedure\Schriftelijke%20vraag%20-%20antwoord%20-%20bijlage%203.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4</TotalTime>
  <Pages>1</Pages>
  <Words>348</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auwelail</dc:creator>
  <cp:lastModifiedBy>Vlaams Parlement</cp:lastModifiedBy>
  <cp:revision>2</cp:revision>
  <cp:lastPrinted>2013-03-01T10:26:00Z</cp:lastPrinted>
  <dcterms:created xsi:type="dcterms:W3CDTF">2013-03-01T10:26:00Z</dcterms:created>
  <dcterms:modified xsi:type="dcterms:W3CDTF">2013-03-01T10:26:00Z</dcterms:modified>
</cp:coreProperties>
</file>