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B0A" w:rsidRPr="008E6A5B" w:rsidRDefault="004B4B0A" w:rsidP="008E6A5B">
      <w:pPr>
        <w:jc w:val="both"/>
        <w:rPr>
          <w:b/>
          <w:smallCaps/>
          <w:sz w:val="22"/>
          <w:szCs w:val="22"/>
        </w:rPr>
      </w:pPr>
      <w:r w:rsidRPr="008E6A5B">
        <w:rPr>
          <w:b/>
          <w:smallCaps/>
          <w:sz w:val="22"/>
          <w:szCs w:val="22"/>
        </w:rPr>
        <w:t>ingrid lieten</w:t>
      </w:r>
    </w:p>
    <w:p w:rsidR="004B4B0A" w:rsidRPr="008E6A5B" w:rsidRDefault="004B4B0A" w:rsidP="008E6A5B">
      <w:pPr>
        <w:pStyle w:val="StandaardSV"/>
        <w:rPr>
          <w:smallCaps/>
          <w:szCs w:val="22"/>
        </w:rPr>
      </w:pPr>
      <w:r w:rsidRPr="008E6A5B">
        <w:rPr>
          <w:smallCaps/>
          <w:szCs w:val="22"/>
        </w:rPr>
        <w:t>viceminister-president van de vlaamse regering, vlaams minister van innovatie, overheidsinvesteringen, media en armoedebestrijding</w:t>
      </w:r>
    </w:p>
    <w:p w:rsidR="004B4B0A" w:rsidRPr="008E6A5B" w:rsidRDefault="004B4B0A" w:rsidP="008E6A5B">
      <w:pPr>
        <w:pBdr>
          <w:bottom w:val="single" w:sz="4" w:space="1" w:color="auto"/>
        </w:pBdr>
        <w:jc w:val="both"/>
        <w:rPr>
          <w:sz w:val="22"/>
          <w:szCs w:val="22"/>
        </w:rPr>
      </w:pPr>
    </w:p>
    <w:p w:rsidR="004B4B0A" w:rsidRPr="008E6A5B" w:rsidRDefault="004B4B0A" w:rsidP="008E6A5B">
      <w:pPr>
        <w:jc w:val="both"/>
        <w:rPr>
          <w:sz w:val="22"/>
          <w:szCs w:val="22"/>
        </w:rPr>
      </w:pPr>
    </w:p>
    <w:p w:rsidR="004B4B0A" w:rsidRPr="008E6A5B" w:rsidRDefault="004B4B0A" w:rsidP="008E6A5B">
      <w:pPr>
        <w:jc w:val="both"/>
        <w:rPr>
          <w:b/>
          <w:smallCaps/>
          <w:sz w:val="22"/>
          <w:szCs w:val="22"/>
        </w:rPr>
      </w:pPr>
      <w:r w:rsidRPr="008E6A5B">
        <w:rPr>
          <w:b/>
          <w:smallCaps/>
          <w:sz w:val="22"/>
          <w:szCs w:val="22"/>
        </w:rPr>
        <w:t>antwoord</w:t>
      </w:r>
    </w:p>
    <w:p w:rsidR="004B4B0A" w:rsidRPr="008E6A5B" w:rsidRDefault="004B4B0A" w:rsidP="008E6A5B">
      <w:pPr>
        <w:jc w:val="both"/>
        <w:rPr>
          <w:sz w:val="22"/>
          <w:szCs w:val="22"/>
        </w:rPr>
      </w:pPr>
      <w:r w:rsidRPr="008E6A5B">
        <w:rPr>
          <w:sz w:val="22"/>
          <w:szCs w:val="22"/>
        </w:rPr>
        <w:t>op vraag nr. 188 van 30 januari 2013</w:t>
      </w:r>
    </w:p>
    <w:p w:rsidR="004B4B0A" w:rsidRPr="008E6A5B" w:rsidRDefault="004B4B0A" w:rsidP="008E6A5B">
      <w:pPr>
        <w:jc w:val="both"/>
        <w:rPr>
          <w:sz w:val="22"/>
          <w:szCs w:val="22"/>
        </w:rPr>
      </w:pPr>
      <w:r w:rsidRPr="008E6A5B">
        <w:rPr>
          <w:sz w:val="22"/>
          <w:szCs w:val="22"/>
        </w:rPr>
        <w:t xml:space="preserve">van </w:t>
      </w:r>
      <w:r w:rsidRPr="008E6A5B">
        <w:rPr>
          <w:b/>
          <w:smallCaps/>
          <w:sz w:val="22"/>
          <w:szCs w:val="22"/>
        </w:rPr>
        <w:t>robrecht bothuyne</w:t>
      </w:r>
    </w:p>
    <w:p w:rsidR="004B4B0A" w:rsidRPr="008E6A5B" w:rsidRDefault="004B4B0A" w:rsidP="008E6A5B">
      <w:pPr>
        <w:pBdr>
          <w:bottom w:val="single" w:sz="4" w:space="1" w:color="auto"/>
        </w:pBdr>
        <w:jc w:val="both"/>
        <w:rPr>
          <w:sz w:val="22"/>
          <w:szCs w:val="22"/>
        </w:rPr>
      </w:pPr>
    </w:p>
    <w:p w:rsidR="004B4B0A" w:rsidRPr="008E6A5B" w:rsidRDefault="004B4B0A" w:rsidP="008E6A5B">
      <w:pPr>
        <w:pStyle w:val="SVVlaamsParlement"/>
        <w:rPr>
          <w:szCs w:val="22"/>
        </w:rPr>
      </w:pPr>
    </w:p>
    <w:p w:rsidR="008873BE" w:rsidRPr="008E6A5B" w:rsidRDefault="008873BE" w:rsidP="008E6A5B">
      <w:pPr>
        <w:pStyle w:val="StandaardSV"/>
        <w:rPr>
          <w:szCs w:val="22"/>
        </w:rPr>
      </w:pPr>
    </w:p>
    <w:p w:rsidR="00D4223D" w:rsidRPr="008E6A5B" w:rsidRDefault="00063140" w:rsidP="008E6A5B">
      <w:pPr>
        <w:pStyle w:val="StandaardSV"/>
        <w:ind w:left="360" w:hanging="360"/>
        <w:rPr>
          <w:szCs w:val="22"/>
        </w:rPr>
      </w:pPr>
      <w:r w:rsidRPr="008E6A5B">
        <w:rPr>
          <w:szCs w:val="22"/>
        </w:rPr>
        <w:t>1a.</w:t>
      </w:r>
      <w:r w:rsidRPr="008E6A5B">
        <w:rPr>
          <w:szCs w:val="22"/>
        </w:rPr>
        <w:tab/>
      </w:r>
      <w:r w:rsidR="00D4223D" w:rsidRPr="008E6A5B">
        <w:rPr>
          <w:szCs w:val="22"/>
        </w:rPr>
        <w:t>De samenwerkingsovereenkomst werd gefinaliseerd op 31/</w:t>
      </w:r>
      <w:r w:rsidR="00411BDD" w:rsidRPr="008E6A5B">
        <w:rPr>
          <w:szCs w:val="22"/>
        </w:rPr>
        <w:t>0</w:t>
      </w:r>
      <w:r w:rsidR="00D4223D" w:rsidRPr="008E6A5B">
        <w:rPr>
          <w:szCs w:val="22"/>
        </w:rPr>
        <w:t>3/2011. Er zijn dus geen gegevens voor 2</w:t>
      </w:r>
      <w:bookmarkStart w:id="0" w:name="_GoBack"/>
      <w:bookmarkEnd w:id="0"/>
      <w:r w:rsidR="00D4223D" w:rsidRPr="008E6A5B">
        <w:rPr>
          <w:szCs w:val="22"/>
        </w:rPr>
        <w:t xml:space="preserve">010. </w:t>
      </w:r>
    </w:p>
    <w:p w:rsidR="00D4223D" w:rsidRPr="008E6A5B" w:rsidRDefault="00D4223D" w:rsidP="008E6A5B">
      <w:pPr>
        <w:pStyle w:val="StandaardSV"/>
        <w:ind w:left="360"/>
        <w:rPr>
          <w:szCs w:val="22"/>
        </w:rPr>
      </w:pPr>
    </w:p>
    <w:p w:rsidR="00D4223D" w:rsidRPr="008E6A5B" w:rsidRDefault="00D4223D" w:rsidP="008E6A5B">
      <w:pPr>
        <w:pStyle w:val="StandaardSV"/>
        <w:ind w:left="360"/>
        <w:rPr>
          <w:szCs w:val="22"/>
        </w:rPr>
      </w:pPr>
      <w:r w:rsidRPr="008E6A5B">
        <w:rPr>
          <w:szCs w:val="22"/>
        </w:rPr>
        <w:t xml:space="preserve">Er werden tot op heden 64 aanvragen ingediend (15 dossiers ontvangen in 2011,47 dossiers in 2012 en 2 in 2013 tot </w:t>
      </w:r>
      <w:r w:rsidR="00FD5FC6" w:rsidRPr="008E6A5B">
        <w:rPr>
          <w:szCs w:val="22"/>
        </w:rPr>
        <w:t>half januari</w:t>
      </w:r>
      <w:r w:rsidRPr="008E6A5B">
        <w:rPr>
          <w:szCs w:val="22"/>
        </w:rPr>
        <w:t xml:space="preserve">), waarvan 27 dossiers werden stopgezet en 9 on hold werden geplaatst. 18 dossiers zijn in behandeling. 10 dossiers werden goedgekeurd. </w:t>
      </w:r>
    </w:p>
    <w:p w:rsidR="00D4223D" w:rsidRPr="008E6A5B" w:rsidRDefault="00D4223D" w:rsidP="008E6A5B">
      <w:pPr>
        <w:pStyle w:val="StandaardSV"/>
        <w:ind w:left="360"/>
        <w:rPr>
          <w:szCs w:val="22"/>
        </w:rPr>
      </w:pPr>
      <w:r w:rsidRPr="008E6A5B">
        <w:rPr>
          <w:szCs w:val="22"/>
        </w:rPr>
        <w:t xml:space="preserve">Er kunnen geen statistieken bijgehouden worden per provincie en per sector gezien het feit dat TINA zich richt op consortia van bedrijven uit verschillende sectoren en provincies. Een opsplitsing per maand wordt niet in de statistieken bijgehouden omdat dit weinig tot geen toegevoegde waarde heeft. </w:t>
      </w:r>
    </w:p>
    <w:p w:rsidR="00555250" w:rsidRPr="008E6A5B" w:rsidRDefault="00555250" w:rsidP="008E6A5B">
      <w:pPr>
        <w:pStyle w:val="StandaardSV"/>
        <w:ind w:left="360"/>
        <w:rPr>
          <w:szCs w:val="22"/>
        </w:rPr>
      </w:pPr>
    </w:p>
    <w:p w:rsidR="00D4223D" w:rsidRPr="008E6A5B" w:rsidRDefault="00063140" w:rsidP="008E6A5B">
      <w:pPr>
        <w:pStyle w:val="StandaardSV"/>
        <w:ind w:left="360" w:hanging="360"/>
        <w:rPr>
          <w:szCs w:val="22"/>
        </w:rPr>
      </w:pPr>
      <w:r w:rsidRPr="008E6A5B">
        <w:rPr>
          <w:szCs w:val="22"/>
        </w:rPr>
        <w:t>1b.</w:t>
      </w:r>
      <w:r w:rsidRPr="008E6A5B">
        <w:rPr>
          <w:szCs w:val="22"/>
        </w:rPr>
        <w:tab/>
      </w:r>
      <w:r w:rsidR="00D4223D" w:rsidRPr="008E6A5B">
        <w:rPr>
          <w:szCs w:val="22"/>
        </w:rPr>
        <w:t xml:space="preserve">Een gevraagd investeringsbedrag wordt pas vastgesteld wanneer een dossier klaar is voor goedkeuring voor een investeringscomité. </w:t>
      </w:r>
    </w:p>
    <w:p w:rsidR="00EF258F" w:rsidRPr="008E6A5B" w:rsidRDefault="00EF258F" w:rsidP="008E6A5B">
      <w:pPr>
        <w:pStyle w:val="StandaardSV"/>
        <w:rPr>
          <w:szCs w:val="22"/>
        </w:rPr>
      </w:pPr>
    </w:p>
    <w:p w:rsidR="00FD5FC6" w:rsidRPr="008E6A5B" w:rsidRDefault="00063140" w:rsidP="008E6A5B">
      <w:pPr>
        <w:pStyle w:val="StandaardSV"/>
        <w:ind w:left="360" w:hanging="360"/>
        <w:rPr>
          <w:szCs w:val="22"/>
        </w:rPr>
      </w:pPr>
      <w:r w:rsidRPr="008E6A5B">
        <w:rPr>
          <w:szCs w:val="22"/>
        </w:rPr>
        <w:t>2a.</w:t>
      </w:r>
      <w:r w:rsidRPr="008E6A5B">
        <w:rPr>
          <w:szCs w:val="22"/>
        </w:rPr>
        <w:tab/>
      </w:r>
      <w:r w:rsidR="00FD5FC6" w:rsidRPr="008E6A5B">
        <w:rPr>
          <w:szCs w:val="22"/>
        </w:rPr>
        <w:t xml:space="preserve">Gezien het fonds haar operationele werkzaamheden maar in 2011 gestart is, zijn er geen aanvragen goedgekeurd in 2010. </w:t>
      </w:r>
    </w:p>
    <w:p w:rsidR="00EF258F" w:rsidRPr="008E6A5B" w:rsidRDefault="00EF258F" w:rsidP="008E6A5B">
      <w:pPr>
        <w:pStyle w:val="StandaardSV"/>
        <w:rPr>
          <w:szCs w:val="22"/>
        </w:rPr>
      </w:pPr>
    </w:p>
    <w:p w:rsidR="00555250" w:rsidRPr="008E6A5B" w:rsidRDefault="00063140" w:rsidP="008E6A5B">
      <w:pPr>
        <w:pStyle w:val="StandaardSV"/>
        <w:ind w:left="360" w:hanging="360"/>
        <w:rPr>
          <w:szCs w:val="22"/>
        </w:rPr>
      </w:pPr>
      <w:r w:rsidRPr="008E6A5B">
        <w:rPr>
          <w:szCs w:val="22"/>
        </w:rPr>
        <w:t>2b.</w:t>
      </w:r>
      <w:r w:rsidRPr="008E6A5B">
        <w:rPr>
          <w:szCs w:val="22"/>
        </w:rPr>
        <w:tab/>
      </w:r>
      <w:r w:rsidR="00555250" w:rsidRPr="008E6A5B">
        <w:rPr>
          <w:szCs w:val="22"/>
        </w:rPr>
        <w:t>Hieronder vindt u een overzicht van de goedgekeurde dossiers</w:t>
      </w:r>
      <w:r w:rsidR="00D50A64" w:rsidRPr="008E6A5B">
        <w:rPr>
          <w:szCs w:val="22"/>
        </w:rPr>
        <w:t xml:space="preserve">, het gecommitteerde bedrag en </w:t>
      </w:r>
      <w:r w:rsidR="00411BDD" w:rsidRPr="008E6A5B">
        <w:rPr>
          <w:szCs w:val="22"/>
        </w:rPr>
        <w:t>het c</w:t>
      </w:r>
      <w:r w:rsidR="00D50A64" w:rsidRPr="008E6A5B">
        <w:rPr>
          <w:szCs w:val="22"/>
        </w:rPr>
        <w:t xml:space="preserve">ommitment van de privépartijen, alsook </w:t>
      </w:r>
      <w:r w:rsidR="00555250" w:rsidRPr="008E6A5B">
        <w:rPr>
          <w:szCs w:val="22"/>
        </w:rPr>
        <w:t xml:space="preserve">de sector waartoe deze </w:t>
      </w:r>
      <w:r w:rsidR="00D50A64" w:rsidRPr="008E6A5B">
        <w:rPr>
          <w:szCs w:val="22"/>
        </w:rPr>
        <w:t xml:space="preserve">dossiers </w:t>
      </w:r>
      <w:r w:rsidR="00555250" w:rsidRPr="008E6A5B">
        <w:rPr>
          <w:szCs w:val="22"/>
        </w:rPr>
        <w:t>behoren.</w:t>
      </w:r>
    </w:p>
    <w:p w:rsidR="00063140" w:rsidRPr="008E6A5B" w:rsidRDefault="00063140" w:rsidP="008E6A5B">
      <w:pPr>
        <w:pStyle w:val="StandaardSV"/>
        <w:ind w:left="720" w:hanging="360"/>
        <w:rPr>
          <w:szCs w:val="22"/>
        </w:rPr>
      </w:pPr>
    </w:p>
    <w:p w:rsidR="00063140" w:rsidRPr="008E6A5B" w:rsidRDefault="00063140" w:rsidP="008E6A5B">
      <w:pPr>
        <w:pStyle w:val="StandaardSV"/>
        <w:ind w:left="720" w:hanging="360"/>
        <w:rPr>
          <w:szCs w:val="22"/>
        </w:rPr>
      </w:pPr>
      <w:r w:rsidRPr="008E6A5B">
        <w:rPr>
          <w:noProof/>
          <w:szCs w:val="22"/>
          <w:lang w:val="nl-BE" w:eastAsia="nl-BE"/>
        </w:rPr>
        <w:drawing>
          <wp:inline distT="0" distB="0" distL="0" distR="0">
            <wp:extent cx="5753100" cy="19145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3100" cy="1914525"/>
                    </a:xfrm>
                    <a:prstGeom prst="rect">
                      <a:avLst/>
                    </a:prstGeom>
                    <a:noFill/>
                    <a:ln>
                      <a:noFill/>
                    </a:ln>
                  </pic:spPr>
                </pic:pic>
              </a:graphicData>
            </a:graphic>
          </wp:inline>
        </w:drawing>
      </w:r>
    </w:p>
    <w:p w:rsidR="00063140" w:rsidRPr="008E6A5B" w:rsidRDefault="00063140" w:rsidP="008E6A5B">
      <w:pPr>
        <w:pStyle w:val="StandaardSV"/>
        <w:ind w:left="720" w:hanging="360"/>
        <w:rPr>
          <w:szCs w:val="22"/>
        </w:rPr>
      </w:pPr>
    </w:p>
    <w:p w:rsidR="00063140" w:rsidRPr="008E6A5B" w:rsidRDefault="00063140" w:rsidP="008E6A5B">
      <w:pPr>
        <w:pStyle w:val="StandaardSV"/>
        <w:ind w:left="720" w:hanging="360"/>
        <w:rPr>
          <w:szCs w:val="22"/>
        </w:rPr>
      </w:pPr>
      <w:r w:rsidRPr="008E6A5B">
        <w:rPr>
          <w:szCs w:val="22"/>
        </w:rPr>
        <w:t>8 dossiers werden goedgekeurd in 2012, 2 dossiers in 2013.</w:t>
      </w:r>
    </w:p>
    <w:p w:rsidR="00063140" w:rsidRPr="008E6A5B" w:rsidRDefault="00063140" w:rsidP="008E6A5B">
      <w:pPr>
        <w:pStyle w:val="StandaardSV"/>
        <w:ind w:left="720" w:hanging="360"/>
        <w:rPr>
          <w:szCs w:val="22"/>
        </w:rPr>
      </w:pPr>
    </w:p>
    <w:p w:rsidR="00534484" w:rsidRPr="008E6A5B" w:rsidRDefault="00534484" w:rsidP="008E6A5B">
      <w:pPr>
        <w:pStyle w:val="StandaardSV"/>
        <w:numPr>
          <w:ilvl w:val="0"/>
          <w:numId w:val="34"/>
        </w:numPr>
        <w:rPr>
          <w:szCs w:val="22"/>
        </w:rPr>
      </w:pPr>
      <w:r w:rsidRPr="008E6A5B">
        <w:rPr>
          <w:szCs w:val="22"/>
        </w:rPr>
        <w:t>Het is niet mogelijk om exacte cijfers te geven. Een investering van het TINA-fonds kan ertoe leiden dat nieuwe bedrijven naar België komen, dat bestaande bedrijven uitbreiden, niet of minder afbouwen, nieuwe activiteiten ontwikkelen</w:t>
      </w:r>
      <w:r w:rsidR="00411BDD" w:rsidRPr="008E6A5B">
        <w:rPr>
          <w:szCs w:val="22"/>
        </w:rPr>
        <w:t>, etc. D</w:t>
      </w:r>
      <w:r w:rsidRPr="008E6A5B">
        <w:rPr>
          <w:szCs w:val="22"/>
        </w:rPr>
        <w:t>e impact op de tewerkstelling is een kwalitatieve beoordeling bij de analyse</w:t>
      </w:r>
      <w:r w:rsidR="00411BDD" w:rsidRPr="008E6A5B">
        <w:rPr>
          <w:szCs w:val="22"/>
        </w:rPr>
        <w:t>.</w:t>
      </w:r>
    </w:p>
    <w:p w:rsidR="00EF258F" w:rsidRPr="008E6A5B" w:rsidRDefault="00EF258F" w:rsidP="008E6A5B">
      <w:pPr>
        <w:pStyle w:val="StandaardSV"/>
        <w:ind w:left="360"/>
        <w:rPr>
          <w:szCs w:val="22"/>
        </w:rPr>
      </w:pPr>
    </w:p>
    <w:p w:rsidR="00534484" w:rsidRPr="008E6A5B" w:rsidRDefault="006408E3" w:rsidP="008E6A5B">
      <w:pPr>
        <w:pStyle w:val="StandaardSV"/>
        <w:numPr>
          <w:ilvl w:val="0"/>
          <w:numId w:val="34"/>
        </w:numPr>
        <w:rPr>
          <w:szCs w:val="22"/>
        </w:rPr>
      </w:pPr>
      <w:r w:rsidRPr="008E6A5B">
        <w:rPr>
          <w:szCs w:val="22"/>
        </w:rPr>
        <w:t xml:space="preserve">Dit is afhankelijk van het soort financieringsinstrument en het risico van het project. Het rendement moet marktconform zijn om in regel te zijn met de Europese wetgeving. </w:t>
      </w:r>
    </w:p>
    <w:p w:rsidR="0011635C" w:rsidRPr="008E6A5B" w:rsidRDefault="0011635C" w:rsidP="008E6A5B">
      <w:pPr>
        <w:pStyle w:val="StandaardSV"/>
        <w:ind w:left="360"/>
        <w:rPr>
          <w:szCs w:val="22"/>
        </w:rPr>
      </w:pPr>
    </w:p>
    <w:p w:rsidR="006408E3" w:rsidRPr="008E6A5B" w:rsidRDefault="0011635C" w:rsidP="008E6A5B">
      <w:pPr>
        <w:pStyle w:val="StandaardSV"/>
        <w:numPr>
          <w:ilvl w:val="0"/>
          <w:numId w:val="34"/>
        </w:numPr>
        <w:rPr>
          <w:szCs w:val="22"/>
        </w:rPr>
      </w:pPr>
      <w:r w:rsidRPr="008E6A5B">
        <w:rPr>
          <w:szCs w:val="22"/>
        </w:rPr>
        <w:t>Chemie (30%), Biotech (20%) en Data Communicatie (20%).</w:t>
      </w:r>
    </w:p>
    <w:p w:rsidR="00EF258F" w:rsidRPr="008E6A5B" w:rsidRDefault="00EF258F" w:rsidP="008E6A5B">
      <w:pPr>
        <w:pStyle w:val="StandaardSV"/>
        <w:ind w:left="360"/>
        <w:rPr>
          <w:szCs w:val="22"/>
        </w:rPr>
      </w:pPr>
    </w:p>
    <w:p w:rsidR="00EA7606" w:rsidRPr="008E6A5B" w:rsidRDefault="00EA7606" w:rsidP="008E6A5B">
      <w:pPr>
        <w:pStyle w:val="StandaardSV"/>
        <w:ind w:left="360" w:hanging="360"/>
        <w:rPr>
          <w:szCs w:val="22"/>
        </w:rPr>
      </w:pPr>
      <w:r w:rsidRPr="008E6A5B">
        <w:rPr>
          <w:szCs w:val="22"/>
        </w:rPr>
        <w:t>6a.</w:t>
      </w:r>
      <w:r w:rsidRPr="008E6A5B">
        <w:rPr>
          <w:szCs w:val="22"/>
        </w:rPr>
        <w:tab/>
        <w:t>Zie boven.</w:t>
      </w:r>
    </w:p>
    <w:p w:rsidR="00EA7606" w:rsidRPr="008E6A5B" w:rsidRDefault="00EA7606" w:rsidP="008E6A5B">
      <w:pPr>
        <w:pStyle w:val="StandaardSV"/>
        <w:ind w:left="360"/>
        <w:rPr>
          <w:szCs w:val="22"/>
        </w:rPr>
      </w:pPr>
    </w:p>
    <w:p w:rsidR="00EA7606" w:rsidRPr="008E6A5B" w:rsidRDefault="00EA7606" w:rsidP="008E6A5B">
      <w:pPr>
        <w:pStyle w:val="StandaardSV"/>
        <w:ind w:left="360" w:hanging="360"/>
        <w:rPr>
          <w:szCs w:val="22"/>
        </w:rPr>
      </w:pPr>
      <w:r w:rsidRPr="008E6A5B">
        <w:rPr>
          <w:szCs w:val="22"/>
        </w:rPr>
        <w:t>6b.</w:t>
      </w:r>
      <w:r w:rsidRPr="008E6A5B">
        <w:rPr>
          <w:szCs w:val="22"/>
        </w:rPr>
        <w:tab/>
        <w:t>Zie boven.</w:t>
      </w:r>
    </w:p>
    <w:p w:rsidR="00EA7606" w:rsidRPr="008E6A5B" w:rsidRDefault="00EA7606" w:rsidP="008E6A5B">
      <w:pPr>
        <w:pStyle w:val="StandaardSV"/>
        <w:ind w:left="360"/>
        <w:rPr>
          <w:szCs w:val="22"/>
        </w:rPr>
      </w:pPr>
    </w:p>
    <w:p w:rsidR="00EA7606" w:rsidRPr="008E6A5B" w:rsidRDefault="00EA7606" w:rsidP="008E6A5B">
      <w:pPr>
        <w:pStyle w:val="StandaardSV"/>
        <w:ind w:left="360" w:hanging="360"/>
        <w:rPr>
          <w:szCs w:val="22"/>
        </w:rPr>
      </w:pPr>
      <w:r w:rsidRPr="008E6A5B">
        <w:rPr>
          <w:szCs w:val="22"/>
        </w:rPr>
        <w:t>6c.</w:t>
      </w:r>
      <w:r w:rsidRPr="008E6A5B">
        <w:rPr>
          <w:szCs w:val="22"/>
        </w:rPr>
        <w:tab/>
        <w:t>De drie voornaamste redenen voor de weigering van een dossier waren de volgende:</w:t>
      </w:r>
    </w:p>
    <w:p w:rsidR="006408E3" w:rsidRPr="008E6A5B" w:rsidRDefault="00EA7606" w:rsidP="008E6A5B">
      <w:pPr>
        <w:pStyle w:val="StandaardSV"/>
        <w:numPr>
          <w:ilvl w:val="0"/>
          <w:numId w:val="35"/>
        </w:numPr>
        <w:rPr>
          <w:szCs w:val="22"/>
        </w:rPr>
      </w:pPr>
      <w:r w:rsidRPr="008E6A5B">
        <w:rPr>
          <w:szCs w:val="22"/>
        </w:rPr>
        <w:t>g</w:t>
      </w:r>
      <w:r w:rsidR="006408E3" w:rsidRPr="008E6A5B">
        <w:rPr>
          <w:szCs w:val="22"/>
        </w:rPr>
        <w:t>een dossier</w:t>
      </w:r>
      <w:r w:rsidR="005E6EF4">
        <w:rPr>
          <w:szCs w:val="22"/>
        </w:rPr>
        <w:t xml:space="preserve"> dat voldoet aan de karakteristieken van het TINA-fonds</w:t>
      </w:r>
      <w:r w:rsidRPr="008E6A5B">
        <w:rPr>
          <w:szCs w:val="22"/>
        </w:rPr>
        <w:t>;</w:t>
      </w:r>
    </w:p>
    <w:p w:rsidR="006408E3" w:rsidRPr="008E6A5B" w:rsidRDefault="00EA7606" w:rsidP="008E6A5B">
      <w:pPr>
        <w:pStyle w:val="StandaardSV"/>
        <w:numPr>
          <w:ilvl w:val="0"/>
          <w:numId w:val="35"/>
        </w:numPr>
        <w:rPr>
          <w:szCs w:val="22"/>
        </w:rPr>
      </w:pPr>
      <w:r w:rsidRPr="008E6A5B">
        <w:rPr>
          <w:szCs w:val="22"/>
        </w:rPr>
        <w:t>n</w:t>
      </w:r>
      <w:r w:rsidR="006408E3" w:rsidRPr="008E6A5B">
        <w:rPr>
          <w:szCs w:val="22"/>
        </w:rPr>
        <w:t>iet goed voorbereid en geen wil van de initiatiefnemers om te verbeteren</w:t>
      </w:r>
      <w:r w:rsidRPr="008E6A5B">
        <w:rPr>
          <w:szCs w:val="22"/>
        </w:rPr>
        <w:t>;</w:t>
      </w:r>
    </w:p>
    <w:p w:rsidR="006408E3" w:rsidRPr="008E6A5B" w:rsidRDefault="00EA7606" w:rsidP="008E6A5B">
      <w:pPr>
        <w:pStyle w:val="StandaardSV"/>
        <w:numPr>
          <w:ilvl w:val="0"/>
          <w:numId w:val="35"/>
        </w:numPr>
        <w:rPr>
          <w:szCs w:val="22"/>
        </w:rPr>
      </w:pPr>
      <w:r w:rsidRPr="008E6A5B">
        <w:rPr>
          <w:szCs w:val="22"/>
        </w:rPr>
        <w:t>o</w:t>
      </w:r>
      <w:r w:rsidR="006408E3" w:rsidRPr="008E6A5B">
        <w:rPr>
          <w:szCs w:val="22"/>
        </w:rPr>
        <w:t>nvoldoende bereidheid van de privésector om mee te investeren</w:t>
      </w:r>
      <w:r w:rsidRPr="008E6A5B">
        <w:rPr>
          <w:szCs w:val="22"/>
        </w:rPr>
        <w:t>.</w:t>
      </w:r>
    </w:p>
    <w:p w:rsidR="00EA7606" w:rsidRPr="008E6A5B" w:rsidRDefault="00EA7606" w:rsidP="008E6A5B">
      <w:pPr>
        <w:pStyle w:val="StandaardSV"/>
        <w:rPr>
          <w:szCs w:val="22"/>
        </w:rPr>
      </w:pPr>
    </w:p>
    <w:p w:rsidR="008157A4" w:rsidRPr="008E6A5B" w:rsidRDefault="006408E3" w:rsidP="008E6A5B">
      <w:pPr>
        <w:pStyle w:val="StandaardSV"/>
        <w:numPr>
          <w:ilvl w:val="0"/>
          <w:numId w:val="37"/>
        </w:numPr>
        <w:rPr>
          <w:szCs w:val="22"/>
        </w:rPr>
      </w:pPr>
      <w:r w:rsidRPr="008E6A5B">
        <w:rPr>
          <w:szCs w:val="22"/>
        </w:rPr>
        <w:t>TINA committeerde reeds bijna de helft van haar middelen aan 10 relevante projecten. Hiermee ligt het TINA-management op schema. Er werden heel wat dossiers gescreend en enkel diegene met voldoende potentieel werden goedgekeurd.</w:t>
      </w:r>
    </w:p>
    <w:sectPr w:rsidR="008157A4" w:rsidRPr="008E6A5B" w:rsidSect="009D3506">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Tahoma"/>
        <w:sz w:val="18"/>
        <w:szCs w:val="18"/>
      </w:rPr>
    </w:lvl>
    <w:lvl w:ilvl="1">
      <w:start w:val="1"/>
      <w:numFmt w:val="bullet"/>
      <w:lvlText w:val=""/>
      <w:lvlJc w:val="left"/>
      <w:pPr>
        <w:tabs>
          <w:tab w:val="num" w:pos="1080"/>
        </w:tabs>
        <w:ind w:left="1080" w:hanging="360"/>
      </w:pPr>
      <w:rPr>
        <w:rFonts w:ascii="Wingdings" w:hAnsi="Wingdings" w:cs="Tahoma"/>
        <w:sz w:val="18"/>
        <w:szCs w:val="18"/>
      </w:rPr>
    </w:lvl>
    <w:lvl w:ilvl="2">
      <w:start w:val="1"/>
      <w:numFmt w:val="bullet"/>
      <w:lvlText w:val=""/>
      <w:lvlJc w:val="left"/>
      <w:pPr>
        <w:tabs>
          <w:tab w:val="num" w:pos="1440"/>
        </w:tabs>
        <w:ind w:left="1440" w:hanging="360"/>
      </w:pPr>
      <w:rPr>
        <w:rFonts w:ascii="Wingdings" w:hAnsi="Wingdings" w:cs="Tahoma"/>
        <w:sz w:val="18"/>
        <w:szCs w:val="18"/>
      </w:rPr>
    </w:lvl>
    <w:lvl w:ilvl="3">
      <w:start w:val="1"/>
      <w:numFmt w:val="bullet"/>
      <w:lvlText w:val=""/>
      <w:lvlJc w:val="left"/>
      <w:pPr>
        <w:tabs>
          <w:tab w:val="num" w:pos="1800"/>
        </w:tabs>
        <w:ind w:left="1800" w:hanging="360"/>
      </w:pPr>
      <w:rPr>
        <w:rFonts w:ascii="Wingdings" w:hAnsi="Wingdings" w:cs="Tahoma"/>
        <w:sz w:val="18"/>
        <w:szCs w:val="18"/>
      </w:rPr>
    </w:lvl>
    <w:lvl w:ilvl="4">
      <w:start w:val="1"/>
      <w:numFmt w:val="bullet"/>
      <w:lvlText w:val=""/>
      <w:lvlJc w:val="left"/>
      <w:pPr>
        <w:tabs>
          <w:tab w:val="num" w:pos="2160"/>
        </w:tabs>
        <w:ind w:left="2160" w:hanging="360"/>
      </w:pPr>
      <w:rPr>
        <w:rFonts w:ascii="Wingdings" w:hAnsi="Wingdings" w:cs="Tahoma"/>
        <w:sz w:val="18"/>
        <w:szCs w:val="18"/>
      </w:rPr>
    </w:lvl>
    <w:lvl w:ilvl="5">
      <w:start w:val="1"/>
      <w:numFmt w:val="bullet"/>
      <w:lvlText w:val=""/>
      <w:lvlJc w:val="left"/>
      <w:pPr>
        <w:tabs>
          <w:tab w:val="num" w:pos="2520"/>
        </w:tabs>
        <w:ind w:left="2520" w:hanging="360"/>
      </w:pPr>
      <w:rPr>
        <w:rFonts w:ascii="Wingdings" w:hAnsi="Wingdings" w:cs="Tahoma"/>
        <w:sz w:val="18"/>
        <w:szCs w:val="18"/>
      </w:rPr>
    </w:lvl>
    <w:lvl w:ilvl="6">
      <w:start w:val="1"/>
      <w:numFmt w:val="bullet"/>
      <w:lvlText w:val=""/>
      <w:lvlJc w:val="left"/>
      <w:pPr>
        <w:tabs>
          <w:tab w:val="num" w:pos="2880"/>
        </w:tabs>
        <w:ind w:left="2880" w:hanging="360"/>
      </w:pPr>
      <w:rPr>
        <w:rFonts w:ascii="Wingdings" w:hAnsi="Wingdings" w:cs="Tahoma"/>
        <w:sz w:val="18"/>
        <w:szCs w:val="18"/>
      </w:rPr>
    </w:lvl>
    <w:lvl w:ilvl="7">
      <w:start w:val="1"/>
      <w:numFmt w:val="bullet"/>
      <w:lvlText w:val=""/>
      <w:lvlJc w:val="left"/>
      <w:pPr>
        <w:tabs>
          <w:tab w:val="num" w:pos="3240"/>
        </w:tabs>
        <w:ind w:left="3240" w:hanging="360"/>
      </w:pPr>
      <w:rPr>
        <w:rFonts w:ascii="Wingdings" w:hAnsi="Wingdings" w:cs="Tahoma"/>
        <w:sz w:val="18"/>
        <w:szCs w:val="18"/>
      </w:rPr>
    </w:lvl>
    <w:lvl w:ilvl="8">
      <w:start w:val="1"/>
      <w:numFmt w:val="bullet"/>
      <w:lvlText w:val=""/>
      <w:lvlJc w:val="left"/>
      <w:pPr>
        <w:tabs>
          <w:tab w:val="num" w:pos="3600"/>
        </w:tabs>
        <w:ind w:left="3600" w:hanging="360"/>
      </w:pPr>
      <w:rPr>
        <w:rFonts w:ascii="Wingdings" w:hAnsi="Wingdings" w:cs="Tahoma"/>
        <w:sz w:val="18"/>
        <w:szCs w:val="18"/>
      </w:rPr>
    </w:lvl>
  </w:abstractNum>
  <w:abstractNum w:abstractNumId="1">
    <w:nsid w:val="00F27974"/>
    <w:multiLevelType w:val="hybridMultilevel"/>
    <w:tmpl w:val="D67E174C"/>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nsid w:val="013758CF"/>
    <w:multiLevelType w:val="hybridMultilevel"/>
    <w:tmpl w:val="70B6963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nsid w:val="020C29F4"/>
    <w:multiLevelType w:val="hybridMultilevel"/>
    <w:tmpl w:val="8496D4E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05B644F1"/>
    <w:multiLevelType w:val="hybridMultilevel"/>
    <w:tmpl w:val="10C0D66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07660E3E"/>
    <w:multiLevelType w:val="hybridMultilevel"/>
    <w:tmpl w:val="3BB61DF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08BD721C"/>
    <w:multiLevelType w:val="hybridMultilevel"/>
    <w:tmpl w:val="044E99B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nsid w:val="0D872961"/>
    <w:multiLevelType w:val="hybridMultilevel"/>
    <w:tmpl w:val="901C1F16"/>
    <w:lvl w:ilvl="0" w:tplc="938E5D9C">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104312A9"/>
    <w:multiLevelType w:val="hybridMultilevel"/>
    <w:tmpl w:val="1DFCB988"/>
    <w:lvl w:ilvl="0" w:tplc="6EF2B1B0">
      <w:start w:val="2"/>
      <w:numFmt w:val="decimal"/>
      <w:lvlText w:val="%1."/>
      <w:lvlJc w:val="left"/>
      <w:pPr>
        <w:tabs>
          <w:tab w:val="num" w:pos="397"/>
        </w:tabs>
        <w:ind w:left="397" w:hanging="397"/>
      </w:pPr>
      <w:rPr>
        <w:rFonts w:ascii="Times New Roman" w:hAnsi="Times New Roman"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nsid w:val="11CB5775"/>
    <w:multiLevelType w:val="multilevel"/>
    <w:tmpl w:val="0C848890"/>
    <w:lvl w:ilvl="0">
      <w:start w:val="1"/>
      <w:numFmt w:val="decimal"/>
      <w:pStyle w:val="Kop1"/>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12672B95"/>
    <w:multiLevelType w:val="hybridMultilevel"/>
    <w:tmpl w:val="CC2C71B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nsid w:val="19243CB4"/>
    <w:multiLevelType w:val="hybridMultilevel"/>
    <w:tmpl w:val="D1F0630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22E31252"/>
    <w:multiLevelType w:val="hybridMultilevel"/>
    <w:tmpl w:val="7E96DAC4"/>
    <w:lvl w:ilvl="0" w:tplc="08130017">
      <w:start w:val="3"/>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28ED4DCD"/>
    <w:multiLevelType w:val="hybridMultilevel"/>
    <w:tmpl w:val="0236093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4">
    <w:nsid w:val="2B3D7ABA"/>
    <w:multiLevelType w:val="hybridMultilevel"/>
    <w:tmpl w:val="9FD4F3D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nsid w:val="2C3645F2"/>
    <w:multiLevelType w:val="hybridMultilevel"/>
    <w:tmpl w:val="7D0EEE3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nsid w:val="2D5B2C28"/>
    <w:multiLevelType w:val="hybridMultilevel"/>
    <w:tmpl w:val="4D7E61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2E344CE2"/>
    <w:multiLevelType w:val="hybridMultilevel"/>
    <w:tmpl w:val="4DFE5CA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32547729"/>
    <w:multiLevelType w:val="hybridMultilevel"/>
    <w:tmpl w:val="6FD2496E"/>
    <w:lvl w:ilvl="0" w:tplc="EF58BB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3AD964C5"/>
    <w:multiLevelType w:val="hybridMultilevel"/>
    <w:tmpl w:val="4244BC66"/>
    <w:lvl w:ilvl="0" w:tplc="ADC8415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nsid w:val="3C5007C4"/>
    <w:multiLevelType w:val="hybridMultilevel"/>
    <w:tmpl w:val="824614B8"/>
    <w:lvl w:ilvl="0" w:tplc="40462994">
      <w:start w:val="1"/>
      <w:numFmt w:val="lowerLetter"/>
      <w:lvlText w:val="%1)"/>
      <w:lvlJc w:val="left"/>
      <w:pPr>
        <w:ind w:left="786" w:hanging="360"/>
      </w:pPr>
      <w:rPr>
        <w:rFonts w:hint="default"/>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21">
    <w:nsid w:val="3E2B391E"/>
    <w:multiLevelType w:val="hybridMultilevel"/>
    <w:tmpl w:val="BCB297C8"/>
    <w:lvl w:ilvl="0" w:tplc="BD840858">
      <w:start w:val="3"/>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40A54038"/>
    <w:multiLevelType w:val="hybridMultilevel"/>
    <w:tmpl w:val="552606AC"/>
    <w:lvl w:ilvl="0" w:tplc="C206EF92">
      <w:start w:val="4"/>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nsid w:val="4A304CD7"/>
    <w:multiLevelType w:val="hybridMultilevel"/>
    <w:tmpl w:val="7102B5D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4">
    <w:nsid w:val="4B111F4B"/>
    <w:multiLevelType w:val="hybridMultilevel"/>
    <w:tmpl w:val="E1B22E6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4FA65A45"/>
    <w:multiLevelType w:val="hybridMultilevel"/>
    <w:tmpl w:val="D1F0630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nsid w:val="53110B38"/>
    <w:multiLevelType w:val="hybridMultilevel"/>
    <w:tmpl w:val="2110A6F6"/>
    <w:lvl w:ilvl="0" w:tplc="137E4268">
      <w:start w:val="1"/>
      <w:numFmt w:val="lowerLetter"/>
      <w:lvlText w:val="%1)"/>
      <w:lvlJc w:val="left"/>
      <w:pPr>
        <w:ind w:left="786" w:hanging="360"/>
      </w:pPr>
      <w:rPr>
        <w:rFonts w:hint="default"/>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27">
    <w:nsid w:val="53BA55E9"/>
    <w:multiLevelType w:val="hybridMultilevel"/>
    <w:tmpl w:val="E1B22E6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nsid w:val="5E8D06DC"/>
    <w:multiLevelType w:val="hybridMultilevel"/>
    <w:tmpl w:val="8DDCA43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9">
    <w:nsid w:val="68695034"/>
    <w:multiLevelType w:val="hybridMultilevel"/>
    <w:tmpl w:val="271CA88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0">
    <w:nsid w:val="6A0E6BD3"/>
    <w:multiLevelType w:val="hybridMultilevel"/>
    <w:tmpl w:val="6F86010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nsid w:val="75FD4209"/>
    <w:multiLevelType w:val="hybridMultilevel"/>
    <w:tmpl w:val="1BD4F8E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nsid w:val="761605C3"/>
    <w:multiLevelType w:val="hybridMultilevel"/>
    <w:tmpl w:val="5F3E6A6A"/>
    <w:lvl w:ilvl="0" w:tplc="BD840858">
      <w:start w:val="3"/>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nsid w:val="769E5241"/>
    <w:multiLevelType w:val="hybridMultilevel"/>
    <w:tmpl w:val="16F4121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nsid w:val="77A846FF"/>
    <w:multiLevelType w:val="hybridMultilevel"/>
    <w:tmpl w:val="E2883FAE"/>
    <w:lvl w:ilvl="0" w:tplc="79F059F2">
      <w:start w:val="7"/>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nsid w:val="7FDB4CC1"/>
    <w:multiLevelType w:val="hybridMultilevel"/>
    <w:tmpl w:val="F2F67DE4"/>
    <w:lvl w:ilvl="0" w:tplc="28ACC84E">
      <w:start w:val="1"/>
      <w:numFmt w:val="lowerLetter"/>
      <w:lvlText w:val="%1)"/>
      <w:lvlJc w:val="left"/>
      <w:pPr>
        <w:ind w:left="786" w:hanging="360"/>
      </w:pPr>
      <w:rPr>
        <w:rFonts w:hint="default"/>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num w:numId="1">
    <w:abstractNumId w:val="9"/>
  </w:num>
  <w:num w:numId="2">
    <w:abstractNumId w:val="9"/>
  </w:num>
  <w:num w:numId="3">
    <w:abstractNumId w:val="2"/>
  </w:num>
  <w:num w:numId="4">
    <w:abstractNumId w:val="28"/>
  </w:num>
  <w:num w:numId="5">
    <w:abstractNumId w:val="22"/>
  </w:num>
  <w:num w:numId="6">
    <w:abstractNumId w:val="8"/>
  </w:num>
  <w:num w:numId="7">
    <w:abstractNumId w:val="7"/>
  </w:num>
  <w:num w:numId="8">
    <w:abstractNumId w:val="23"/>
  </w:num>
  <w:num w:numId="9">
    <w:abstractNumId w:val="13"/>
  </w:num>
  <w:num w:numId="10">
    <w:abstractNumId w:val="0"/>
  </w:num>
  <w:num w:numId="11">
    <w:abstractNumId w:val="29"/>
  </w:num>
  <w:num w:numId="12">
    <w:abstractNumId w:val="3"/>
  </w:num>
  <w:num w:numId="13">
    <w:abstractNumId w:val="14"/>
  </w:num>
  <w:num w:numId="14">
    <w:abstractNumId w:val="5"/>
  </w:num>
  <w:num w:numId="15">
    <w:abstractNumId w:val="10"/>
  </w:num>
  <w:num w:numId="16">
    <w:abstractNumId w:val="4"/>
  </w:num>
  <w:num w:numId="17">
    <w:abstractNumId w:val="27"/>
  </w:num>
  <w:num w:numId="18">
    <w:abstractNumId w:val="33"/>
  </w:num>
  <w:num w:numId="19">
    <w:abstractNumId w:val="30"/>
  </w:num>
  <w:num w:numId="20">
    <w:abstractNumId w:val="31"/>
  </w:num>
  <w:num w:numId="21">
    <w:abstractNumId w:val="1"/>
  </w:num>
  <w:num w:numId="22">
    <w:abstractNumId w:val="24"/>
  </w:num>
  <w:num w:numId="23">
    <w:abstractNumId w:val="17"/>
  </w:num>
  <w:num w:numId="24">
    <w:abstractNumId w:val="12"/>
  </w:num>
  <w:num w:numId="25">
    <w:abstractNumId w:val="19"/>
  </w:num>
  <w:num w:numId="26">
    <w:abstractNumId w:val="6"/>
  </w:num>
  <w:num w:numId="27">
    <w:abstractNumId w:val="25"/>
  </w:num>
  <w:num w:numId="28">
    <w:abstractNumId w:val="11"/>
  </w:num>
  <w:num w:numId="29">
    <w:abstractNumId w:val="18"/>
  </w:num>
  <w:num w:numId="30">
    <w:abstractNumId w:val="20"/>
  </w:num>
  <w:num w:numId="31">
    <w:abstractNumId w:val="35"/>
  </w:num>
  <w:num w:numId="32">
    <w:abstractNumId w:val="26"/>
  </w:num>
  <w:num w:numId="33">
    <w:abstractNumId w:val="15"/>
  </w:num>
  <w:num w:numId="34">
    <w:abstractNumId w:val="21"/>
  </w:num>
  <w:num w:numId="35">
    <w:abstractNumId w:val="16"/>
  </w:num>
  <w:num w:numId="36">
    <w:abstractNumId w:val="32"/>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198"/>
    <w:rsid w:val="00023EB7"/>
    <w:rsid w:val="000464A2"/>
    <w:rsid w:val="00063140"/>
    <w:rsid w:val="00063DCD"/>
    <w:rsid w:val="00070064"/>
    <w:rsid w:val="00071DA4"/>
    <w:rsid w:val="00080040"/>
    <w:rsid w:val="000920CA"/>
    <w:rsid w:val="0011635C"/>
    <w:rsid w:val="001222C9"/>
    <w:rsid w:val="00171F2E"/>
    <w:rsid w:val="00187BFC"/>
    <w:rsid w:val="001E4BBA"/>
    <w:rsid w:val="00281F95"/>
    <w:rsid w:val="003019BF"/>
    <w:rsid w:val="0033102D"/>
    <w:rsid w:val="00343A8F"/>
    <w:rsid w:val="00411BDD"/>
    <w:rsid w:val="00427E2D"/>
    <w:rsid w:val="004B4B0A"/>
    <w:rsid w:val="004D7979"/>
    <w:rsid w:val="004E1B35"/>
    <w:rsid w:val="005051B9"/>
    <w:rsid w:val="00534484"/>
    <w:rsid w:val="00555250"/>
    <w:rsid w:val="00557E93"/>
    <w:rsid w:val="005A0D53"/>
    <w:rsid w:val="005A4F93"/>
    <w:rsid w:val="005E6EF4"/>
    <w:rsid w:val="006408E3"/>
    <w:rsid w:val="00667CE6"/>
    <w:rsid w:val="00693743"/>
    <w:rsid w:val="006F29F5"/>
    <w:rsid w:val="006F49EA"/>
    <w:rsid w:val="006F5DFC"/>
    <w:rsid w:val="007756AB"/>
    <w:rsid w:val="0078435B"/>
    <w:rsid w:val="007A7738"/>
    <w:rsid w:val="007E2BBA"/>
    <w:rsid w:val="008157A4"/>
    <w:rsid w:val="0083747B"/>
    <w:rsid w:val="00842F2E"/>
    <w:rsid w:val="00844521"/>
    <w:rsid w:val="00861A0C"/>
    <w:rsid w:val="00865C8A"/>
    <w:rsid w:val="008873BE"/>
    <w:rsid w:val="008E6A5B"/>
    <w:rsid w:val="00941198"/>
    <w:rsid w:val="009864CE"/>
    <w:rsid w:val="009C170D"/>
    <w:rsid w:val="009D0DED"/>
    <w:rsid w:val="009D3506"/>
    <w:rsid w:val="009F10A6"/>
    <w:rsid w:val="009F7EF4"/>
    <w:rsid w:val="00AD78E8"/>
    <w:rsid w:val="00B6547D"/>
    <w:rsid w:val="00BD07FB"/>
    <w:rsid w:val="00C75C7E"/>
    <w:rsid w:val="00CB2006"/>
    <w:rsid w:val="00CC63C8"/>
    <w:rsid w:val="00CD196E"/>
    <w:rsid w:val="00CF4E65"/>
    <w:rsid w:val="00D4223D"/>
    <w:rsid w:val="00D45D8D"/>
    <w:rsid w:val="00D50A64"/>
    <w:rsid w:val="00DF6517"/>
    <w:rsid w:val="00EA7606"/>
    <w:rsid w:val="00EF258F"/>
    <w:rsid w:val="00EF296F"/>
    <w:rsid w:val="00F41261"/>
    <w:rsid w:val="00F52CAF"/>
    <w:rsid w:val="00FA594E"/>
    <w:rsid w:val="00FC1093"/>
    <w:rsid w:val="00FC489F"/>
    <w:rsid w:val="00FD5FC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920CA"/>
    <w:rPr>
      <w:sz w:val="24"/>
      <w:lang w:val="nl-NL" w:eastAsia="nl-NL"/>
    </w:rPr>
  </w:style>
  <w:style w:type="paragraph" w:styleId="Kop1">
    <w:name w:val="heading 1"/>
    <w:basedOn w:val="Standaard"/>
    <w:next w:val="Standaard"/>
    <w:qFormat/>
    <w:pPr>
      <w:keepNext/>
      <w:numPr>
        <w:numId w:val="2"/>
      </w:numPr>
      <w:jc w:val="both"/>
      <w:outlineLvl w:val="0"/>
    </w:pPr>
    <w:rPr>
      <w:b/>
      <w:caps/>
    </w:rPr>
  </w:style>
  <w:style w:type="paragraph" w:styleId="Kop2">
    <w:name w:val="heading 2"/>
    <w:basedOn w:val="Standaard"/>
    <w:next w:val="Standaard"/>
    <w:qFormat/>
    <w:pPr>
      <w:keepNext/>
      <w:tabs>
        <w:tab w:val="num" w:pos="567"/>
      </w:tabs>
      <w:ind w:left="567" w:hanging="567"/>
      <w:outlineLvl w:val="1"/>
    </w:pPr>
    <w:rPr>
      <w:b/>
    </w:rPr>
  </w:style>
  <w:style w:type="paragraph" w:styleId="Kop3">
    <w:name w:val="heading 3"/>
    <w:basedOn w:val="Standaard"/>
    <w:next w:val="Standaard"/>
    <w:qFormat/>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pPr>
      <w:framePr w:w="7920" w:h="1980" w:hRule="exact" w:hSpace="141" w:wrap="auto" w:hAnchor="page" w:xAlign="center" w:yAlign="bottom"/>
      <w:ind w:left="2880"/>
    </w:pPr>
  </w:style>
  <w:style w:type="paragraph" w:styleId="Afzender">
    <w:name w:val="envelope return"/>
    <w:basedOn w:val="Standaard"/>
  </w:style>
  <w:style w:type="paragraph" w:styleId="Inhopg1">
    <w:name w:val="toc 1"/>
    <w:basedOn w:val="Standaard"/>
    <w:next w:val="Standaard"/>
    <w:autoRedefine/>
    <w:semiHidden/>
    <w:pPr>
      <w:tabs>
        <w:tab w:val="right" w:leader="dot" w:pos="9741"/>
      </w:tabs>
      <w:spacing w:before="180" w:after="180"/>
      <w:ind w:left="567" w:hanging="567"/>
    </w:pPr>
    <w:rPr>
      <w:b/>
      <w:caps/>
      <w:noProof/>
    </w:rPr>
  </w:style>
  <w:style w:type="paragraph" w:styleId="Inhopg2">
    <w:name w:val="toc 2"/>
    <w:basedOn w:val="Standaard"/>
    <w:next w:val="Standaard"/>
    <w:autoRedefine/>
    <w:semiHidden/>
    <w:pPr>
      <w:tabs>
        <w:tab w:val="right" w:leader="dot" w:pos="9741"/>
      </w:tabs>
      <w:spacing w:before="80" w:after="80"/>
      <w:ind w:left="1134" w:hanging="567"/>
    </w:pPr>
    <w:rPr>
      <w:noProof/>
    </w:rPr>
  </w:style>
  <w:style w:type="paragraph" w:styleId="Inhopg3">
    <w:name w:val="toc 3"/>
    <w:basedOn w:val="Standaard"/>
    <w:next w:val="Standaard"/>
    <w:autoRedefine/>
    <w:semiHidden/>
    <w:pPr>
      <w:tabs>
        <w:tab w:val="right" w:leader="dot" w:pos="9741"/>
      </w:tabs>
      <w:spacing w:before="40" w:after="40"/>
      <w:ind w:left="1701" w:hanging="567"/>
    </w:pPr>
    <w:rPr>
      <w:i/>
    </w:rPr>
  </w:style>
  <w:style w:type="paragraph" w:styleId="Plattetekst2">
    <w:name w:val="Body Text 2"/>
    <w:basedOn w:val="Standaard"/>
    <w:pPr>
      <w:jc w:val="both"/>
    </w:pPr>
    <w:rPr>
      <w:i/>
      <w:sz w:val="22"/>
    </w:rPr>
  </w:style>
  <w:style w:type="paragraph" w:styleId="Ballontekst">
    <w:name w:val="Balloon Text"/>
    <w:basedOn w:val="Standaard"/>
    <w:link w:val="BallontekstChar"/>
    <w:rsid w:val="00FA594E"/>
    <w:rPr>
      <w:rFonts w:ascii="Tahoma" w:hAnsi="Tahoma"/>
      <w:sz w:val="16"/>
      <w:szCs w:val="16"/>
    </w:rPr>
  </w:style>
  <w:style w:type="paragraph" w:customStyle="1" w:styleId="SVVlaamsParlement">
    <w:name w:val="SV Vlaams Parlement"/>
    <w:basedOn w:val="Standaard"/>
    <w:pPr>
      <w:jc w:val="both"/>
    </w:pPr>
    <w:rPr>
      <w:b/>
      <w:smallCaps/>
      <w:sz w:val="22"/>
    </w:rPr>
  </w:style>
  <w:style w:type="paragraph" w:customStyle="1" w:styleId="SVTitel">
    <w:name w:val="SV Titel"/>
    <w:basedOn w:val="Standaard"/>
    <w:pPr>
      <w:jc w:val="both"/>
    </w:pPr>
    <w:rPr>
      <w:i/>
      <w:sz w:val="22"/>
    </w:rPr>
  </w:style>
  <w:style w:type="paragraph" w:customStyle="1" w:styleId="StandaardSV">
    <w:name w:val="Standaard SV"/>
    <w:basedOn w:val="Standaard"/>
    <w:pPr>
      <w:jc w:val="both"/>
    </w:pPr>
    <w:rPr>
      <w:sz w:val="22"/>
    </w:rPr>
  </w:style>
  <w:style w:type="character" w:customStyle="1" w:styleId="BallontekstChar">
    <w:name w:val="Ballontekst Char"/>
    <w:link w:val="Ballontekst"/>
    <w:rsid w:val="00FA594E"/>
    <w:rPr>
      <w:rFonts w:ascii="Tahoma" w:hAnsi="Tahoma" w:cs="Tahoma"/>
      <w:sz w:val="16"/>
      <w:szCs w:val="16"/>
      <w:lang w:val="nl-NL" w:eastAsia="nl-NL"/>
    </w:rPr>
  </w:style>
  <w:style w:type="paragraph" w:styleId="Lijstalinea">
    <w:name w:val="List Paragraph"/>
    <w:basedOn w:val="Standaard"/>
    <w:uiPriority w:val="34"/>
    <w:qFormat/>
    <w:rsid w:val="008157A4"/>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920CA"/>
    <w:rPr>
      <w:sz w:val="24"/>
      <w:lang w:val="nl-NL" w:eastAsia="nl-NL"/>
    </w:rPr>
  </w:style>
  <w:style w:type="paragraph" w:styleId="Kop1">
    <w:name w:val="heading 1"/>
    <w:basedOn w:val="Standaard"/>
    <w:next w:val="Standaard"/>
    <w:qFormat/>
    <w:pPr>
      <w:keepNext/>
      <w:numPr>
        <w:numId w:val="2"/>
      </w:numPr>
      <w:jc w:val="both"/>
      <w:outlineLvl w:val="0"/>
    </w:pPr>
    <w:rPr>
      <w:b/>
      <w:caps/>
    </w:rPr>
  </w:style>
  <w:style w:type="paragraph" w:styleId="Kop2">
    <w:name w:val="heading 2"/>
    <w:basedOn w:val="Standaard"/>
    <w:next w:val="Standaard"/>
    <w:qFormat/>
    <w:pPr>
      <w:keepNext/>
      <w:tabs>
        <w:tab w:val="num" w:pos="567"/>
      </w:tabs>
      <w:ind w:left="567" w:hanging="567"/>
      <w:outlineLvl w:val="1"/>
    </w:pPr>
    <w:rPr>
      <w:b/>
    </w:rPr>
  </w:style>
  <w:style w:type="paragraph" w:styleId="Kop3">
    <w:name w:val="heading 3"/>
    <w:basedOn w:val="Standaard"/>
    <w:next w:val="Standaard"/>
    <w:qFormat/>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pPr>
      <w:framePr w:w="7920" w:h="1980" w:hRule="exact" w:hSpace="141" w:wrap="auto" w:hAnchor="page" w:xAlign="center" w:yAlign="bottom"/>
      <w:ind w:left="2880"/>
    </w:pPr>
  </w:style>
  <w:style w:type="paragraph" w:styleId="Afzender">
    <w:name w:val="envelope return"/>
    <w:basedOn w:val="Standaard"/>
  </w:style>
  <w:style w:type="paragraph" w:styleId="Inhopg1">
    <w:name w:val="toc 1"/>
    <w:basedOn w:val="Standaard"/>
    <w:next w:val="Standaard"/>
    <w:autoRedefine/>
    <w:semiHidden/>
    <w:pPr>
      <w:tabs>
        <w:tab w:val="right" w:leader="dot" w:pos="9741"/>
      </w:tabs>
      <w:spacing w:before="180" w:after="180"/>
      <w:ind w:left="567" w:hanging="567"/>
    </w:pPr>
    <w:rPr>
      <w:b/>
      <w:caps/>
      <w:noProof/>
    </w:rPr>
  </w:style>
  <w:style w:type="paragraph" w:styleId="Inhopg2">
    <w:name w:val="toc 2"/>
    <w:basedOn w:val="Standaard"/>
    <w:next w:val="Standaard"/>
    <w:autoRedefine/>
    <w:semiHidden/>
    <w:pPr>
      <w:tabs>
        <w:tab w:val="right" w:leader="dot" w:pos="9741"/>
      </w:tabs>
      <w:spacing w:before="80" w:after="80"/>
      <w:ind w:left="1134" w:hanging="567"/>
    </w:pPr>
    <w:rPr>
      <w:noProof/>
    </w:rPr>
  </w:style>
  <w:style w:type="paragraph" w:styleId="Inhopg3">
    <w:name w:val="toc 3"/>
    <w:basedOn w:val="Standaard"/>
    <w:next w:val="Standaard"/>
    <w:autoRedefine/>
    <w:semiHidden/>
    <w:pPr>
      <w:tabs>
        <w:tab w:val="right" w:leader="dot" w:pos="9741"/>
      </w:tabs>
      <w:spacing w:before="40" w:after="40"/>
      <w:ind w:left="1701" w:hanging="567"/>
    </w:pPr>
    <w:rPr>
      <w:i/>
    </w:rPr>
  </w:style>
  <w:style w:type="paragraph" w:styleId="Plattetekst2">
    <w:name w:val="Body Text 2"/>
    <w:basedOn w:val="Standaard"/>
    <w:pPr>
      <w:jc w:val="both"/>
    </w:pPr>
    <w:rPr>
      <w:i/>
      <w:sz w:val="22"/>
    </w:rPr>
  </w:style>
  <w:style w:type="paragraph" w:styleId="Ballontekst">
    <w:name w:val="Balloon Text"/>
    <w:basedOn w:val="Standaard"/>
    <w:link w:val="BallontekstChar"/>
    <w:rsid w:val="00FA594E"/>
    <w:rPr>
      <w:rFonts w:ascii="Tahoma" w:hAnsi="Tahoma"/>
      <w:sz w:val="16"/>
      <w:szCs w:val="16"/>
    </w:rPr>
  </w:style>
  <w:style w:type="paragraph" w:customStyle="1" w:styleId="SVVlaamsParlement">
    <w:name w:val="SV Vlaams Parlement"/>
    <w:basedOn w:val="Standaard"/>
    <w:pPr>
      <w:jc w:val="both"/>
    </w:pPr>
    <w:rPr>
      <w:b/>
      <w:smallCaps/>
      <w:sz w:val="22"/>
    </w:rPr>
  </w:style>
  <w:style w:type="paragraph" w:customStyle="1" w:styleId="SVTitel">
    <w:name w:val="SV Titel"/>
    <w:basedOn w:val="Standaard"/>
    <w:pPr>
      <w:jc w:val="both"/>
    </w:pPr>
    <w:rPr>
      <w:i/>
      <w:sz w:val="22"/>
    </w:rPr>
  </w:style>
  <w:style w:type="paragraph" w:customStyle="1" w:styleId="StandaardSV">
    <w:name w:val="Standaard SV"/>
    <w:basedOn w:val="Standaard"/>
    <w:pPr>
      <w:jc w:val="both"/>
    </w:pPr>
    <w:rPr>
      <w:sz w:val="22"/>
    </w:rPr>
  </w:style>
  <w:style w:type="character" w:customStyle="1" w:styleId="BallontekstChar">
    <w:name w:val="Ballontekst Char"/>
    <w:link w:val="Ballontekst"/>
    <w:rsid w:val="00FA594E"/>
    <w:rPr>
      <w:rFonts w:ascii="Tahoma" w:hAnsi="Tahoma" w:cs="Tahoma"/>
      <w:sz w:val="16"/>
      <w:szCs w:val="16"/>
      <w:lang w:val="nl-NL" w:eastAsia="nl-NL"/>
    </w:rPr>
  </w:style>
  <w:style w:type="paragraph" w:styleId="Lijstalinea">
    <w:name w:val="List Paragraph"/>
    <w:basedOn w:val="Standaard"/>
    <w:uiPriority w:val="34"/>
    <w:qFormat/>
    <w:rsid w:val="008157A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2114</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VLAAMS PARLEMENT</vt:lpstr>
      <vt:lpstr>VLAAMS PARLEMENT</vt:lpstr>
    </vt:vector>
  </TitlesOfParts>
  <Company>Vlaams Parlement</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creator>Isabelle Cauwel</dc:creator>
  <cp:lastModifiedBy>Vlaams Parlement</cp:lastModifiedBy>
  <cp:revision>2</cp:revision>
  <cp:lastPrinted>2013-03-01T10:22:00Z</cp:lastPrinted>
  <dcterms:created xsi:type="dcterms:W3CDTF">2013-03-01T10:22:00Z</dcterms:created>
  <dcterms:modified xsi:type="dcterms:W3CDTF">2013-03-01T10:22:00Z</dcterms:modified>
</cp:coreProperties>
</file>