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35B4A" w:rsidRPr="00DD4121" w:rsidRDefault="00C82E98" w:rsidP="00F539E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F35B4A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35B4A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F35B4A" w:rsidRPr="00015BF7" w:rsidRDefault="00C82E98" w:rsidP="00F539E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F35B4A">
        <w:instrText xml:space="preserve"> FORMTEXT </w:instrText>
      </w:r>
      <w:r>
        <w:fldChar w:fldCharType="separate"/>
      </w:r>
      <w:r w:rsidR="00F35B4A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F35B4A" w:rsidRPr="00015BF7" w:rsidRDefault="00F35B4A" w:rsidP="00F539E5">
      <w:pPr>
        <w:rPr>
          <w:szCs w:val="22"/>
        </w:rPr>
      </w:pPr>
    </w:p>
    <w:p w:rsidR="00F35B4A" w:rsidRPr="00DB41C0" w:rsidRDefault="00F35B4A" w:rsidP="00F539E5">
      <w:pPr>
        <w:pStyle w:val="A-Lijn"/>
      </w:pPr>
    </w:p>
    <w:p w:rsidR="00F35B4A" w:rsidRDefault="00F35B4A" w:rsidP="00F539E5">
      <w:pPr>
        <w:pStyle w:val="A-Type"/>
        <w:sectPr w:rsidR="00F35B4A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35B4A" w:rsidRDefault="00F35B4A" w:rsidP="00F539E5">
      <w:pPr>
        <w:pStyle w:val="A-Type"/>
        <w:outlineLvl w:val="0"/>
        <w:sectPr w:rsidR="00F35B4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F35B4A" w:rsidRPr="00326A58" w:rsidRDefault="00F35B4A" w:rsidP="00F539E5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="00236210">
        <w:rPr>
          <w:b w:val="0"/>
          <w:smallCaps w:val="0"/>
        </w:rPr>
        <w:t xml:space="preserve"> </w:t>
      </w:r>
      <w:r>
        <w:rPr>
          <w:b w:val="0"/>
        </w:rPr>
        <w:t>215</w:t>
      </w:r>
      <w:r w:rsidR="00236210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="00236210">
        <w:rPr>
          <w:b w:val="0"/>
          <w:smallCaps w:val="0"/>
        </w:rPr>
        <w:t xml:space="preserve"> </w:t>
      </w:r>
      <w:r>
        <w:rPr>
          <w:b w:val="0"/>
        </w:rPr>
        <w:t>23</w:t>
      </w:r>
      <w:bookmarkStart w:id="2" w:name="Dropdown2"/>
      <w:r w:rsidR="00236210">
        <w:rPr>
          <w:b w:val="0"/>
        </w:rPr>
        <w:t xml:space="preserve"> </w:t>
      </w:r>
      <w:r w:rsidR="00C82E98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C82E98">
        <w:rPr>
          <w:b w:val="0"/>
        </w:rPr>
      </w:r>
      <w:r w:rsidR="00C82E98">
        <w:rPr>
          <w:b w:val="0"/>
        </w:rPr>
        <w:fldChar w:fldCharType="end"/>
      </w:r>
      <w:bookmarkStart w:id="3" w:name="Dropdown3"/>
      <w:bookmarkEnd w:id="2"/>
      <w:r w:rsidR="00236210">
        <w:rPr>
          <w:b w:val="0"/>
        </w:rPr>
        <w:t xml:space="preserve"> </w:t>
      </w:r>
      <w:r>
        <w:rPr>
          <w:b w:val="0"/>
        </w:rPr>
        <w:t>2013</w:t>
      </w:r>
      <w:bookmarkEnd w:id="3"/>
    </w:p>
    <w:p w:rsidR="00F35B4A" w:rsidRDefault="00F35B4A" w:rsidP="00F539E5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236210">
        <w:rPr>
          <w:rStyle w:val="AntwoordNaamMinisterChar"/>
          <w:sz w:val="22"/>
        </w:rPr>
        <w:t>liesbeth</w:t>
      </w:r>
      <w:proofErr w:type="spellEnd"/>
      <w:r w:rsidR="00236210">
        <w:rPr>
          <w:rStyle w:val="AntwoordNaamMinisterChar"/>
          <w:sz w:val="22"/>
        </w:rPr>
        <w:t xml:space="preserve"> </w:t>
      </w:r>
      <w:proofErr w:type="spellStart"/>
      <w:r w:rsidR="00236210">
        <w:rPr>
          <w:rStyle w:val="AntwoordNaamMinisterChar"/>
          <w:sz w:val="22"/>
        </w:rPr>
        <w:t>homans</w:t>
      </w:r>
      <w:proofErr w:type="spellEnd"/>
    </w:p>
    <w:p w:rsidR="00F35B4A" w:rsidRPr="00015BF7" w:rsidRDefault="00F35B4A" w:rsidP="00F539E5">
      <w:pPr>
        <w:rPr>
          <w:szCs w:val="22"/>
        </w:rPr>
      </w:pPr>
    </w:p>
    <w:p w:rsidR="00F35B4A" w:rsidRDefault="00F35B4A" w:rsidP="00F539E5">
      <w:pPr>
        <w:pStyle w:val="A-Lijn"/>
      </w:pPr>
    </w:p>
    <w:p w:rsidR="00236210" w:rsidRPr="00DB41C0" w:rsidRDefault="00236210" w:rsidP="00F539E5">
      <w:pPr>
        <w:pStyle w:val="A-Lijn"/>
      </w:pPr>
    </w:p>
    <w:p w:rsidR="00F35B4A" w:rsidRDefault="0013305B" w:rsidP="00236210">
      <w:pPr>
        <w:tabs>
          <w:tab w:val="left" w:pos="0"/>
        </w:tabs>
        <w:jc w:val="both"/>
      </w:pPr>
      <w:r>
        <w:t>De</w:t>
      </w:r>
      <w:r w:rsidR="00F35B4A">
        <w:t xml:space="preserve"> verbeterings- en de aanpassingspremie </w:t>
      </w:r>
      <w:r>
        <w:t>is</w:t>
      </w:r>
      <w:r w:rsidR="00F35B4A">
        <w:t xml:space="preserve"> één </w:t>
      </w:r>
      <w:r>
        <w:t>premie</w:t>
      </w:r>
      <w:r w:rsidR="00F35B4A">
        <w:t xml:space="preserve">stelsel met enkele specifieke elementen voor bejaarden. </w:t>
      </w:r>
      <w:r>
        <w:t xml:space="preserve">Bijgevolg is het niet steeds mogelijk om een onderscheid te maken tussen de verbeteringspremie en de aanpassingspremie. </w:t>
      </w:r>
      <w:r w:rsidR="00F35B4A">
        <w:t>Onderstaand antwoord geldt dus voor zowel deelvraag 1 als 2.</w:t>
      </w:r>
    </w:p>
    <w:p w:rsidR="00F35B4A" w:rsidRDefault="00F35B4A" w:rsidP="00F539E5"/>
    <w:p w:rsidR="00F35B4A" w:rsidRPr="00FE5661" w:rsidRDefault="00F35B4A" w:rsidP="00236210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E5661">
        <w:t>Een overzicht van de in 2012 uitbetaalde verbeterings- en aanpassingspremies per gemeente kan u terugvinden in de tabel als bijlage. In kolommen C en D vindt u per gemeente het aantal in 2012 uitbetaalde aanpassingspremies en het daarbij horende bedrag. In kolommen E en F vindt u hetzelfde voor de in 2012 uitbetaalde verbeteringspremies. In kolom G vindt u het gemiddelde inkomen per gemeente van de in 2012 uitbetaalde verbeterings- en aanpassingspremies. In kolom H vindt u tenslotte per gemeente het aantal uitbetaalde dossiers voor SVK-woningen. Het gemiddelde kadastraal inkomen per gemeente is niet opgenomen omdat deze gegevens niet worden geregistreerd. De voorwaarde ter zake is overigens ondertussen geschrapt.</w:t>
      </w:r>
    </w:p>
    <w:p w:rsidR="00F35B4A" w:rsidRPr="00B70866" w:rsidRDefault="00F35B4A" w:rsidP="00FE6957">
      <w:pPr>
        <w:ind w:left="284" w:hanging="284"/>
        <w:jc w:val="both"/>
        <w:rPr>
          <w:highlight w:val="yellow"/>
        </w:rPr>
      </w:pPr>
    </w:p>
    <w:p w:rsidR="00F35B4A" w:rsidRPr="006F1BBC" w:rsidRDefault="00F35B4A" w:rsidP="00236210">
      <w:pPr>
        <w:pStyle w:val="Lijstalinea"/>
        <w:numPr>
          <w:ilvl w:val="0"/>
          <w:numId w:val="5"/>
        </w:numPr>
        <w:tabs>
          <w:tab w:val="left" w:pos="851"/>
        </w:tabs>
        <w:ind w:left="426" w:hanging="426"/>
        <w:jc w:val="both"/>
      </w:pPr>
      <w:r w:rsidRPr="006F1BBC">
        <w:t>In onderstaande tabel vindt u een overzicht van de in 2012 uitbetaalde verbeteringspremies per bouwonderdeel. Een opsplitsing van de onderdelen bij de aanpassingspremie is niet mogelijk, zoals ik u ook vorig jaar heb meegedeeld.</w:t>
      </w:r>
    </w:p>
    <w:p w:rsidR="00F35B4A" w:rsidRPr="00B70866" w:rsidRDefault="00F35B4A" w:rsidP="00A94AE6">
      <w:pPr>
        <w:ind w:left="360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0"/>
        <w:gridCol w:w="2040"/>
      </w:tblGrid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FD08B1" w:rsidRDefault="00F35B4A" w:rsidP="00FD08B1">
            <w:pPr>
              <w:ind w:left="360"/>
              <w:rPr>
                <w:b/>
                <w:bCs/>
              </w:rPr>
            </w:pPr>
            <w:r w:rsidRPr="00FD08B1">
              <w:rPr>
                <w:b/>
                <w:bCs/>
              </w:rPr>
              <w:t>Bouwonderdeel</w:t>
            </w:r>
          </w:p>
        </w:tc>
        <w:tc>
          <w:tcPr>
            <w:tcW w:w="2040" w:type="dxa"/>
            <w:noWrap/>
          </w:tcPr>
          <w:p w:rsidR="00F35B4A" w:rsidRPr="00FD08B1" w:rsidRDefault="00F35B4A" w:rsidP="00FD08B1">
            <w:pPr>
              <w:ind w:left="360"/>
              <w:jc w:val="right"/>
              <w:rPr>
                <w:b/>
                <w:bCs/>
              </w:rPr>
            </w:pPr>
            <w:r w:rsidRPr="00FD08B1">
              <w:rPr>
                <w:b/>
                <w:bCs/>
              </w:rPr>
              <w:t>Uitbetaald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Buitenschrijnwerk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€ 3.815.000,00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Dakwerkzaamheden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€ 2.532.500,00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Werkzaamheden aan gevels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€ 1.438.500,00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 xml:space="preserve">Een bestaande </w:t>
            </w:r>
            <w:proofErr w:type="spellStart"/>
            <w:r w:rsidRPr="001950CF">
              <w:t>CV-ketel</w:t>
            </w:r>
            <w:proofErr w:type="spellEnd"/>
            <w:r w:rsidRPr="001950CF">
              <w:t xml:space="preserve"> vervangen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€ 630.000,00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Badkamer en wc installeren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€ 549.750,00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Centrale verwarming installeren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€ 374.000,00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Elektrische installatie vernieuwen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€ 352.500,00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Een rookkanaal (ver)bouwen of herstellen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€ 261.500,00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Optrekkend vocht behandelen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€ 219.750,00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Dakisolatie &gt;= 150 m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€ 192.500,00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Dakisolatie &gt;= 100 m en &lt; 150 m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€ 140.400,00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Dakisolatie &gt;= 40 m en &lt; 100 m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€ 135.900,00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Waterverwarmingstoestel op gas (type C) plaatsen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€ 78.250,00</w:t>
            </w:r>
          </w:p>
        </w:tc>
      </w:tr>
      <w:tr w:rsidR="00F35B4A" w:rsidRPr="00B70866" w:rsidTr="00FD08B1">
        <w:trPr>
          <w:trHeight w:val="255"/>
          <w:jc w:val="center"/>
        </w:trPr>
        <w:tc>
          <w:tcPr>
            <w:tcW w:w="5680" w:type="dxa"/>
            <w:noWrap/>
          </w:tcPr>
          <w:p w:rsidR="00F35B4A" w:rsidRPr="001950CF" w:rsidRDefault="00F35B4A" w:rsidP="00FD08B1">
            <w:pPr>
              <w:ind w:left="360"/>
            </w:pPr>
            <w:r w:rsidRPr="001950CF">
              <w:t>Individueel verwarmingstoestel op gas (type C) plaatsen</w:t>
            </w:r>
          </w:p>
        </w:tc>
        <w:tc>
          <w:tcPr>
            <w:tcW w:w="2040" w:type="dxa"/>
            <w:noWrap/>
          </w:tcPr>
          <w:p w:rsidR="00F35B4A" w:rsidRPr="001950CF" w:rsidRDefault="00F35B4A" w:rsidP="00FD08B1">
            <w:pPr>
              <w:ind w:left="360"/>
              <w:jc w:val="right"/>
            </w:pPr>
            <w:r w:rsidRPr="001950CF">
              <w:t>€ 13.500,00</w:t>
            </w:r>
          </w:p>
        </w:tc>
      </w:tr>
    </w:tbl>
    <w:p w:rsidR="00F35B4A" w:rsidRPr="00B70866" w:rsidRDefault="00F35B4A" w:rsidP="005A7DE3">
      <w:pPr>
        <w:ind w:left="360"/>
        <w:rPr>
          <w:highlight w:val="yellow"/>
        </w:rPr>
      </w:pPr>
    </w:p>
    <w:p w:rsidR="00F35B4A" w:rsidRPr="004637CC" w:rsidRDefault="00F35B4A" w:rsidP="00236210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4637CC">
        <w:t xml:space="preserve">Van de in 2012 uitbetaalde verbeterings- en aanpassingspremies zijn er 1958 begunstigden die de afgelopen 10 jaar reeds eerder een verbeterings- of aanpassingspremie ontvangen hebben. Een opsplitsing tussen </w:t>
      </w:r>
      <w:r>
        <w:t>begunstigden van de</w:t>
      </w:r>
      <w:r w:rsidRPr="004637CC">
        <w:t xml:space="preserve"> verbeteringspremie en de aanpassingspremie is niet mogelijk.</w:t>
      </w:r>
    </w:p>
    <w:p w:rsidR="00F35B4A" w:rsidRDefault="00F35B4A" w:rsidP="00AA4CCE">
      <w:pPr>
        <w:ind w:left="567" w:hanging="207"/>
      </w:pPr>
    </w:p>
    <w:p w:rsidR="00F35B4A" w:rsidRDefault="00F35B4A" w:rsidP="00236210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In 2012 is het aantal aanvragen gezakt tot 12.372. De terugval heeft uiteraard te maken</w:t>
      </w:r>
      <w:r w:rsidR="0013305B">
        <w:t xml:space="preserve"> </w:t>
      </w:r>
      <w:r>
        <w:t xml:space="preserve">met de tijdelijke verbeteringspremie voor dakisolatie, die bestond in 2010 en 2011 en met de spectaculaire stijging van einde 2011 n.a.v. de afschaffing van sommige federale </w:t>
      </w:r>
      <w:proofErr w:type="spellStart"/>
      <w:r>
        <w:t>belastings</w:t>
      </w:r>
      <w:r w:rsidR="00236210">
        <w:softHyphen/>
      </w:r>
      <w:r>
        <w:t>verminderingen</w:t>
      </w:r>
      <w:proofErr w:type="spellEnd"/>
      <w:r>
        <w:t>.</w:t>
      </w:r>
    </w:p>
    <w:p w:rsidR="00F35B4A" w:rsidRDefault="00F35B4A" w:rsidP="006644A1">
      <w:pPr>
        <w:ind w:left="284" w:hanging="284"/>
      </w:pPr>
      <w:r>
        <w:tab/>
      </w:r>
    </w:p>
    <w:p w:rsidR="00F35B4A" w:rsidRDefault="00F35B4A" w:rsidP="006644A1">
      <w:pPr>
        <w:ind w:left="284" w:hanging="284"/>
      </w:pPr>
    </w:p>
    <w:tbl>
      <w:tblPr>
        <w:tblW w:w="161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071"/>
      </w:tblGrid>
      <w:tr w:rsidR="00F35B4A" w:rsidRPr="00803433" w:rsidTr="00FE5661">
        <w:trPr>
          <w:trHeight w:val="255"/>
          <w:jc w:val="center"/>
        </w:trPr>
        <w:tc>
          <w:tcPr>
            <w:tcW w:w="541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8" w:space="0" w:color="DCDCDC"/>
            </w:tcBorders>
            <w:shd w:val="clear" w:color="000000" w:fill="F5F5F5"/>
            <w:noWrap/>
            <w:vAlign w:val="bottom"/>
          </w:tcPr>
          <w:p w:rsidR="00F35B4A" w:rsidRPr="00FE5661" w:rsidRDefault="00F35B4A" w:rsidP="00803433">
            <w:pPr>
              <w:rPr>
                <w:b/>
                <w:bCs/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b/>
                <w:bCs/>
                <w:color w:val="333333"/>
                <w:sz w:val="18"/>
                <w:szCs w:val="18"/>
                <w:lang w:val="nl-BE" w:eastAsia="nl-BE"/>
              </w:rPr>
              <w:t>Jaar</w:t>
            </w:r>
          </w:p>
        </w:tc>
        <w:tc>
          <w:tcPr>
            <w:tcW w:w="1071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8" w:space="0" w:color="DCDCDC"/>
            </w:tcBorders>
            <w:shd w:val="clear" w:color="000000" w:fill="F5F5F5"/>
            <w:noWrap/>
            <w:vAlign w:val="bottom"/>
          </w:tcPr>
          <w:p w:rsidR="00F35B4A" w:rsidRPr="00FE5661" w:rsidRDefault="00F35B4A" w:rsidP="00803433">
            <w:pPr>
              <w:rPr>
                <w:b/>
                <w:bCs/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b/>
                <w:bCs/>
                <w:color w:val="333333"/>
                <w:sz w:val="18"/>
                <w:szCs w:val="18"/>
                <w:lang w:val="nl-BE" w:eastAsia="nl-BE"/>
              </w:rPr>
              <w:t>Aanvragen</w:t>
            </w:r>
          </w:p>
        </w:tc>
      </w:tr>
      <w:tr w:rsidR="00F35B4A" w:rsidRPr="00803433" w:rsidTr="00FE5661">
        <w:trPr>
          <w:trHeight w:val="255"/>
          <w:jc w:val="center"/>
        </w:trPr>
        <w:tc>
          <w:tcPr>
            <w:tcW w:w="541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12</w:t>
            </w:r>
            <w:r>
              <w:rPr>
                <w:color w:val="333333"/>
                <w:sz w:val="18"/>
                <w:szCs w:val="18"/>
                <w:lang w:val="nl-BE" w:eastAsia="nl-BE"/>
              </w:rPr>
              <w:t>.</w:t>
            </w:r>
            <w:r w:rsidRPr="00FE5661">
              <w:rPr>
                <w:color w:val="333333"/>
                <w:sz w:val="18"/>
                <w:szCs w:val="18"/>
                <w:lang w:val="nl-BE" w:eastAsia="nl-BE"/>
              </w:rPr>
              <w:t>372</w:t>
            </w:r>
          </w:p>
        </w:tc>
      </w:tr>
      <w:tr w:rsidR="00F35B4A" w:rsidRPr="00803433" w:rsidTr="00FE5661">
        <w:trPr>
          <w:trHeight w:val="255"/>
          <w:jc w:val="center"/>
        </w:trPr>
        <w:tc>
          <w:tcPr>
            <w:tcW w:w="541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18</w:t>
            </w:r>
            <w:r>
              <w:rPr>
                <w:color w:val="333333"/>
                <w:sz w:val="18"/>
                <w:szCs w:val="18"/>
                <w:lang w:val="nl-BE" w:eastAsia="nl-BE"/>
              </w:rPr>
              <w:t>.</w:t>
            </w:r>
            <w:r w:rsidRPr="00FE5661">
              <w:rPr>
                <w:color w:val="333333"/>
                <w:sz w:val="18"/>
                <w:szCs w:val="18"/>
                <w:lang w:val="nl-BE" w:eastAsia="nl-BE"/>
              </w:rPr>
              <w:t>965</w:t>
            </w:r>
          </w:p>
        </w:tc>
      </w:tr>
      <w:tr w:rsidR="00F35B4A" w:rsidRPr="00803433" w:rsidTr="00FE5661">
        <w:trPr>
          <w:trHeight w:val="255"/>
          <w:jc w:val="center"/>
        </w:trPr>
        <w:tc>
          <w:tcPr>
            <w:tcW w:w="541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14</w:t>
            </w:r>
            <w:r>
              <w:rPr>
                <w:color w:val="333333"/>
                <w:sz w:val="18"/>
                <w:szCs w:val="18"/>
                <w:lang w:val="nl-BE" w:eastAsia="nl-BE"/>
              </w:rPr>
              <w:t>.</w:t>
            </w:r>
            <w:r w:rsidRPr="00FE5661">
              <w:rPr>
                <w:color w:val="333333"/>
                <w:sz w:val="18"/>
                <w:szCs w:val="18"/>
                <w:lang w:val="nl-BE" w:eastAsia="nl-BE"/>
              </w:rPr>
              <w:t>961</w:t>
            </w:r>
          </w:p>
        </w:tc>
      </w:tr>
      <w:tr w:rsidR="00F35B4A" w:rsidRPr="00803433" w:rsidTr="00FE5661">
        <w:trPr>
          <w:trHeight w:val="255"/>
          <w:jc w:val="center"/>
        </w:trPr>
        <w:tc>
          <w:tcPr>
            <w:tcW w:w="541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14</w:t>
            </w:r>
            <w:r>
              <w:rPr>
                <w:color w:val="333333"/>
                <w:sz w:val="18"/>
                <w:szCs w:val="18"/>
                <w:lang w:val="nl-BE" w:eastAsia="nl-BE"/>
              </w:rPr>
              <w:t>.</w:t>
            </w:r>
            <w:r w:rsidRPr="00FE5661">
              <w:rPr>
                <w:color w:val="333333"/>
                <w:sz w:val="18"/>
                <w:szCs w:val="18"/>
                <w:lang w:val="nl-BE" w:eastAsia="nl-BE"/>
              </w:rPr>
              <w:t>103</w:t>
            </w:r>
          </w:p>
        </w:tc>
      </w:tr>
      <w:tr w:rsidR="00F35B4A" w:rsidRPr="00803433" w:rsidTr="00FE5661">
        <w:trPr>
          <w:trHeight w:val="255"/>
          <w:jc w:val="center"/>
        </w:trPr>
        <w:tc>
          <w:tcPr>
            <w:tcW w:w="541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</w:tcPr>
          <w:p w:rsidR="00F35B4A" w:rsidRPr="00FE5661" w:rsidRDefault="00F35B4A" w:rsidP="00803433">
            <w:pPr>
              <w:jc w:val="right"/>
              <w:rPr>
                <w:color w:val="333333"/>
                <w:sz w:val="18"/>
                <w:szCs w:val="18"/>
                <w:lang w:val="nl-BE" w:eastAsia="nl-BE"/>
              </w:rPr>
            </w:pPr>
            <w:r w:rsidRPr="00FE5661">
              <w:rPr>
                <w:color w:val="333333"/>
                <w:sz w:val="18"/>
                <w:szCs w:val="18"/>
                <w:lang w:val="nl-BE" w:eastAsia="nl-BE"/>
              </w:rPr>
              <w:t>11</w:t>
            </w:r>
            <w:r>
              <w:rPr>
                <w:color w:val="333333"/>
                <w:sz w:val="18"/>
                <w:szCs w:val="18"/>
                <w:lang w:val="nl-BE" w:eastAsia="nl-BE"/>
              </w:rPr>
              <w:t>.</w:t>
            </w:r>
            <w:r w:rsidRPr="00FE5661">
              <w:rPr>
                <w:color w:val="333333"/>
                <w:sz w:val="18"/>
                <w:szCs w:val="18"/>
                <w:lang w:val="nl-BE" w:eastAsia="nl-BE"/>
              </w:rPr>
              <w:t>993</w:t>
            </w:r>
          </w:p>
        </w:tc>
      </w:tr>
    </w:tbl>
    <w:p w:rsidR="00F35B4A" w:rsidRDefault="00F35B4A" w:rsidP="00803433"/>
    <w:p w:rsidR="00F35B4A" w:rsidRDefault="00F35B4A" w:rsidP="00803433"/>
    <w:p w:rsidR="00F35B4A" w:rsidRPr="00236210" w:rsidRDefault="00236210" w:rsidP="00AE262B">
      <w:pPr>
        <w:pStyle w:val="A-Type"/>
        <w:outlineLvl w:val="0"/>
        <w:rPr>
          <w:color w:val="FF0000"/>
        </w:rPr>
      </w:pPr>
      <w:r>
        <w:rPr>
          <w:color w:val="FF0000"/>
        </w:rPr>
        <w:t>b</w:t>
      </w:r>
      <w:r w:rsidR="00F35B4A" w:rsidRPr="00236210">
        <w:rPr>
          <w:color w:val="FF0000"/>
        </w:rPr>
        <w:t>ijlage</w:t>
      </w:r>
    </w:p>
    <w:p w:rsidR="00236210" w:rsidRPr="00236210" w:rsidRDefault="00236210" w:rsidP="00AE262B">
      <w:pPr>
        <w:pStyle w:val="A-Type"/>
        <w:outlineLvl w:val="0"/>
        <w:rPr>
          <w:b w:val="0"/>
          <w:smallCaps w:val="0"/>
        </w:rPr>
      </w:pPr>
    </w:p>
    <w:p w:rsidR="00236210" w:rsidRPr="00236210" w:rsidRDefault="00236210" w:rsidP="00AE262B">
      <w:pPr>
        <w:pStyle w:val="A-Type"/>
        <w:outlineLvl w:val="0"/>
        <w:rPr>
          <w:b w:val="0"/>
          <w:smallCaps w:val="0"/>
        </w:rPr>
      </w:pPr>
      <w:r>
        <w:rPr>
          <w:b w:val="0"/>
          <w:smallCaps w:val="0"/>
        </w:rPr>
        <w:t>Overzicht uitbetaalde verbeterings- en aanpassingspremies per gemeente in 2012</w:t>
      </w:r>
      <w:bookmarkStart w:id="4" w:name="_GoBack"/>
      <w:bookmarkEnd w:id="4"/>
    </w:p>
    <w:sectPr w:rsidR="00236210" w:rsidRPr="00236210" w:rsidSect="00287EDF">
      <w:type w:val="continuous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BF4"/>
    <w:multiLevelType w:val="hybridMultilevel"/>
    <w:tmpl w:val="4A1EE660"/>
    <w:lvl w:ilvl="0" w:tplc="08130017">
      <w:start w:val="1"/>
      <w:numFmt w:val="lowerLetter"/>
      <w:lvlText w:val="%1)"/>
      <w:lvlJc w:val="left"/>
      <w:pPr>
        <w:ind w:left="-2682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-1962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-1242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-522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198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91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163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235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3078" w:hanging="180"/>
      </w:pPr>
      <w:rPr>
        <w:rFonts w:cs="Times New Roman"/>
      </w:rPr>
    </w:lvl>
  </w:abstractNum>
  <w:abstractNum w:abstractNumId="1">
    <w:nsid w:val="3EE62CE4"/>
    <w:multiLevelType w:val="hybridMultilevel"/>
    <w:tmpl w:val="E6FCFD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522E3"/>
    <w:multiLevelType w:val="hybridMultilevel"/>
    <w:tmpl w:val="4F56267E"/>
    <w:lvl w:ilvl="0" w:tplc="0413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A"/>
    <w:rsid w:val="00015BF7"/>
    <w:rsid w:val="000276E8"/>
    <w:rsid w:val="000369D6"/>
    <w:rsid w:val="000411AF"/>
    <w:rsid w:val="00072544"/>
    <w:rsid w:val="000976E9"/>
    <w:rsid w:val="000A179A"/>
    <w:rsid w:val="000C4E8C"/>
    <w:rsid w:val="000F3532"/>
    <w:rsid w:val="00110459"/>
    <w:rsid w:val="0013305B"/>
    <w:rsid w:val="001950CF"/>
    <w:rsid w:val="001B2470"/>
    <w:rsid w:val="00210C07"/>
    <w:rsid w:val="00236210"/>
    <w:rsid w:val="00280F09"/>
    <w:rsid w:val="0028188F"/>
    <w:rsid w:val="00287EDF"/>
    <w:rsid w:val="002B339E"/>
    <w:rsid w:val="002B6EA8"/>
    <w:rsid w:val="002C6606"/>
    <w:rsid w:val="002D007F"/>
    <w:rsid w:val="00317AA6"/>
    <w:rsid w:val="00326A58"/>
    <w:rsid w:val="004007AA"/>
    <w:rsid w:val="004537C5"/>
    <w:rsid w:val="00456FB0"/>
    <w:rsid w:val="00460424"/>
    <w:rsid w:val="004637CC"/>
    <w:rsid w:val="00463BF2"/>
    <w:rsid w:val="004D09D9"/>
    <w:rsid w:val="004F35B6"/>
    <w:rsid w:val="00561629"/>
    <w:rsid w:val="005A68C6"/>
    <w:rsid w:val="005A7DE3"/>
    <w:rsid w:val="005C0CBB"/>
    <w:rsid w:val="005C5A5C"/>
    <w:rsid w:val="005E38CA"/>
    <w:rsid w:val="00607586"/>
    <w:rsid w:val="00652174"/>
    <w:rsid w:val="0066203A"/>
    <w:rsid w:val="006644A1"/>
    <w:rsid w:val="00675977"/>
    <w:rsid w:val="006F1BBC"/>
    <w:rsid w:val="007023CF"/>
    <w:rsid w:val="0070363F"/>
    <w:rsid w:val="0071248C"/>
    <w:rsid w:val="007252C7"/>
    <w:rsid w:val="0074205C"/>
    <w:rsid w:val="00742235"/>
    <w:rsid w:val="0077162C"/>
    <w:rsid w:val="007C0D4E"/>
    <w:rsid w:val="007D7032"/>
    <w:rsid w:val="00803433"/>
    <w:rsid w:val="00895FB6"/>
    <w:rsid w:val="008B413B"/>
    <w:rsid w:val="008C37C8"/>
    <w:rsid w:val="008D5DB4"/>
    <w:rsid w:val="0090228C"/>
    <w:rsid w:val="009347E0"/>
    <w:rsid w:val="00937A40"/>
    <w:rsid w:val="00961531"/>
    <w:rsid w:val="00970D15"/>
    <w:rsid w:val="00976988"/>
    <w:rsid w:val="00977B5A"/>
    <w:rsid w:val="009D7043"/>
    <w:rsid w:val="009E6319"/>
    <w:rsid w:val="00A061DF"/>
    <w:rsid w:val="00A0753E"/>
    <w:rsid w:val="00A11155"/>
    <w:rsid w:val="00A53D04"/>
    <w:rsid w:val="00A94AE6"/>
    <w:rsid w:val="00AA38B5"/>
    <w:rsid w:val="00AA4CCE"/>
    <w:rsid w:val="00AA66C2"/>
    <w:rsid w:val="00AC1B11"/>
    <w:rsid w:val="00AE262B"/>
    <w:rsid w:val="00AF2DA5"/>
    <w:rsid w:val="00B12617"/>
    <w:rsid w:val="00B25AA9"/>
    <w:rsid w:val="00B45EB2"/>
    <w:rsid w:val="00B70866"/>
    <w:rsid w:val="00B752B0"/>
    <w:rsid w:val="00B873A1"/>
    <w:rsid w:val="00B93A65"/>
    <w:rsid w:val="00BA0FD9"/>
    <w:rsid w:val="00BB7A24"/>
    <w:rsid w:val="00BC7AA5"/>
    <w:rsid w:val="00BE425A"/>
    <w:rsid w:val="00BE7C18"/>
    <w:rsid w:val="00C0412D"/>
    <w:rsid w:val="00C044F1"/>
    <w:rsid w:val="00C82E98"/>
    <w:rsid w:val="00C83B6F"/>
    <w:rsid w:val="00CA4A0F"/>
    <w:rsid w:val="00CC1F57"/>
    <w:rsid w:val="00D71D99"/>
    <w:rsid w:val="00D754F2"/>
    <w:rsid w:val="00DB41C0"/>
    <w:rsid w:val="00DC4DB6"/>
    <w:rsid w:val="00DD4121"/>
    <w:rsid w:val="00DF35AF"/>
    <w:rsid w:val="00E24421"/>
    <w:rsid w:val="00E31F4D"/>
    <w:rsid w:val="00E43F8D"/>
    <w:rsid w:val="00E55200"/>
    <w:rsid w:val="00E60AEB"/>
    <w:rsid w:val="00EB7492"/>
    <w:rsid w:val="00EC458C"/>
    <w:rsid w:val="00ED5708"/>
    <w:rsid w:val="00F02E41"/>
    <w:rsid w:val="00F21B50"/>
    <w:rsid w:val="00F272CF"/>
    <w:rsid w:val="00F35B4A"/>
    <w:rsid w:val="00F539E5"/>
    <w:rsid w:val="00F57FFA"/>
    <w:rsid w:val="00FA29D6"/>
    <w:rsid w:val="00FC6F57"/>
    <w:rsid w:val="00FD08B1"/>
    <w:rsid w:val="00FD5BF4"/>
    <w:rsid w:val="00FE5406"/>
    <w:rsid w:val="00FE5661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B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42B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42BF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AF2D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C42BF"/>
    <w:rPr>
      <w:sz w:val="0"/>
      <w:szCs w:val="0"/>
      <w:lang w:val="nl-NL" w:eastAsia="nl-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C42BF"/>
    <w:rPr>
      <w:szCs w:val="24"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uiPriority w:val="99"/>
    <w:rsid w:val="0071248C"/>
    <w:rPr>
      <w:b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smallCaps/>
      <w:sz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4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smallCaps/>
      <w:sz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smallCaps/>
      <w:sz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rsid w:val="00AC1B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AC1B1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99"/>
    <w:rsid w:val="00902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66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B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42B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C42BF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AF2D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C42BF"/>
    <w:rPr>
      <w:sz w:val="0"/>
      <w:szCs w:val="0"/>
      <w:lang w:val="nl-NL" w:eastAsia="nl-NL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C42BF"/>
    <w:rPr>
      <w:szCs w:val="24"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uiPriority w:val="99"/>
    <w:rsid w:val="0071248C"/>
    <w:rPr>
      <w:b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link w:val="A-NaamMinister"/>
    <w:uiPriority w:val="99"/>
    <w:locked/>
    <w:rsid w:val="000976E9"/>
    <w:rPr>
      <w:b/>
      <w:smallCaps/>
      <w:sz w:val="24"/>
      <w:lang w:val="nl-BE" w:eastAsia="nl-NL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link w:val="A-Gewonetekst"/>
    <w:uiPriority w:val="99"/>
    <w:locked/>
    <w:rsid w:val="000976E9"/>
    <w:rPr>
      <w:sz w:val="24"/>
      <w:lang w:val="nl-BE" w:eastAsia="nl-NL"/>
    </w:rPr>
  </w:style>
  <w:style w:type="character" w:customStyle="1" w:styleId="A-TypeChar">
    <w:name w:val="A-Type Char"/>
    <w:link w:val="A-Type"/>
    <w:uiPriority w:val="99"/>
    <w:locked/>
    <w:rsid w:val="000976E9"/>
    <w:rPr>
      <w:b/>
      <w:smallCaps/>
      <w:sz w:val="22"/>
      <w:lang w:val="nl-BE" w:eastAsia="nl-NL"/>
    </w:rPr>
  </w:style>
  <w:style w:type="character" w:customStyle="1" w:styleId="AntwoordNaamMinisterChar">
    <w:name w:val="AntwoordNaamMinister Char"/>
    <w:link w:val="AntwoordNaamMinister"/>
    <w:uiPriority w:val="99"/>
    <w:locked/>
    <w:rsid w:val="00DB41C0"/>
    <w:rPr>
      <w:b/>
      <w:smallCaps/>
      <w:sz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rsid w:val="00AC1B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AC1B1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99"/>
    <w:rsid w:val="00902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66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schelfly</dc:creator>
  <cp:lastModifiedBy>Nathalie De Keyzer</cp:lastModifiedBy>
  <cp:revision>3</cp:revision>
  <cp:lastPrinted>2013-02-21T11:11:00Z</cp:lastPrinted>
  <dcterms:created xsi:type="dcterms:W3CDTF">2013-02-21T11:16:00Z</dcterms:created>
  <dcterms:modified xsi:type="dcterms:W3CDTF">2013-02-25T09:18:00Z</dcterms:modified>
</cp:coreProperties>
</file>