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ED" w:rsidRDefault="004323ED" w:rsidP="004323ED">
      <w:pPr>
        <w:rPr>
          <w:b/>
          <w:smallCaps/>
          <w:sz w:val="22"/>
        </w:rPr>
      </w:pPr>
      <w:bookmarkStart w:id="0" w:name="_GoBack"/>
      <w:bookmarkEnd w:id="0"/>
      <w:r>
        <w:rPr>
          <w:b/>
          <w:smallCaps/>
          <w:sz w:val="22"/>
        </w:rPr>
        <w:t>ingrid lieten</w:t>
      </w:r>
    </w:p>
    <w:p w:rsidR="004323ED" w:rsidRDefault="004323ED" w:rsidP="004323ED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4323ED" w:rsidRDefault="004323ED" w:rsidP="004323ED">
      <w:pPr>
        <w:pBdr>
          <w:bottom w:val="single" w:sz="4" w:space="1" w:color="auto"/>
        </w:pBdr>
        <w:rPr>
          <w:sz w:val="22"/>
        </w:rPr>
      </w:pPr>
    </w:p>
    <w:p w:rsidR="004323ED" w:rsidRDefault="004323ED" w:rsidP="004323ED">
      <w:pPr>
        <w:rPr>
          <w:sz w:val="22"/>
        </w:rPr>
      </w:pPr>
    </w:p>
    <w:p w:rsidR="004323ED" w:rsidRPr="00103D45" w:rsidRDefault="004323ED" w:rsidP="004323ED">
      <w:pPr>
        <w:rPr>
          <w:b/>
          <w:smallCaps/>
          <w:sz w:val="22"/>
          <w:szCs w:val="22"/>
        </w:rPr>
      </w:pPr>
      <w:r w:rsidRPr="00103D45">
        <w:rPr>
          <w:b/>
          <w:smallCaps/>
          <w:sz w:val="22"/>
          <w:szCs w:val="22"/>
        </w:rPr>
        <w:t>antwoord</w:t>
      </w:r>
    </w:p>
    <w:p w:rsidR="004323ED" w:rsidRPr="00103D45" w:rsidRDefault="004323ED" w:rsidP="004323ED">
      <w:pPr>
        <w:rPr>
          <w:sz w:val="22"/>
          <w:szCs w:val="22"/>
        </w:rPr>
      </w:pPr>
      <w:r w:rsidRPr="00103D45">
        <w:rPr>
          <w:sz w:val="22"/>
          <w:szCs w:val="22"/>
        </w:rPr>
        <w:t xml:space="preserve">op vraag nr. </w:t>
      </w:r>
      <w:r>
        <w:rPr>
          <w:sz w:val="22"/>
          <w:szCs w:val="22"/>
        </w:rPr>
        <w:t>169</w:t>
      </w:r>
      <w:r w:rsidRPr="00103D45">
        <w:rPr>
          <w:sz w:val="22"/>
          <w:szCs w:val="22"/>
        </w:rPr>
        <w:t xml:space="preserve"> van </w:t>
      </w:r>
      <w:r>
        <w:rPr>
          <w:sz w:val="22"/>
        </w:rPr>
        <w:t>23 januari 2013</w:t>
      </w:r>
    </w:p>
    <w:p w:rsidR="004323ED" w:rsidRDefault="004323ED" w:rsidP="004323ED">
      <w:pPr>
        <w:rPr>
          <w:sz w:val="22"/>
        </w:rPr>
      </w:pPr>
      <w:r w:rsidRPr="00103D45">
        <w:rPr>
          <w:sz w:val="22"/>
          <w:szCs w:val="22"/>
        </w:rPr>
        <w:t xml:space="preserve">van </w:t>
      </w:r>
      <w:r>
        <w:rPr>
          <w:b/>
          <w:smallCaps/>
        </w:rPr>
        <w:t>lode vereeck</w:t>
      </w:r>
    </w:p>
    <w:p w:rsidR="009F10A6" w:rsidRDefault="009F10A6" w:rsidP="007E2BBA">
      <w:pPr>
        <w:pBdr>
          <w:bottom w:val="single" w:sz="4" w:space="1" w:color="auto"/>
        </w:pBdr>
        <w:jc w:val="both"/>
        <w:rPr>
          <w:sz w:val="22"/>
        </w:rPr>
      </w:pPr>
    </w:p>
    <w:p w:rsidR="00080040" w:rsidRPr="004323ED" w:rsidRDefault="00080040" w:rsidP="003105B2">
      <w:pPr>
        <w:pStyle w:val="StandaardSV"/>
        <w:jc w:val="left"/>
      </w:pPr>
    </w:p>
    <w:p w:rsidR="00B74F7E" w:rsidRPr="004323ED" w:rsidRDefault="00B74F7E" w:rsidP="003105B2">
      <w:pPr>
        <w:pStyle w:val="StandaardSV"/>
        <w:jc w:val="left"/>
      </w:pPr>
    </w:p>
    <w:p w:rsidR="00A93EBF" w:rsidRPr="00B03132" w:rsidRDefault="00A93EBF" w:rsidP="004B116D">
      <w:pPr>
        <w:numPr>
          <w:ilvl w:val="0"/>
          <w:numId w:val="17"/>
        </w:numPr>
        <w:ind w:left="426" w:right="283" w:hanging="426"/>
        <w:jc w:val="both"/>
        <w:rPr>
          <w:color w:val="333331"/>
          <w:sz w:val="22"/>
          <w:szCs w:val="22"/>
          <w:lang w:eastAsia="nl-BE"/>
        </w:rPr>
      </w:pPr>
      <w:r w:rsidRPr="00B03132">
        <w:rPr>
          <w:sz w:val="22"/>
          <w:szCs w:val="22"/>
          <w:lang w:eastAsia="nl-BE"/>
        </w:rPr>
        <w:t>Ontvangsten IWT-begroting 2012 2</w:t>
      </w:r>
      <w:r w:rsidRPr="00B03132">
        <w:rPr>
          <w:sz w:val="22"/>
          <w:szCs w:val="22"/>
          <w:vertAlign w:val="superscript"/>
          <w:lang w:eastAsia="nl-BE"/>
        </w:rPr>
        <w:t>de</w:t>
      </w:r>
      <w:r w:rsidRPr="00B03132">
        <w:rPr>
          <w:sz w:val="22"/>
          <w:szCs w:val="22"/>
          <w:lang w:eastAsia="nl-BE"/>
        </w:rPr>
        <w:t xml:space="preserve"> budgetcontrole, inclusief overflow en inclusief overdracht 201</w:t>
      </w:r>
      <w:r w:rsidR="00B03132" w:rsidRPr="00B03132">
        <w:rPr>
          <w:sz w:val="22"/>
          <w:szCs w:val="22"/>
          <w:lang w:eastAsia="nl-BE"/>
        </w:rPr>
        <w:t>1</w:t>
      </w:r>
      <w:r w:rsidRPr="00B03132">
        <w:rPr>
          <w:sz w:val="22"/>
          <w:szCs w:val="22"/>
          <w:lang w:eastAsia="nl-BE"/>
        </w:rPr>
        <w:t xml:space="preserve"> </w:t>
      </w:r>
      <w:r w:rsidRPr="00B03132">
        <w:rPr>
          <w:i/>
          <w:sz w:val="22"/>
          <w:szCs w:val="22"/>
          <w:lang w:eastAsia="nl-BE"/>
        </w:rPr>
        <w:t>(antwoord op deelvragen 1a, 1b en 1c)</w:t>
      </w:r>
      <w:r w:rsidR="005A4309">
        <w:rPr>
          <w:sz w:val="22"/>
          <w:szCs w:val="22"/>
          <w:lang w:eastAsia="nl-BE"/>
        </w:rPr>
        <w:t>:</w:t>
      </w:r>
    </w:p>
    <w:p w:rsidR="00B03132" w:rsidRPr="00B03132" w:rsidRDefault="00B03132" w:rsidP="003105B2">
      <w:pPr>
        <w:ind w:left="426" w:right="283"/>
        <w:rPr>
          <w:color w:val="333331"/>
          <w:sz w:val="22"/>
          <w:szCs w:val="22"/>
          <w:lang w:eastAsia="nl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9"/>
        <w:gridCol w:w="2535"/>
      </w:tblGrid>
      <w:tr w:rsidR="00A93EBF" w:rsidRPr="00456333" w:rsidTr="00AB245A">
        <w:trPr>
          <w:trHeight w:val="662"/>
        </w:trPr>
        <w:tc>
          <w:tcPr>
            <w:tcW w:w="6219" w:type="dxa"/>
          </w:tcPr>
          <w:p w:rsidR="00A93EBF" w:rsidRPr="00456333" w:rsidRDefault="00A93EBF" w:rsidP="00AB245A">
            <w:pPr>
              <w:ind w:right="284"/>
              <w:jc w:val="center"/>
              <w:rPr>
                <w:i/>
                <w:color w:val="333331"/>
                <w:szCs w:val="22"/>
                <w:lang w:eastAsia="nl-BE"/>
              </w:rPr>
            </w:pPr>
            <w:r w:rsidRPr="00456333">
              <w:rPr>
                <w:i/>
                <w:color w:val="333331"/>
                <w:sz w:val="22"/>
                <w:szCs w:val="22"/>
                <w:lang w:eastAsia="nl-BE"/>
              </w:rPr>
              <w:t xml:space="preserve">Kredietlijnen op basis van de reguliere uitgavenbegroting </w:t>
            </w:r>
          </w:p>
          <w:p w:rsidR="00A93EBF" w:rsidRPr="00456333" w:rsidRDefault="00A93EBF" w:rsidP="00B03132">
            <w:pPr>
              <w:spacing w:before="40"/>
              <w:ind w:right="284"/>
              <w:jc w:val="center"/>
              <w:rPr>
                <w:color w:val="333331"/>
                <w:szCs w:val="22"/>
                <w:lang w:eastAsia="nl-BE"/>
              </w:rPr>
            </w:pPr>
            <w:r w:rsidRPr="00456333">
              <w:rPr>
                <w:i/>
                <w:color w:val="333331"/>
                <w:sz w:val="22"/>
                <w:szCs w:val="22"/>
                <w:lang w:eastAsia="nl-BE"/>
              </w:rPr>
              <w:t>BO 2012</w:t>
            </w:r>
          </w:p>
        </w:tc>
        <w:tc>
          <w:tcPr>
            <w:tcW w:w="2535" w:type="dxa"/>
          </w:tcPr>
          <w:p w:rsidR="00A93EBF" w:rsidRPr="00456333" w:rsidRDefault="00B03132" w:rsidP="00AB245A">
            <w:pPr>
              <w:ind w:right="284"/>
              <w:jc w:val="center"/>
              <w:rPr>
                <w:i/>
                <w:color w:val="333331"/>
                <w:szCs w:val="22"/>
                <w:lang w:eastAsia="nl-BE"/>
              </w:rPr>
            </w:pPr>
            <w:r>
              <w:rPr>
                <w:i/>
                <w:color w:val="333331"/>
                <w:sz w:val="22"/>
                <w:szCs w:val="22"/>
                <w:lang w:eastAsia="nl-BE"/>
              </w:rPr>
              <w:t>Reële ontvangsten 2012</w:t>
            </w:r>
          </w:p>
        </w:tc>
      </w:tr>
      <w:tr w:rsidR="00B03132" w:rsidRPr="00456333" w:rsidTr="00AB245A">
        <w:tc>
          <w:tcPr>
            <w:tcW w:w="6219" w:type="dxa"/>
          </w:tcPr>
          <w:p w:rsidR="00B03132" w:rsidRPr="00456333" w:rsidRDefault="00B03132" w:rsidP="00AB245A">
            <w:pPr>
              <w:spacing w:before="40"/>
              <w:ind w:right="283"/>
              <w:rPr>
                <w:color w:val="333331"/>
                <w:sz w:val="22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Overdrachten van 2011</w:t>
            </w:r>
          </w:p>
        </w:tc>
        <w:tc>
          <w:tcPr>
            <w:tcW w:w="2535" w:type="dxa"/>
          </w:tcPr>
          <w:p w:rsidR="00B03132" w:rsidRPr="00B03132" w:rsidRDefault="00B03132" w:rsidP="0077337E">
            <w:pPr>
              <w:spacing w:before="60"/>
              <w:ind w:right="283"/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B03132">
              <w:rPr>
                <w:color w:val="333331"/>
                <w:sz w:val="22"/>
                <w:szCs w:val="22"/>
                <w:lang w:eastAsia="nl-BE"/>
              </w:rPr>
              <w:t>32.794.513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Bedrijfssteun voor onderzoek en ontwikkeling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EF105 4141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terugstortingen (kredietaflossingen en terugbetalingen)</w:t>
            </w:r>
            <w:r w:rsidR="00BD60B5">
              <w:rPr>
                <w:color w:val="333331"/>
                <w:sz w:val="22"/>
                <w:szCs w:val="22"/>
                <w:lang w:eastAsia="nl-BE"/>
              </w:rPr>
              <w:t xml:space="preserve"> en terugvorderingen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140.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401.000</w:t>
            </w:r>
          </w:p>
          <w:p w:rsidR="00A93EBF" w:rsidRPr="00456333" w:rsidRDefault="00BD60B5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661.468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Innovatieve acties vanwege de Vlaamse Regering</w:t>
            </w:r>
          </w:p>
          <w:p w:rsidR="00A93EBF" w:rsidRPr="00456333" w:rsidRDefault="00A93EBF" w:rsidP="00AB245A">
            <w:pPr>
              <w:ind w:left="720" w:right="284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EF106 4141</w:t>
            </w:r>
          </w:p>
          <w:p w:rsidR="00A93EBF" w:rsidRPr="00456333" w:rsidRDefault="00A93EBF" w:rsidP="00AB245A">
            <w:pPr>
              <w:ind w:left="720" w:right="284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terugstortingen HERMES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B03132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17.357.000</w:t>
            </w:r>
          </w:p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 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3.923.214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E-mediaprojecten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EF108 4141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 </w:t>
            </w:r>
            <w:r w:rsidR="00477B61">
              <w:rPr>
                <w:color w:val="333331"/>
                <w:sz w:val="22"/>
                <w:szCs w:val="22"/>
                <w:lang w:eastAsia="nl-BE"/>
              </w:rPr>
              <w:t>4.9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96.000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Werking </w:t>
            </w:r>
          </w:p>
          <w:p w:rsidR="00A93EBF" w:rsidRDefault="00A93EBF" w:rsidP="00AB245A">
            <w:pPr>
              <w:ind w:left="720" w:right="284"/>
              <w:rPr>
                <w:color w:val="333331"/>
                <w:sz w:val="22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EF107 4141</w:t>
            </w:r>
          </w:p>
          <w:p w:rsidR="00B03132" w:rsidRPr="00456333" w:rsidRDefault="00B03132" w:rsidP="00AB245A">
            <w:pPr>
              <w:ind w:left="720" w:right="284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- indexprovisie 2011-2012</w:t>
            </w:r>
          </w:p>
          <w:p w:rsidR="00A93EBF" w:rsidRPr="00456333" w:rsidRDefault="00A93EBF" w:rsidP="00AB245A">
            <w:pPr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ontvangsten uit Europees gesteunde acties</w:t>
            </w:r>
          </w:p>
          <w:p w:rsidR="00776DA5" w:rsidRPr="00456333" w:rsidRDefault="00A93EBF" w:rsidP="00BD60B5">
            <w:pPr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- </w:t>
            </w:r>
            <w:r w:rsidR="001B30C6">
              <w:rPr>
                <w:color w:val="333331"/>
                <w:sz w:val="22"/>
                <w:szCs w:val="22"/>
                <w:lang w:eastAsia="nl-BE"/>
              </w:rPr>
              <w:t xml:space="preserve">andere </w:t>
            </w: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eigen ontvangsten 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ind w:right="283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Default="00A93EBF" w:rsidP="0077337E">
            <w:pPr>
              <w:ind w:right="284"/>
              <w:jc w:val="right"/>
              <w:rPr>
                <w:color w:val="333331"/>
                <w:sz w:val="22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12.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328</w:t>
            </w:r>
            <w:r w:rsidRPr="00456333">
              <w:rPr>
                <w:color w:val="333331"/>
                <w:sz w:val="22"/>
                <w:szCs w:val="22"/>
                <w:lang w:eastAsia="nl-BE"/>
              </w:rPr>
              <w:t>.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000</w:t>
            </w:r>
          </w:p>
          <w:p w:rsidR="00B03132" w:rsidRPr="00456333" w:rsidRDefault="00B03132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86.000</w:t>
            </w:r>
          </w:p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1.425.945</w:t>
            </w:r>
          </w:p>
          <w:p w:rsidR="00776DA5" w:rsidRPr="00456333" w:rsidRDefault="00A93EBF" w:rsidP="0077337E">
            <w:pPr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165.4</w:t>
            </w:r>
            <w:r w:rsidR="00BD60B5">
              <w:rPr>
                <w:color w:val="333331"/>
                <w:sz w:val="22"/>
                <w:szCs w:val="22"/>
                <w:lang w:eastAsia="nl-BE"/>
              </w:rPr>
              <w:t>93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Vlaamse deelname aan Europese programma’s: VCP-werking 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EC113 4141</w:t>
            </w:r>
          </w:p>
        </w:tc>
        <w:tc>
          <w:tcPr>
            <w:tcW w:w="2535" w:type="dxa"/>
          </w:tcPr>
          <w:p w:rsidR="00A93EBF" w:rsidRPr="00456333" w:rsidRDefault="00B03132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373.000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Studie- en expertiseopdrachten ten behoeve van het VIN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EF109 4141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559.000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Specialisatie- en Baekelandbeurzen 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EF112 4141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3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5.256.000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Landbouwkundig onderzoek (LO)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EE123 4141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 8.8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21.000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Technologie Transfer (TETRA)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EE120 4141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 8.09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3.000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Strategisch Basisonderzoek (SBO)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EE121 4141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A93EBF" w:rsidP="0077337E">
            <w:pPr>
              <w:spacing w:before="60"/>
              <w:ind w:right="283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38.2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00</w:t>
            </w:r>
            <w:r w:rsidRPr="00456333">
              <w:rPr>
                <w:color w:val="333331"/>
                <w:sz w:val="22"/>
                <w:szCs w:val="22"/>
                <w:lang w:eastAsia="nl-BE"/>
              </w:rPr>
              <w:t>.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000</w:t>
            </w:r>
          </w:p>
        </w:tc>
      </w:tr>
      <w:tr w:rsidR="00A93EBF" w:rsidRPr="00456333" w:rsidTr="00AB245A">
        <w:tc>
          <w:tcPr>
            <w:tcW w:w="6219" w:type="dxa"/>
          </w:tcPr>
          <w:p w:rsidR="00A93EBF" w:rsidRPr="00456333" w:rsidRDefault="00A93EBF" w:rsidP="00AB245A">
            <w:pPr>
              <w:spacing w:before="40"/>
              <w:ind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Toegepast Biomedisch Onderzoek (TBM)</w:t>
            </w:r>
          </w:p>
          <w:p w:rsidR="00A93EBF" w:rsidRPr="00456333" w:rsidRDefault="00A93EBF" w:rsidP="00AB245A">
            <w:pPr>
              <w:spacing w:before="40"/>
              <w:ind w:left="720" w:right="283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- subsidie-inkomsten via BA EBO EE118 4141</w:t>
            </w:r>
          </w:p>
        </w:tc>
        <w:tc>
          <w:tcPr>
            <w:tcW w:w="2535" w:type="dxa"/>
          </w:tcPr>
          <w:p w:rsidR="00A93EBF" w:rsidRPr="00456333" w:rsidRDefault="00A93EBF" w:rsidP="0077337E">
            <w:pPr>
              <w:spacing w:before="40"/>
              <w:ind w:right="284"/>
              <w:jc w:val="right"/>
              <w:rPr>
                <w:color w:val="333331"/>
                <w:szCs w:val="22"/>
                <w:lang w:eastAsia="nl-BE"/>
              </w:rPr>
            </w:pPr>
          </w:p>
          <w:p w:rsidR="00A93EBF" w:rsidRPr="00456333" w:rsidRDefault="00A93EBF" w:rsidP="0077337E">
            <w:pPr>
              <w:ind w:right="284"/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  </w:t>
            </w:r>
            <w:r w:rsidR="00B03132">
              <w:rPr>
                <w:color w:val="333331"/>
                <w:sz w:val="22"/>
                <w:szCs w:val="22"/>
                <w:lang w:eastAsia="nl-BE"/>
              </w:rPr>
              <w:t>4.882.000</w:t>
            </w:r>
          </w:p>
        </w:tc>
      </w:tr>
      <w:tr w:rsidR="00A93EBF" w:rsidRPr="00456333" w:rsidTr="00AB245A">
        <w:trPr>
          <w:trHeight w:val="323"/>
        </w:trPr>
        <w:tc>
          <w:tcPr>
            <w:tcW w:w="6219" w:type="dxa"/>
          </w:tcPr>
          <w:p w:rsidR="00A93EBF" w:rsidRPr="00456333" w:rsidRDefault="00A93EBF" w:rsidP="00AB245A">
            <w:pPr>
              <w:spacing w:before="60"/>
              <w:ind w:right="283"/>
              <w:jc w:val="right"/>
              <w:rPr>
                <w:b/>
                <w:color w:val="333331"/>
                <w:szCs w:val="22"/>
                <w:lang w:eastAsia="nl-BE"/>
              </w:rPr>
            </w:pPr>
            <w:r w:rsidRPr="00456333">
              <w:rPr>
                <w:b/>
                <w:color w:val="333331"/>
                <w:sz w:val="22"/>
                <w:szCs w:val="22"/>
                <w:lang w:eastAsia="nl-BE"/>
              </w:rPr>
              <w:t>TOTAAL:</w:t>
            </w:r>
          </w:p>
        </w:tc>
        <w:tc>
          <w:tcPr>
            <w:tcW w:w="2535" w:type="dxa"/>
          </w:tcPr>
          <w:p w:rsidR="00A93EBF" w:rsidRPr="00456333" w:rsidRDefault="00776DA5" w:rsidP="0077337E">
            <w:pPr>
              <w:spacing w:before="60"/>
              <w:ind w:right="283"/>
              <w:jc w:val="right"/>
              <w:rPr>
                <w:b/>
                <w:color w:val="333331"/>
                <w:szCs w:val="22"/>
                <w:lang w:eastAsia="nl-BE"/>
              </w:rPr>
            </w:pPr>
            <w:r>
              <w:rPr>
                <w:b/>
                <w:color w:val="333331"/>
                <w:sz w:val="22"/>
                <w:szCs w:val="22"/>
                <w:lang w:eastAsia="nl-BE"/>
              </w:rPr>
              <w:t>310.322.633</w:t>
            </w:r>
          </w:p>
        </w:tc>
      </w:tr>
    </w:tbl>
    <w:p w:rsidR="00A93EBF" w:rsidRPr="00456333" w:rsidRDefault="00A93EBF" w:rsidP="003105B2">
      <w:pPr>
        <w:ind w:left="360"/>
        <w:rPr>
          <w:sz w:val="22"/>
          <w:szCs w:val="22"/>
        </w:rPr>
      </w:pPr>
    </w:p>
    <w:p w:rsidR="00A93EBF" w:rsidRDefault="00A93EBF" w:rsidP="003105B2">
      <w:pPr>
        <w:pStyle w:val="StandaardSV"/>
        <w:ind w:left="360"/>
        <w:jc w:val="left"/>
      </w:pPr>
    </w:p>
    <w:p w:rsidR="00A93EBF" w:rsidRDefault="00A93EBF" w:rsidP="003105B2">
      <w:pPr>
        <w:pStyle w:val="StandaardSV"/>
        <w:ind w:left="360"/>
        <w:jc w:val="left"/>
      </w:pPr>
    </w:p>
    <w:p w:rsidR="00BD60B5" w:rsidRDefault="00BD60B5" w:rsidP="003105B2">
      <w:pPr>
        <w:pStyle w:val="StandaardSV"/>
        <w:ind w:left="360"/>
        <w:jc w:val="left"/>
      </w:pPr>
    </w:p>
    <w:p w:rsidR="00BD60B5" w:rsidRPr="00456333" w:rsidRDefault="00BD60B5" w:rsidP="004B116D">
      <w:pPr>
        <w:pStyle w:val="Lijstalinea"/>
        <w:numPr>
          <w:ilvl w:val="0"/>
          <w:numId w:val="17"/>
        </w:numPr>
        <w:ind w:right="283"/>
        <w:jc w:val="both"/>
        <w:rPr>
          <w:sz w:val="22"/>
          <w:szCs w:val="22"/>
          <w:lang w:eastAsia="nl-BE"/>
        </w:rPr>
      </w:pPr>
      <w:r w:rsidRPr="00456333">
        <w:rPr>
          <w:sz w:val="22"/>
          <w:szCs w:val="22"/>
          <w:lang w:eastAsia="nl-BE"/>
        </w:rPr>
        <w:t>De uitgaven in 2012 zijn als volgt verdeeld over de verschillende instrumenten en steunmaatregelen van het IWT</w:t>
      </w:r>
      <w:r w:rsidR="005A4309">
        <w:rPr>
          <w:sz w:val="22"/>
          <w:szCs w:val="22"/>
          <w:lang w:eastAsia="nl-BE"/>
        </w:rPr>
        <w:t>:</w:t>
      </w:r>
    </w:p>
    <w:p w:rsidR="00BD60B5" w:rsidRPr="00456333" w:rsidRDefault="00BD60B5" w:rsidP="003105B2">
      <w:pPr>
        <w:ind w:left="360" w:right="283"/>
        <w:rPr>
          <w:color w:val="333331"/>
          <w:sz w:val="22"/>
          <w:szCs w:val="22"/>
          <w:lang w:eastAsia="nl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2517"/>
      </w:tblGrid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jc w:val="center"/>
              <w:rPr>
                <w:i/>
                <w:color w:val="333331"/>
                <w:szCs w:val="22"/>
                <w:lang w:eastAsia="nl-BE"/>
              </w:rPr>
            </w:pPr>
            <w:r w:rsidRPr="00456333">
              <w:rPr>
                <w:i/>
                <w:color w:val="333331"/>
                <w:sz w:val="22"/>
                <w:szCs w:val="22"/>
                <w:lang w:eastAsia="nl-BE"/>
              </w:rPr>
              <w:t>Programma’s en steunmaatregelen</w:t>
            </w:r>
          </w:p>
        </w:tc>
        <w:tc>
          <w:tcPr>
            <w:tcW w:w="2517" w:type="dxa"/>
          </w:tcPr>
          <w:p w:rsidR="00BD60B5" w:rsidRPr="00456333" w:rsidRDefault="00BD60B5" w:rsidP="00AB245A">
            <w:pPr>
              <w:jc w:val="center"/>
              <w:rPr>
                <w:i/>
                <w:color w:val="333331"/>
                <w:szCs w:val="22"/>
                <w:lang w:eastAsia="nl-BE"/>
              </w:rPr>
            </w:pPr>
            <w:r w:rsidRPr="00456333">
              <w:rPr>
                <w:i/>
                <w:color w:val="333331"/>
                <w:sz w:val="22"/>
                <w:szCs w:val="22"/>
                <w:lang w:eastAsia="nl-BE"/>
              </w:rPr>
              <w:t>Bedrag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C2C95" w:rsidP="005A4309">
            <w:pPr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Cs w:val="22"/>
                <w:lang w:eastAsia="nl-BE"/>
              </w:rPr>
              <w:t>Projecten bedrijven en samenwerkingsverbanden (K</w:t>
            </w:r>
            <w:r w:rsidR="005A4309">
              <w:rPr>
                <w:color w:val="333331"/>
                <w:szCs w:val="22"/>
                <w:lang w:eastAsia="nl-BE"/>
              </w:rPr>
              <w:t>mo</w:t>
            </w:r>
            <w:r>
              <w:rPr>
                <w:color w:val="333331"/>
                <w:szCs w:val="22"/>
                <w:lang w:eastAsia="nl-BE"/>
              </w:rPr>
              <w:t>, O&amp;O, VIS, Innovatiemandaten)</w:t>
            </w:r>
          </w:p>
        </w:tc>
        <w:tc>
          <w:tcPr>
            <w:tcW w:w="2517" w:type="dxa"/>
          </w:tcPr>
          <w:p w:rsidR="00BD60B5" w:rsidRPr="00456333" w:rsidRDefault="00BC2C9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123.782.746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Hermes</w:t>
            </w:r>
          </w:p>
        </w:tc>
        <w:tc>
          <w:tcPr>
            <w:tcW w:w="2517" w:type="dxa"/>
          </w:tcPr>
          <w:p w:rsidR="00BD60B5" w:rsidRPr="00456333" w:rsidRDefault="00BC2C9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3.923.214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Innovatieve acties Vlaamse Regering</w:t>
            </w:r>
          </w:p>
        </w:tc>
        <w:tc>
          <w:tcPr>
            <w:tcW w:w="2517" w:type="dxa"/>
          </w:tcPr>
          <w:p w:rsidR="00BD60B5" w:rsidRPr="00456333" w:rsidRDefault="00BC2C9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35.565.070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Technologie Transfer (TETRA)</w:t>
            </w:r>
          </w:p>
        </w:tc>
        <w:tc>
          <w:tcPr>
            <w:tcW w:w="2517" w:type="dxa"/>
          </w:tcPr>
          <w:p w:rsidR="00BD60B5" w:rsidRPr="00456333" w:rsidRDefault="00BD60B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8.</w:t>
            </w:r>
            <w:r w:rsidR="00BC2C95">
              <w:rPr>
                <w:color w:val="333331"/>
                <w:sz w:val="22"/>
                <w:szCs w:val="22"/>
                <w:lang w:eastAsia="nl-BE"/>
              </w:rPr>
              <w:t>176.511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Landbouwkundig Onderzoek (LO)</w:t>
            </w:r>
          </w:p>
        </w:tc>
        <w:tc>
          <w:tcPr>
            <w:tcW w:w="2517" w:type="dxa"/>
          </w:tcPr>
          <w:p w:rsidR="00BD60B5" w:rsidRPr="00456333" w:rsidRDefault="00BC2C9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Cs w:val="22"/>
                <w:lang w:eastAsia="nl-BE"/>
              </w:rPr>
              <w:t>9.340.639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Strategisch Basisonderzoek (SBO)</w:t>
            </w:r>
          </w:p>
        </w:tc>
        <w:tc>
          <w:tcPr>
            <w:tcW w:w="2517" w:type="dxa"/>
          </w:tcPr>
          <w:p w:rsidR="00BD60B5" w:rsidRPr="00456333" w:rsidRDefault="00BC2C9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Cs w:val="22"/>
                <w:lang w:eastAsia="nl-BE"/>
              </w:rPr>
              <w:t>42.852.252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 xml:space="preserve">Toegepast Biomedisch Onderzoek </w:t>
            </w:r>
          </w:p>
        </w:tc>
        <w:tc>
          <w:tcPr>
            <w:tcW w:w="2517" w:type="dxa"/>
          </w:tcPr>
          <w:p w:rsidR="00BD60B5" w:rsidRPr="00456333" w:rsidRDefault="00BC2C9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4.694.713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E-mediaprojecten</w:t>
            </w:r>
          </w:p>
        </w:tc>
        <w:tc>
          <w:tcPr>
            <w:tcW w:w="2517" w:type="dxa"/>
          </w:tcPr>
          <w:p w:rsidR="00BD60B5" w:rsidRPr="00456333" w:rsidRDefault="00BD60B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7</w:t>
            </w:r>
            <w:r w:rsidR="00BC2C95">
              <w:rPr>
                <w:color w:val="333331"/>
                <w:sz w:val="22"/>
                <w:szCs w:val="22"/>
                <w:lang w:eastAsia="nl-BE"/>
              </w:rPr>
              <w:t>.309.095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77337E" w:rsidP="0077337E">
            <w:pPr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Doctoraatsbeurzen</w:t>
            </w:r>
            <w:r w:rsidR="00BD60B5" w:rsidRPr="00456333">
              <w:rPr>
                <w:color w:val="333331"/>
                <w:sz w:val="22"/>
                <w:szCs w:val="22"/>
                <w:lang w:eastAsia="nl-BE"/>
              </w:rPr>
              <w:t xml:space="preserve"> </w:t>
            </w:r>
            <w:r w:rsidR="00BC2C95">
              <w:rPr>
                <w:color w:val="333331"/>
                <w:sz w:val="22"/>
                <w:szCs w:val="22"/>
                <w:lang w:eastAsia="nl-BE"/>
              </w:rPr>
              <w:t xml:space="preserve">&amp; </w:t>
            </w:r>
            <w:r w:rsidR="005E1B24">
              <w:rPr>
                <w:color w:val="333331"/>
                <w:sz w:val="22"/>
                <w:szCs w:val="22"/>
                <w:lang w:eastAsia="nl-BE"/>
              </w:rPr>
              <w:t>B</w:t>
            </w:r>
            <w:r w:rsidR="005E1B24" w:rsidRPr="00456333">
              <w:rPr>
                <w:color w:val="333331"/>
                <w:sz w:val="22"/>
                <w:szCs w:val="22"/>
                <w:lang w:eastAsia="nl-BE"/>
              </w:rPr>
              <w:t>aekelandmandaten</w:t>
            </w:r>
            <w:r w:rsidR="00BC2C95">
              <w:rPr>
                <w:color w:val="333331"/>
                <w:sz w:val="22"/>
                <w:szCs w:val="22"/>
                <w:lang w:eastAsia="nl-BE"/>
              </w:rPr>
              <w:t xml:space="preserve"> (excl. werkingsuitgaven)</w:t>
            </w:r>
          </w:p>
        </w:tc>
        <w:tc>
          <w:tcPr>
            <w:tcW w:w="2517" w:type="dxa"/>
          </w:tcPr>
          <w:p w:rsidR="00BD60B5" w:rsidRPr="00456333" w:rsidRDefault="00BC2C9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34.491.139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jc w:val="right"/>
              <w:rPr>
                <w:b/>
                <w:color w:val="333331"/>
                <w:szCs w:val="22"/>
                <w:lang w:eastAsia="nl-BE"/>
              </w:rPr>
            </w:pPr>
            <w:r w:rsidRPr="00456333">
              <w:rPr>
                <w:b/>
                <w:color w:val="333331"/>
                <w:sz w:val="22"/>
                <w:szCs w:val="22"/>
                <w:lang w:eastAsia="nl-BE"/>
              </w:rPr>
              <w:t>TOTAAL</w:t>
            </w:r>
            <w:r w:rsidR="005E1B24">
              <w:rPr>
                <w:b/>
                <w:color w:val="333331"/>
                <w:sz w:val="22"/>
                <w:szCs w:val="22"/>
                <w:lang w:eastAsia="nl-BE"/>
              </w:rPr>
              <w:t xml:space="preserve"> (a)</w:t>
            </w:r>
            <w:r w:rsidRPr="00456333">
              <w:rPr>
                <w:b/>
                <w:color w:val="333331"/>
                <w:sz w:val="22"/>
                <w:szCs w:val="22"/>
                <w:lang w:eastAsia="nl-BE"/>
              </w:rPr>
              <w:t>:</w:t>
            </w:r>
          </w:p>
        </w:tc>
        <w:tc>
          <w:tcPr>
            <w:tcW w:w="2517" w:type="dxa"/>
          </w:tcPr>
          <w:p w:rsidR="00BD60B5" w:rsidRPr="00456333" w:rsidRDefault="00BC2C95" w:rsidP="0077337E">
            <w:pPr>
              <w:jc w:val="right"/>
              <w:rPr>
                <w:b/>
                <w:color w:val="333331"/>
                <w:szCs w:val="22"/>
                <w:lang w:eastAsia="nl-BE"/>
              </w:rPr>
            </w:pPr>
            <w:r>
              <w:rPr>
                <w:b/>
                <w:color w:val="333331"/>
                <w:sz w:val="22"/>
                <w:szCs w:val="22"/>
                <w:lang w:eastAsia="nl-BE"/>
              </w:rPr>
              <w:t>270.135.379</w:t>
            </w:r>
          </w:p>
        </w:tc>
      </w:tr>
    </w:tbl>
    <w:p w:rsidR="00BD60B5" w:rsidRPr="00456333" w:rsidRDefault="00BD60B5" w:rsidP="003105B2">
      <w:pPr>
        <w:ind w:left="426"/>
        <w:rPr>
          <w:sz w:val="22"/>
          <w:szCs w:val="22"/>
          <w:lang w:eastAsia="nl-BE"/>
        </w:rPr>
      </w:pPr>
    </w:p>
    <w:p w:rsidR="00BD60B5" w:rsidRPr="001B30C6" w:rsidRDefault="00BD60B5" w:rsidP="004B116D">
      <w:pPr>
        <w:pStyle w:val="Lijstalinea"/>
        <w:ind w:left="0" w:right="283" w:firstLine="426"/>
        <w:jc w:val="both"/>
        <w:rPr>
          <w:color w:val="333331"/>
          <w:sz w:val="22"/>
          <w:szCs w:val="22"/>
          <w:lang w:eastAsia="nl-BE"/>
        </w:rPr>
      </w:pPr>
      <w:r w:rsidRPr="001B30C6">
        <w:rPr>
          <w:sz w:val="22"/>
          <w:szCs w:val="22"/>
          <w:lang w:eastAsia="nl-BE"/>
        </w:rPr>
        <w:t>Uitgaven voor operationele taken en opdrachten</w:t>
      </w:r>
      <w:r w:rsidR="005A4309">
        <w:rPr>
          <w:sz w:val="22"/>
          <w:szCs w:val="22"/>
          <w:lang w:eastAsia="nl-BE"/>
        </w:rPr>
        <w:t>:</w:t>
      </w:r>
    </w:p>
    <w:p w:rsidR="001B30C6" w:rsidRPr="001B30C6" w:rsidRDefault="001B30C6" w:rsidP="003105B2">
      <w:pPr>
        <w:pStyle w:val="Lijstalinea"/>
        <w:ind w:left="426" w:right="283"/>
        <w:rPr>
          <w:color w:val="333331"/>
          <w:sz w:val="22"/>
          <w:szCs w:val="22"/>
          <w:lang w:eastAsia="nl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2517"/>
      </w:tblGrid>
      <w:tr w:rsidR="00BD60B5" w:rsidRPr="00456333" w:rsidTr="0077337E">
        <w:tc>
          <w:tcPr>
            <w:tcW w:w="6237" w:type="dxa"/>
          </w:tcPr>
          <w:p w:rsidR="00BD60B5" w:rsidRPr="00456333" w:rsidRDefault="00BD60B5" w:rsidP="005A4309">
            <w:pPr>
              <w:jc w:val="center"/>
              <w:rPr>
                <w:i/>
                <w:color w:val="333331"/>
                <w:szCs w:val="22"/>
                <w:lang w:eastAsia="nl-BE"/>
              </w:rPr>
            </w:pPr>
            <w:r w:rsidRPr="00456333">
              <w:rPr>
                <w:i/>
                <w:color w:val="333331"/>
                <w:sz w:val="22"/>
                <w:szCs w:val="22"/>
                <w:lang w:eastAsia="nl-BE"/>
              </w:rPr>
              <w:t>Werking + ondersteuning VIN-netwerk</w:t>
            </w:r>
          </w:p>
        </w:tc>
        <w:tc>
          <w:tcPr>
            <w:tcW w:w="2517" w:type="dxa"/>
          </w:tcPr>
          <w:p w:rsidR="00BD60B5" w:rsidRPr="00456333" w:rsidRDefault="00BD60B5" w:rsidP="00AB245A">
            <w:pPr>
              <w:jc w:val="center"/>
              <w:rPr>
                <w:i/>
                <w:color w:val="333331"/>
                <w:szCs w:val="22"/>
                <w:lang w:eastAsia="nl-BE"/>
              </w:rPr>
            </w:pPr>
            <w:r w:rsidRPr="00456333">
              <w:rPr>
                <w:i/>
                <w:color w:val="333331"/>
                <w:sz w:val="22"/>
                <w:szCs w:val="22"/>
                <w:lang w:eastAsia="nl-BE"/>
              </w:rPr>
              <w:t>Bedrag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Werking + beheer specialisatiebeurzen</w:t>
            </w:r>
          </w:p>
        </w:tc>
        <w:tc>
          <w:tcPr>
            <w:tcW w:w="2517" w:type="dxa"/>
          </w:tcPr>
          <w:p w:rsidR="00BD60B5" w:rsidRPr="00456333" w:rsidRDefault="00BD60B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13.</w:t>
            </w:r>
            <w:r w:rsidR="00BC2C95">
              <w:rPr>
                <w:color w:val="333331"/>
                <w:sz w:val="22"/>
                <w:szCs w:val="22"/>
                <w:lang w:eastAsia="nl-BE"/>
              </w:rPr>
              <w:t>429.952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VCP-werking</w:t>
            </w:r>
          </w:p>
        </w:tc>
        <w:tc>
          <w:tcPr>
            <w:tcW w:w="2517" w:type="dxa"/>
          </w:tcPr>
          <w:p w:rsidR="00BD60B5" w:rsidRPr="00456333" w:rsidRDefault="00A74EFC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Cs w:val="22"/>
                <w:lang w:eastAsia="nl-BE"/>
              </w:rPr>
              <w:t>369.390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VIN-studie- en expertiseopdrachten</w:t>
            </w:r>
          </w:p>
        </w:tc>
        <w:tc>
          <w:tcPr>
            <w:tcW w:w="2517" w:type="dxa"/>
          </w:tcPr>
          <w:p w:rsidR="00BD60B5" w:rsidRPr="00456333" w:rsidRDefault="00BD60B5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6</w:t>
            </w:r>
            <w:r w:rsidR="00A74EFC">
              <w:rPr>
                <w:color w:val="333331"/>
                <w:sz w:val="22"/>
                <w:szCs w:val="22"/>
                <w:lang w:eastAsia="nl-BE"/>
              </w:rPr>
              <w:t>03.931</w:t>
            </w:r>
          </w:p>
        </w:tc>
      </w:tr>
      <w:tr w:rsidR="00BD60B5" w:rsidRPr="00456333" w:rsidTr="0077337E">
        <w:tc>
          <w:tcPr>
            <w:tcW w:w="6237" w:type="dxa"/>
          </w:tcPr>
          <w:p w:rsidR="00BD60B5" w:rsidRPr="00456333" w:rsidRDefault="00BD60B5" w:rsidP="00AB245A">
            <w:pPr>
              <w:rPr>
                <w:color w:val="333331"/>
                <w:szCs w:val="22"/>
                <w:lang w:eastAsia="nl-BE"/>
              </w:rPr>
            </w:pPr>
            <w:r w:rsidRPr="00456333">
              <w:rPr>
                <w:color w:val="333331"/>
                <w:sz w:val="22"/>
                <w:szCs w:val="22"/>
                <w:lang w:eastAsia="nl-BE"/>
              </w:rPr>
              <w:t>Europees gesteunde acties (ERA- en INNO-NETTEN)</w:t>
            </w:r>
          </w:p>
        </w:tc>
        <w:tc>
          <w:tcPr>
            <w:tcW w:w="2517" w:type="dxa"/>
          </w:tcPr>
          <w:p w:rsidR="00BD60B5" w:rsidRPr="00456333" w:rsidRDefault="00A74EFC" w:rsidP="0077337E">
            <w:pPr>
              <w:jc w:val="right"/>
              <w:rPr>
                <w:color w:val="333331"/>
                <w:szCs w:val="22"/>
                <w:lang w:eastAsia="nl-BE"/>
              </w:rPr>
            </w:pPr>
            <w:r>
              <w:rPr>
                <w:color w:val="333331"/>
                <w:sz w:val="22"/>
                <w:szCs w:val="22"/>
                <w:lang w:eastAsia="nl-BE"/>
              </w:rPr>
              <w:t>918.513</w:t>
            </w:r>
          </w:p>
        </w:tc>
      </w:tr>
      <w:tr w:rsidR="00BD60B5" w:rsidRPr="00456333" w:rsidTr="0077337E">
        <w:trPr>
          <w:trHeight w:val="85"/>
        </w:trPr>
        <w:tc>
          <w:tcPr>
            <w:tcW w:w="6237" w:type="dxa"/>
          </w:tcPr>
          <w:p w:rsidR="00BD60B5" w:rsidRPr="00456333" w:rsidRDefault="00BD60B5" w:rsidP="00AB245A">
            <w:pPr>
              <w:jc w:val="right"/>
              <w:rPr>
                <w:b/>
                <w:color w:val="333331"/>
                <w:szCs w:val="22"/>
                <w:lang w:eastAsia="nl-BE"/>
              </w:rPr>
            </w:pPr>
            <w:r w:rsidRPr="00456333">
              <w:rPr>
                <w:b/>
                <w:color w:val="333331"/>
                <w:sz w:val="22"/>
                <w:szCs w:val="22"/>
                <w:lang w:eastAsia="nl-BE"/>
              </w:rPr>
              <w:t>TOTAAL</w:t>
            </w:r>
            <w:r w:rsidR="005E1B24">
              <w:rPr>
                <w:b/>
                <w:color w:val="333331"/>
                <w:sz w:val="22"/>
                <w:szCs w:val="22"/>
                <w:lang w:eastAsia="nl-BE"/>
              </w:rPr>
              <w:t xml:space="preserve"> (b)</w:t>
            </w:r>
            <w:r w:rsidRPr="00456333">
              <w:rPr>
                <w:b/>
                <w:color w:val="333331"/>
                <w:sz w:val="22"/>
                <w:szCs w:val="22"/>
                <w:lang w:eastAsia="nl-BE"/>
              </w:rPr>
              <w:t>:</w:t>
            </w:r>
          </w:p>
        </w:tc>
        <w:tc>
          <w:tcPr>
            <w:tcW w:w="2517" w:type="dxa"/>
          </w:tcPr>
          <w:p w:rsidR="00BD60B5" w:rsidRPr="00456333" w:rsidRDefault="00A74EFC" w:rsidP="0077337E">
            <w:pPr>
              <w:jc w:val="right"/>
              <w:rPr>
                <w:b/>
                <w:color w:val="333331"/>
                <w:szCs w:val="22"/>
                <w:lang w:eastAsia="nl-BE"/>
              </w:rPr>
            </w:pPr>
            <w:r>
              <w:rPr>
                <w:b/>
                <w:color w:val="333331"/>
                <w:sz w:val="22"/>
                <w:szCs w:val="22"/>
                <w:lang w:eastAsia="nl-BE"/>
              </w:rPr>
              <w:t>15.321.786</w:t>
            </w:r>
          </w:p>
        </w:tc>
      </w:tr>
    </w:tbl>
    <w:p w:rsidR="00A74EFC" w:rsidRDefault="00A74EFC" w:rsidP="005E1B24">
      <w:pPr>
        <w:ind w:left="708" w:right="283" w:hanging="282"/>
        <w:rPr>
          <w:color w:val="333331"/>
          <w:sz w:val="22"/>
          <w:szCs w:val="22"/>
          <w:lang w:eastAsia="nl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2517"/>
      </w:tblGrid>
      <w:tr w:rsidR="005E1B24" w:rsidRPr="005E1B24" w:rsidTr="00F81D4E">
        <w:trPr>
          <w:trHeight w:val="85"/>
        </w:trPr>
        <w:tc>
          <w:tcPr>
            <w:tcW w:w="6237" w:type="dxa"/>
          </w:tcPr>
          <w:p w:rsidR="005E1B24" w:rsidRPr="005E1B24" w:rsidRDefault="005E1B24" w:rsidP="005E1B24">
            <w:pPr>
              <w:jc w:val="right"/>
              <w:rPr>
                <w:b/>
                <w:color w:val="333331"/>
                <w:szCs w:val="22"/>
                <w:lang w:eastAsia="nl-BE"/>
              </w:rPr>
            </w:pPr>
            <w:r w:rsidRPr="005E1B24">
              <w:rPr>
                <w:b/>
                <w:color w:val="333331"/>
                <w:sz w:val="22"/>
                <w:szCs w:val="22"/>
                <w:lang w:eastAsia="nl-BE"/>
              </w:rPr>
              <w:t>Over te dragen 2013</w:t>
            </w:r>
            <w:r>
              <w:rPr>
                <w:b/>
                <w:color w:val="333331"/>
                <w:sz w:val="22"/>
                <w:szCs w:val="22"/>
                <w:lang w:eastAsia="nl-BE"/>
              </w:rPr>
              <w:t xml:space="preserve"> (c)</w:t>
            </w:r>
            <w:r w:rsidRPr="005E1B24">
              <w:rPr>
                <w:b/>
                <w:color w:val="333331"/>
                <w:sz w:val="22"/>
                <w:szCs w:val="22"/>
                <w:lang w:eastAsia="nl-BE"/>
              </w:rPr>
              <w:t>:</w:t>
            </w:r>
          </w:p>
        </w:tc>
        <w:tc>
          <w:tcPr>
            <w:tcW w:w="2517" w:type="dxa"/>
          </w:tcPr>
          <w:p w:rsidR="005E1B24" w:rsidRPr="005E1B24" w:rsidRDefault="005E1B24" w:rsidP="00F81D4E">
            <w:pPr>
              <w:jc w:val="right"/>
              <w:rPr>
                <w:b/>
                <w:color w:val="333331"/>
                <w:szCs w:val="22"/>
                <w:lang w:eastAsia="nl-BE"/>
              </w:rPr>
            </w:pPr>
            <w:r w:rsidRPr="005E1B24">
              <w:rPr>
                <w:b/>
                <w:color w:val="333331"/>
                <w:sz w:val="22"/>
                <w:szCs w:val="22"/>
                <w:lang w:eastAsia="nl-BE"/>
              </w:rPr>
              <w:t>24.865.468</w:t>
            </w:r>
          </w:p>
        </w:tc>
      </w:tr>
    </w:tbl>
    <w:p w:rsidR="005E1B24" w:rsidRDefault="005E1B24" w:rsidP="005E1B24">
      <w:pPr>
        <w:ind w:left="708" w:right="283" w:hanging="282"/>
        <w:rPr>
          <w:color w:val="333331"/>
          <w:sz w:val="22"/>
          <w:szCs w:val="22"/>
          <w:lang w:eastAsia="nl-B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2517"/>
      </w:tblGrid>
      <w:tr w:rsidR="005E1B24" w:rsidRPr="005E1B24" w:rsidTr="00F81D4E">
        <w:trPr>
          <w:trHeight w:val="85"/>
        </w:trPr>
        <w:tc>
          <w:tcPr>
            <w:tcW w:w="6237" w:type="dxa"/>
          </w:tcPr>
          <w:p w:rsidR="005E1B24" w:rsidRPr="005E1B24" w:rsidRDefault="005E1B24" w:rsidP="005E1B24">
            <w:pPr>
              <w:jc w:val="right"/>
              <w:rPr>
                <w:b/>
                <w:color w:val="333331"/>
                <w:szCs w:val="22"/>
                <w:lang w:eastAsia="nl-BE"/>
              </w:rPr>
            </w:pPr>
            <w:r w:rsidRPr="00456333">
              <w:rPr>
                <w:b/>
                <w:color w:val="333331"/>
                <w:sz w:val="22"/>
                <w:szCs w:val="22"/>
                <w:lang w:eastAsia="nl-BE"/>
              </w:rPr>
              <w:t xml:space="preserve">TOTAAL </w:t>
            </w:r>
            <w:r>
              <w:rPr>
                <w:b/>
                <w:color w:val="333331"/>
                <w:sz w:val="22"/>
                <w:szCs w:val="22"/>
                <w:lang w:eastAsia="nl-BE"/>
              </w:rPr>
              <w:t>(</w:t>
            </w:r>
            <w:r w:rsidRPr="00456333">
              <w:rPr>
                <w:b/>
                <w:color w:val="333331"/>
                <w:sz w:val="22"/>
                <w:szCs w:val="22"/>
                <w:lang w:eastAsia="nl-BE"/>
              </w:rPr>
              <w:t xml:space="preserve">a) + </w:t>
            </w:r>
            <w:r>
              <w:rPr>
                <w:b/>
                <w:color w:val="333331"/>
                <w:sz w:val="22"/>
                <w:szCs w:val="22"/>
                <w:lang w:eastAsia="nl-BE"/>
              </w:rPr>
              <w:t>(</w:t>
            </w:r>
            <w:r w:rsidRPr="00456333">
              <w:rPr>
                <w:b/>
                <w:color w:val="333331"/>
                <w:sz w:val="22"/>
                <w:szCs w:val="22"/>
                <w:lang w:eastAsia="nl-BE"/>
              </w:rPr>
              <w:t xml:space="preserve">b) </w:t>
            </w:r>
            <w:r>
              <w:rPr>
                <w:b/>
                <w:color w:val="333331"/>
                <w:sz w:val="22"/>
                <w:szCs w:val="22"/>
                <w:lang w:eastAsia="nl-BE"/>
              </w:rPr>
              <w:t>+ (c)</w:t>
            </w:r>
            <w:r w:rsidRPr="005E1B24">
              <w:rPr>
                <w:b/>
                <w:color w:val="333331"/>
                <w:sz w:val="22"/>
                <w:szCs w:val="22"/>
                <w:lang w:eastAsia="nl-BE"/>
              </w:rPr>
              <w:t>:</w:t>
            </w:r>
          </w:p>
        </w:tc>
        <w:tc>
          <w:tcPr>
            <w:tcW w:w="2517" w:type="dxa"/>
          </w:tcPr>
          <w:p w:rsidR="005E1B24" w:rsidRPr="005E1B24" w:rsidRDefault="005E1B24" w:rsidP="00F81D4E">
            <w:pPr>
              <w:jc w:val="right"/>
              <w:rPr>
                <w:b/>
                <w:color w:val="333331"/>
                <w:szCs w:val="22"/>
                <w:lang w:eastAsia="nl-BE"/>
              </w:rPr>
            </w:pPr>
            <w:r>
              <w:rPr>
                <w:b/>
                <w:color w:val="333331"/>
                <w:sz w:val="22"/>
                <w:szCs w:val="22"/>
                <w:lang w:eastAsia="nl-BE"/>
              </w:rPr>
              <w:t>310.322.633</w:t>
            </w:r>
          </w:p>
        </w:tc>
      </w:tr>
    </w:tbl>
    <w:p w:rsidR="005E1B24" w:rsidRDefault="005E1B24" w:rsidP="003105B2">
      <w:pPr>
        <w:ind w:left="708" w:right="283" w:hanging="282"/>
        <w:rPr>
          <w:color w:val="333331"/>
          <w:sz w:val="22"/>
          <w:szCs w:val="22"/>
          <w:lang w:eastAsia="nl-BE"/>
        </w:rPr>
      </w:pPr>
    </w:p>
    <w:p w:rsidR="00B74F7E" w:rsidRDefault="003B7F2F" w:rsidP="004B116D">
      <w:pPr>
        <w:pStyle w:val="StandaardSV"/>
        <w:numPr>
          <w:ilvl w:val="0"/>
          <w:numId w:val="17"/>
        </w:numPr>
      </w:pPr>
      <w:r>
        <w:t>Overschotten</w:t>
      </w:r>
      <w:r w:rsidR="00DD4A95">
        <w:t xml:space="preserve"> op de budgetten van </w:t>
      </w:r>
      <w:r w:rsidR="00B74F7E">
        <w:t xml:space="preserve">verschillende instrumenten en steunmaatregelen van het </w:t>
      </w:r>
      <w:r w:rsidR="005E1B24">
        <w:t xml:space="preserve">IWT </w:t>
      </w:r>
      <w:r w:rsidR="00B74F7E">
        <w:t>d.d. 31</w:t>
      </w:r>
      <w:r w:rsidR="00C826F6">
        <w:t xml:space="preserve"> december </w:t>
      </w:r>
      <w:r w:rsidR="00B74F7E">
        <w:t>2012</w:t>
      </w:r>
      <w:r w:rsidR="005A4309">
        <w:t>:</w:t>
      </w:r>
    </w:p>
    <w:p w:rsidR="00AB245A" w:rsidRDefault="00AB245A" w:rsidP="004B116D">
      <w:pPr>
        <w:pStyle w:val="StandaardSV"/>
        <w:ind w:left="360"/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551"/>
      </w:tblGrid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Projecten bedrijven en samenwerkingsverbanden</w:t>
            </w:r>
          </w:p>
        </w:tc>
        <w:tc>
          <w:tcPr>
            <w:tcW w:w="2551" w:type="dxa"/>
            <w:noWrap/>
            <w:hideMark/>
          </w:tcPr>
          <w:p w:rsidR="00DC6C93" w:rsidRPr="00DD4A95" w:rsidRDefault="00DC6C93" w:rsidP="00DD4A95">
            <w:pPr>
              <w:pStyle w:val="StandaardSV"/>
              <w:jc w:val="right"/>
              <w:rPr>
                <w:bCs/>
                <w:iCs/>
              </w:rPr>
            </w:pPr>
            <w:r w:rsidRPr="00DD4A95">
              <w:rPr>
                <w:bCs/>
                <w:iCs/>
              </w:rPr>
              <w:t>€ 17.565.951,20</w:t>
            </w:r>
          </w:p>
        </w:tc>
      </w:tr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Acties op initiatief van de Vlaamse Regering</w:t>
            </w:r>
          </w:p>
        </w:tc>
        <w:tc>
          <w:tcPr>
            <w:tcW w:w="2551" w:type="dxa"/>
            <w:noWrap/>
            <w:hideMark/>
          </w:tcPr>
          <w:p w:rsidR="00DC6C93" w:rsidRPr="00DD4A95" w:rsidRDefault="00DC6C93" w:rsidP="00DD4A95">
            <w:pPr>
              <w:pStyle w:val="StandaardSV"/>
              <w:jc w:val="right"/>
              <w:rPr>
                <w:bCs/>
                <w:iCs/>
              </w:rPr>
            </w:pPr>
            <w:r w:rsidRPr="00DD4A95">
              <w:rPr>
                <w:bCs/>
                <w:iCs/>
              </w:rPr>
              <w:t>€ 9.331.526,34</w:t>
            </w:r>
          </w:p>
        </w:tc>
      </w:tr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E-Media</w:t>
            </w:r>
          </w:p>
        </w:tc>
        <w:tc>
          <w:tcPr>
            <w:tcW w:w="2551" w:type="dxa"/>
            <w:noWrap/>
            <w:hideMark/>
          </w:tcPr>
          <w:p w:rsidR="00DC6C93" w:rsidRPr="00DD4A95" w:rsidRDefault="00DC6C93" w:rsidP="00DD4A95">
            <w:pPr>
              <w:pStyle w:val="StandaardSV"/>
              <w:jc w:val="right"/>
              <w:rPr>
                <w:bCs/>
                <w:iCs/>
              </w:rPr>
            </w:pPr>
            <w:r w:rsidRPr="00DD4A95">
              <w:rPr>
                <w:bCs/>
                <w:iCs/>
              </w:rPr>
              <w:t>€ 678.819,68</w:t>
            </w:r>
          </w:p>
        </w:tc>
      </w:tr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Beurzen en Baekeland</w:t>
            </w:r>
          </w:p>
        </w:tc>
        <w:tc>
          <w:tcPr>
            <w:tcW w:w="2551" w:type="dxa"/>
            <w:noWrap/>
            <w:hideMark/>
          </w:tcPr>
          <w:p w:rsidR="00DC6C93" w:rsidRPr="00DD4A95" w:rsidRDefault="00DC6C93" w:rsidP="00DD4A95">
            <w:pPr>
              <w:pStyle w:val="StandaardSV"/>
              <w:jc w:val="right"/>
              <w:rPr>
                <w:bCs/>
                <w:iCs/>
              </w:rPr>
            </w:pPr>
            <w:r w:rsidRPr="00DD4A95">
              <w:rPr>
                <w:bCs/>
                <w:iCs/>
              </w:rPr>
              <w:t>€ 352.265,13</w:t>
            </w:r>
          </w:p>
        </w:tc>
      </w:tr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VIN-studieopdrachten</w:t>
            </w:r>
          </w:p>
        </w:tc>
        <w:tc>
          <w:tcPr>
            <w:tcW w:w="2551" w:type="dxa"/>
            <w:noWrap/>
            <w:hideMark/>
          </w:tcPr>
          <w:p w:rsidR="00DC6C93" w:rsidRPr="00DD4A95" w:rsidRDefault="00DC6C93" w:rsidP="00DD4A95">
            <w:pPr>
              <w:pStyle w:val="StandaardSV"/>
              <w:jc w:val="right"/>
              <w:rPr>
                <w:bCs/>
                <w:iCs/>
              </w:rPr>
            </w:pPr>
            <w:r w:rsidRPr="00DD4A95">
              <w:rPr>
                <w:bCs/>
                <w:iCs/>
              </w:rPr>
              <w:t>€ 82.083,68</w:t>
            </w:r>
          </w:p>
        </w:tc>
      </w:tr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VCP-werking</w:t>
            </w:r>
          </w:p>
        </w:tc>
        <w:tc>
          <w:tcPr>
            <w:tcW w:w="2551" w:type="dxa"/>
            <w:noWrap/>
            <w:hideMark/>
          </w:tcPr>
          <w:p w:rsidR="00DC6C93" w:rsidRPr="00DD4A95" w:rsidRDefault="00DC6C93" w:rsidP="00DD4A95">
            <w:pPr>
              <w:pStyle w:val="StandaardSV"/>
              <w:jc w:val="right"/>
              <w:rPr>
                <w:bCs/>
                <w:iCs/>
              </w:rPr>
            </w:pPr>
            <w:r w:rsidRPr="00DD4A95">
              <w:rPr>
                <w:bCs/>
                <w:iCs/>
              </w:rPr>
              <w:t>€ 54.950,43</w:t>
            </w:r>
          </w:p>
        </w:tc>
      </w:tr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Toegepast biomedisch onderzoek</w:t>
            </w:r>
          </w:p>
        </w:tc>
        <w:tc>
          <w:tcPr>
            <w:tcW w:w="2551" w:type="dxa"/>
            <w:noWrap/>
            <w:hideMark/>
          </w:tcPr>
          <w:p w:rsidR="00DC6C93" w:rsidRPr="00DD4A95" w:rsidRDefault="00DC6C93" w:rsidP="00DD4A95">
            <w:pPr>
              <w:pStyle w:val="StandaardSV"/>
              <w:jc w:val="right"/>
              <w:rPr>
                <w:bCs/>
                <w:iCs/>
              </w:rPr>
            </w:pPr>
            <w:r w:rsidRPr="00DD4A95">
              <w:rPr>
                <w:bCs/>
                <w:iCs/>
              </w:rPr>
              <w:t>€ 1.308.984,52</w:t>
            </w:r>
          </w:p>
        </w:tc>
      </w:tr>
    </w:tbl>
    <w:p w:rsidR="005E1B24" w:rsidRDefault="005E1B24">
      <w:pPr>
        <w:rPr>
          <w:sz w:val="22"/>
        </w:rPr>
      </w:pPr>
      <w:r>
        <w:br w:type="page"/>
      </w:r>
    </w:p>
    <w:p w:rsidR="00B74F7E" w:rsidRDefault="00DD4A95" w:rsidP="004B116D">
      <w:pPr>
        <w:pStyle w:val="StandaardSV"/>
        <w:ind w:left="426"/>
      </w:pPr>
      <w:r>
        <w:lastRenderedPageBreak/>
        <w:t xml:space="preserve">Tekorten op de budgetten van </w:t>
      </w:r>
      <w:r w:rsidR="00B74F7E" w:rsidRPr="00F5744D">
        <w:t xml:space="preserve">verschillende instrumenten en steunmaatregelen van het </w:t>
      </w:r>
      <w:r w:rsidR="005E1B24" w:rsidRPr="00F5744D">
        <w:t xml:space="preserve">IWT </w:t>
      </w:r>
      <w:r w:rsidR="00B74F7E" w:rsidRPr="00F5744D">
        <w:t>d.d. 31</w:t>
      </w:r>
      <w:r w:rsidR="00C826F6" w:rsidRPr="00F5744D">
        <w:t xml:space="preserve"> december </w:t>
      </w:r>
      <w:r w:rsidR="00B74F7E" w:rsidRPr="00F5744D">
        <w:t>2012</w:t>
      </w:r>
      <w:r w:rsidR="005A4309">
        <w:t>:</w:t>
      </w:r>
    </w:p>
    <w:p w:rsidR="00DD4A95" w:rsidRPr="00F5744D" w:rsidRDefault="00DD4A95" w:rsidP="004B116D">
      <w:pPr>
        <w:pStyle w:val="StandaardSV"/>
        <w:ind w:left="426"/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551"/>
      </w:tblGrid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Landbouwonderzoek</w:t>
            </w:r>
          </w:p>
        </w:tc>
        <w:tc>
          <w:tcPr>
            <w:tcW w:w="2551" w:type="dxa"/>
            <w:noWrap/>
            <w:hideMark/>
          </w:tcPr>
          <w:p w:rsidR="00DC6C93" w:rsidRPr="00476061" w:rsidRDefault="00DC6C93" w:rsidP="003B7F2F">
            <w:pPr>
              <w:pStyle w:val="StandaardSV"/>
              <w:jc w:val="right"/>
              <w:rPr>
                <w:bCs/>
                <w:i/>
                <w:iCs/>
              </w:rPr>
            </w:pPr>
            <w:r w:rsidRPr="00476061">
              <w:rPr>
                <w:bCs/>
                <w:i/>
                <w:iCs/>
              </w:rPr>
              <w:t>-€ 505.933,54</w:t>
            </w:r>
          </w:p>
        </w:tc>
      </w:tr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TETRA</w:t>
            </w:r>
          </w:p>
        </w:tc>
        <w:tc>
          <w:tcPr>
            <w:tcW w:w="2551" w:type="dxa"/>
            <w:noWrap/>
            <w:hideMark/>
          </w:tcPr>
          <w:p w:rsidR="00DC6C93" w:rsidRPr="00476061" w:rsidRDefault="00DC6C93" w:rsidP="003B7F2F">
            <w:pPr>
              <w:pStyle w:val="StandaardSV"/>
              <w:jc w:val="right"/>
              <w:rPr>
                <w:bCs/>
                <w:i/>
                <w:iCs/>
              </w:rPr>
            </w:pPr>
            <w:r w:rsidRPr="00476061">
              <w:rPr>
                <w:bCs/>
                <w:i/>
                <w:iCs/>
              </w:rPr>
              <w:t>-€ 69.452,99</w:t>
            </w:r>
          </w:p>
        </w:tc>
      </w:tr>
      <w:tr w:rsidR="00DC6C93" w:rsidRPr="00F5744D" w:rsidTr="00DD4A95">
        <w:trPr>
          <w:trHeight w:val="300"/>
        </w:trPr>
        <w:tc>
          <w:tcPr>
            <w:tcW w:w="6237" w:type="dxa"/>
            <w:noWrap/>
            <w:hideMark/>
          </w:tcPr>
          <w:p w:rsidR="00DC6C93" w:rsidRPr="00F5744D" w:rsidRDefault="00DC6C93" w:rsidP="00DC6C93">
            <w:pPr>
              <w:pStyle w:val="StandaardSV"/>
            </w:pPr>
            <w:r w:rsidRPr="00F5744D">
              <w:t>Strategisch Basisonderzoek</w:t>
            </w:r>
          </w:p>
        </w:tc>
        <w:tc>
          <w:tcPr>
            <w:tcW w:w="2551" w:type="dxa"/>
            <w:noWrap/>
            <w:hideMark/>
          </w:tcPr>
          <w:p w:rsidR="00DC6C93" w:rsidRPr="00476061" w:rsidRDefault="00DC6C93" w:rsidP="003B7F2F">
            <w:pPr>
              <w:pStyle w:val="StandaardSV"/>
              <w:jc w:val="right"/>
              <w:rPr>
                <w:bCs/>
                <w:i/>
                <w:iCs/>
              </w:rPr>
            </w:pPr>
            <w:r w:rsidRPr="00476061">
              <w:rPr>
                <w:bCs/>
                <w:i/>
                <w:iCs/>
              </w:rPr>
              <w:t>-€ 4.589.056,45</w:t>
            </w:r>
          </w:p>
        </w:tc>
      </w:tr>
    </w:tbl>
    <w:p w:rsidR="00DC6C93" w:rsidRDefault="00DC6C93" w:rsidP="003105B2">
      <w:pPr>
        <w:pStyle w:val="StandaardSV"/>
        <w:ind w:left="426"/>
        <w:jc w:val="left"/>
      </w:pPr>
    </w:p>
    <w:p w:rsidR="00DC6C93" w:rsidRDefault="005E1B24" w:rsidP="004B116D">
      <w:pPr>
        <w:pStyle w:val="StandaardSV"/>
        <w:ind w:left="426"/>
      </w:pPr>
      <w:r>
        <w:t xml:space="preserve">Het IWT heeft heel wat klanten aangeschreven teneinde de tijdige indiening van de verslaggeving (inhoudelijk verslag, verantwoordingsstukken voor verificatie, …) te bekomen. </w:t>
      </w:r>
      <w:r w:rsidR="00CC462E">
        <w:t>Door de invoering van het rekendecreet is het immers de ontvangst van het verslag of verantwoordingsstuk d</w:t>
      </w:r>
      <w:r w:rsidR="000E6EE2">
        <w:t>ie</w:t>
      </w:r>
      <w:r w:rsidR="00CC462E">
        <w:t xml:space="preserve"> bepaalt of een betaling werd aangerekend op 2012.</w:t>
      </w:r>
    </w:p>
    <w:p w:rsidR="00DC6C93" w:rsidRDefault="00DC6C93" w:rsidP="004B116D">
      <w:pPr>
        <w:pStyle w:val="StandaardSV"/>
        <w:ind w:left="426"/>
      </w:pPr>
    </w:p>
    <w:p w:rsidR="00773A0A" w:rsidRDefault="00773A0A" w:rsidP="004B116D">
      <w:pPr>
        <w:pStyle w:val="StandaardSV"/>
        <w:ind w:left="426"/>
      </w:pPr>
      <w:r>
        <w:t xml:space="preserve">Het al dan niet betalen heeft geen invloed op de aanrekening op begrotingsjaar 2012. </w:t>
      </w:r>
    </w:p>
    <w:p w:rsidR="000E6EE2" w:rsidRDefault="000E6EE2" w:rsidP="004B116D">
      <w:pPr>
        <w:pStyle w:val="StandaardSV"/>
        <w:ind w:left="426"/>
      </w:pPr>
    </w:p>
    <w:p w:rsidR="00891DE5" w:rsidRDefault="00773A0A" w:rsidP="004B116D">
      <w:pPr>
        <w:pStyle w:val="StandaardSV"/>
        <w:ind w:left="426"/>
      </w:pPr>
      <w:r>
        <w:t>Het IWT heeft zich gehouden aan de contractu</w:t>
      </w:r>
      <w:r w:rsidR="00891DE5">
        <w:t>ele termijnen met de klanten. Er vond geen vervroegde uitbetaling plaats t.o.v. de contractuele verplichtingen.</w:t>
      </w:r>
    </w:p>
    <w:p w:rsidR="00CC462E" w:rsidRDefault="00891DE5" w:rsidP="004B116D">
      <w:pPr>
        <w:pStyle w:val="StandaardSV"/>
        <w:ind w:left="426"/>
      </w:pPr>
      <w:r>
        <w:t>Indien de verantwoordingsstukken voor betaalschijven werden ontvangen, werd de betaling aangerekend op 2012.</w:t>
      </w:r>
    </w:p>
    <w:p w:rsidR="00B74F7E" w:rsidRDefault="00B74F7E" w:rsidP="004B116D">
      <w:pPr>
        <w:pStyle w:val="StandaardSV"/>
        <w:ind w:left="360"/>
      </w:pPr>
    </w:p>
    <w:p w:rsidR="00B74F7E" w:rsidRPr="003B7F2F" w:rsidRDefault="003B7F2F" w:rsidP="004B116D">
      <w:pPr>
        <w:pStyle w:val="StandaardSV"/>
        <w:numPr>
          <w:ilvl w:val="0"/>
          <w:numId w:val="17"/>
        </w:numPr>
      </w:pPr>
      <w:r>
        <w:t xml:space="preserve">Zie </w:t>
      </w:r>
      <w:r w:rsidR="005E1B24">
        <w:t xml:space="preserve">het </w:t>
      </w:r>
      <w:r>
        <w:t xml:space="preserve">antwoord op </w:t>
      </w:r>
      <w:r w:rsidR="005E1B24">
        <w:t>deel</w:t>
      </w:r>
      <w:r>
        <w:t>vraag 2.</w:t>
      </w:r>
    </w:p>
    <w:sectPr w:rsidR="00B74F7E" w:rsidRPr="003B7F2F" w:rsidSect="00C818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1321885"/>
    <w:multiLevelType w:val="hybridMultilevel"/>
    <w:tmpl w:val="E41210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B6397"/>
    <w:multiLevelType w:val="hybridMultilevel"/>
    <w:tmpl w:val="EA74E444"/>
    <w:lvl w:ilvl="0" w:tplc="3AC64F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356C64"/>
    <w:multiLevelType w:val="hybridMultilevel"/>
    <w:tmpl w:val="140443FC"/>
    <w:lvl w:ilvl="0" w:tplc="7A50E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116E98"/>
    <w:multiLevelType w:val="hybridMultilevel"/>
    <w:tmpl w:val="DFC4EF82"/>
    <w:lvl w:ilvl="0" w:tplc="90B61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68658A"/>
    <w:multiLevelType w:val="hybridMultilevel"/>
    <w:tmpl w:val="67A49E1E"/>
    <w:lvl w:ilvl="0" w:tplc="7A50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F4675"/>
    <w:multiLevelType w:val="hybridMultilevel"/>
    <w:tmpl w:val="6B007E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40162"/>
    <w:multiLevelType w:val="hybridMultilevel"/>
    <w:tmpl w:val="B484D0B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B7796"/>
    <w:multiLevelType w:val="hybridMultilevel"/>
    <w:tmpl w:val="0526C7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F7A66"/>
    <w:multiLevelType w:val="hybridMultilevel"/>
    <w:tmpl w:val="1048F04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1"/>
  </w:num>
  <w:num w:numId="15">
    <w:abstractNumId w:val="20"/>
  </w:num>
  <w:num w:numId="16">
    <w:abstractNumId w:val="18"/>
  </w:num>
  <w:num w:numId="17">
    <w:abstractNumId w:val="5"/>
  </w:num>
  <w:num w:numId="18">
    <w:abstractNumId w:val="9"/>
  </w:num>
  <w:num w:numId="19">
    <w:abstractNumId w:val="17"/>
  </w:num>
  <w:num w:numId="20">
    <w:abstractNumId w:val="16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41198"/>
    <w:rsid w:val="000464A2"/>
    <w:rsid w:val="00070064"/>
    <w:rsid w:val="00071DA4"/>
    <w:rsid w:val="00080040"/>
    <w:rsid w:val="000E6EE2"/>
    <w:rsid w:val="00112982"/>
    <w:rsid w:val="00171F2E"/>
    <w:rsid w:val="00187BFC"/>
    <w:rsid w:val="001B30C6"/>
    <w:rsid w:val="001E4BBA"/>
    <w:rsid w:val="003105B2"/>
    <w:rsid w:val="00343A8F"/>
    <w:rsid w:val="003B7F2F"/>
    <w:rsid w:val="00427E2D"/>
    <w:rsid w:val="0043023D"/>
    <w:rsid w:val="004323ED"/>
    <w:rsid w:val="00476061"/>
    <w:rsid w:val="00477B61"/>
    <w:rsid w:val="004B116D"/>
    <w:rsid w:val="004D7979"/>
    <w:rsid w:val="005051B9"/>
    <w:rsid w:val="005A0D53"/>
    <w:rsid w:val="005A4309"/>
    <w:rsid w:val="005E1B24"/>
    <w:rsid w:val="00667CE6"/>
    <w:rsid w:val="00693743"/>
    <w:rsid w:val="006F29F5"/>
    <w:rsid w:val="006F49EA"/>
    <w:rsid w:val="0077337E"/>
    <w:rsid w:val="00773A0A"/>
    <w:rsid w:val="00776DA5"/>
    <w:rsid w:val="0078435B"/>
    <w:rsid w:val="007A7738"/>
    <w:rsid w:val="007E2BBA"/>
    <w:rsid w:val="0083747B"/>
    <w:rsid w:val="00842F2E"/>
    <w:rsid w:val="00844521"/>
    <w:rsid w:val="00891DE5"/>
    <w:rsid w:val="00941198"/>
    <w:rsid w:val="009864CE"/>
    <w:rsid w:val="009C170D"/>
    <w:rsid w:val="009C33A0"/>
    <w:rsid w:val="009F10A6"/>
    <w:rsid w:val="00A74EFC"/>
    <w:rsid w:val="00A93EBF"/>
    <w:rsid w:val="00AB245A"/>
    <w:rsid w:val="00AD78E8"/>
    <w:rsid w:val="00B03132"/>
    <w:rsid w:val="00B6547D"/>
    <w:rsid w:val="00B74F7E"/>
    <w:rsid w:val="00BC2C95"/>
    <w:rsid w:val="00BD07FB"/>
    <w:rsid w:val="00BD60B5"/>
    <w:rsid w:val="00C75C7E"/>
    <w:rsid w:val="00C818C6"/>
    <w:rsid w:val="00C826F6"/>
    <w:rsid w:val="00CB2006"/>
    <w:rsid w:val="00CC462E"/>
    <w:rsid w:val="00CC63C8"/>
    <w:rsid w:val="00CF4E65"/>
    <w:rsid w:val="00DC6C93"/>
    <w:rsid w:val="00DD4A95"/>
    <w:rsid w:val="00DF6517"/>
    <w:rsid w:val="00E16460"/>
    <w:rsid w:val="00E942BA"/>
    <w:rsid w:val="00EF296F"/>
    <w:rsid w:val="00F52CAF"/>
    <w:rsid w:val="00F5744D"/>
    <w:rsid w:val="00FC1093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818C6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C818C6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C818C6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C818C6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C818C6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C818C6"/>
  </w:style>
  <w:style w:type="paragraph" w:styleId="Inhopg1">
    <w:name w:val="toc 1"/>
    <w:basedOn w:val="Standaard"/>
    <w:next w:val="Standaard"/>
    <w:autoRedefine/>
    <w:semiHidden/>
    <w:rsid w:val="00C818C6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C818C6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C818C6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C818C6"/>
    <w:pPr>
      <w:jc w:val="both"/>
    </w:pPr>
    <w:rPr>
      <w:i/>
      <w:sz w:val="22"/>
    </w:rPr>
  </w:style>
  <w:style w:type="paragraph" w:styleId="Ballontekst">
    <w:name w:val="Balloon Text"/>
    <w:basedOn w:val="Standaard"/>
    <w:link w:val="BallontekstChar"/>
    <w:rsid w:val="00C826F6"/>
    <w:rPr>
      <w:rFonts w:ascii="Tahoma" w:hAnsi="Tahoma"/>
      <w:sz w:val="16"/>
      <w:szCs w:val="16"/>
    </w:rPr>
  </w:style>
  <w:style w:type="paragraph" w:customStyle="1" w:styleId="SVVlaamsParlement">
    <w:name w:val="SV Vlaams Parlement"/>
    <w:basedOn w:val="Standaard"/>
    <w:rsid w:val="00C818C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818C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818C6"/>
    <w:pPr>
      <w:jc w:val="both"/>
    </w:pPr>
    <w:rPr>
      <w:sz w:val="22"/>
    </w:rPr>
  </w:style>
  <w:style w:type="character" w:customStyle="1" w:styleId="BallontekstChar">
    <w:name w:val="Ballontekst Char"/>
    <w:link w:val="Ballontekst"/>
    <w:rsid w:val="00C826F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D60B5"/>
    <w:pPr>
      <w:ind w:left="720"/>
      <w:contextualSpacing/>
    </w:pPr>
  </w:style>
  <w:style w:type="table" w:styleId="Tabelraster">
    <w:name w:val="Table Grid"/>
    <w:basedOn w:val="Standaardtabel"/>
    <w:rsid w:val="00DC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Ballontekst">
    <w:name w:val="Balloon Text"/>
    <w:basedOn w:val="Standaard"/>
    <w:link w:val="BallontekstChar"/>
    <w:rsid w:val="00C826F6"/>
    <w:rPr>
      <w:rFonts w:ascii="Tahoma" w:hAnsi="Tahoma"/>
      <w:sz w:val="16"/>
      <w:szCs w:val="16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character" w:customStyle="1" w:styleId="BallontekstChar">
    <w:name w:val="Ballontekst Char"/>
    <w:link w:val="Ballontekst"/>
    <w:rsid w:val="00C826F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D60B5"/>
    <w:pPr>
      <w:ind w:left="720"/>
      <w:contextualSpacing/>
    </w:pPr>
  </w:style>
  <w:style w:type="table" w:styleId="Tabelraster">
    <w:name w:val="Table Grid"/>
    <w:basedOn w:val="Standaardtabel"/>
    <w:rsid w:val="00DC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3570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Vlaams Parlement</cp:lastModifiedBy>
  <cp:revision>2</cp:revision>
  <cp:lastPrinted>2013-02-22T12:42:00Z</cp:lastPrinted>
  <dcterms:created xsi:type="dcterms:W3CDTF">2013-02-22T12:43:00Z</dcterms:created>
  <dcterms:modified xsi:type="dcterms:W3CDTF">2013-02-22T12:43:00Z</dcterms:modified>
</cp:coreProperties>
</file>