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Pr="00EB78CA" w:rsidRDefault="00045E43" w:rsidP="00045E43">
      <w:pPr>
        <w:rPr>
          <w:b/>
          <w:smallCaps/>
          <w:sz w:val="22"/>
          <w:szCs w:val="22"/>
        </w:rPr>
      </w:pPr>
      <w:r w:rsidRPr="00EB78CA">
        <w:rPr>
          <w:b/>
          <w:smallCaps/>
          <w:sz w:val="22"/>
          <w:szCs w:val="22"/>
        </w:rPr>
        <w:t>antwoord</w:t>
      </w:r>
    </w:p>
    <w:p w:rsidR="00045E43" w:rsidRPr="00EB78CA" w:rsidRDefault="00045E43" w:rsidP="00045E43">
      <w:pPr>
        <w:rPr>
          <w:sz w:val="22"/>
          <w:szCs w:val="22"/>
        </w:rPr>
      </w:pPr>
      <w:r w:rsidRPr="00EB78CA">
        <w:rPr>
          <w:sz w:val="22"/>
          <w:szCs w:val="22"/>
        </w:rPr>
        <w:t xml:space="preserve">op vraag nr. </w:t>
      </w:r>
      <w:r w:rsidR="00A55DD8">
        <w:rPr>
          <w:sz w:val="22"/>
        </w:rPr>
        <w:t>220</w:t>
      </w:r>
      <w:r w:rsidRPr="00EB78CA">
        <w:rPr>
          <w:sz w:val="22"/>
          <w:szCs w:val="22"/>
        </w:rPr>
        <w:t xml:space="preserve"> van </w:t>
      </w:r>
      <w:r w:rsidR="00A55DD8">
        <w:rPr>
          <w:sz w:val="22"/>
        </w:rPr>
        <w:t>22 januari 2013</w:t>
      </w:r>
    </w:p>
    <w:p w:rsidR="005431C7" w:rsidRDefault="00045E43" w:rsidP="00045E43">
      <w:pPr>
        <w:rPr>
          <w:sz w:val="22"/>
        </w:rPr>
      </w:pPr>
      <w:r w:rsidRPr="00EB78CA">
        <w:rPr>
          <w:sz w:val="22"/>
          <w:szCs w:val="22"/>
        </w:rPr>
        <w:t xml:space="preserve">van </w:t>
      </w:r>
      <w:r w:rsidR="00A55DD8">
        <w:rPr>
          <w:b/>
          <w:smallCaps/>
          <w:sz w:val="22"/>
        </w:rPr>
        <w:t>robrecht bothuyne</w:t>
      </w:r>
    </w:p>
    <w:p w:rsidR="005431C7" w:rsidRDefault="005431C7" w:rsidP="009976C1">
      <w:pPr>
        <w:pBdr>
          <w:bottom w:val="single" w:sz="4" w:space="1" w:color="auto"/>
        </w:pBdr>
        <w:jc w:val="both"/>
        <w:rPr>
          <w:sz w:val="22"/>
        </w:rPr>
      </w:pPr>
    </w:p>
    <w:p w:rsidR="005431C7" w:rsidRDefault="005431C7" w:rsidP="00380610">
      <w:pPr>
        <w:rPr>
          <w:sz w:val="22"/>
          <w:szCs w:val="22"/>
        </w:rPr>
      </w:pPr>
    </w:p>
    <w:p w:rsidR="00A55DD8" w:rsidRDefault="00A55DD8" w:rsidP="00380610">
      <w:pPr>
        <w:rPr>
          <w:sz w:val="22"/>
          <w:szCs w:val="22"/>
        </w:rPr>
      </w:pPr>
    </w:p>
    <w:p w:rsidR="00A55DD8" w:rsidRPr="00A55DD8" w:rsidRDefault="00A55DD8" w:rsidP="006D221A">
      <w:pPr>
        <w:pStyle w:val="Lijstalinea"/>
        <w:numPr>
          <w:ilvl w:val="0"/>
          <w:numId w:val="6"/>
        </w:numPr>
        <w:jc w:val="both"/>
        <w:rPr>
          <w:sz w:val="22"/>
          <w:szCs w:val="22"/>
        </w:rPr>
      </w:pPr>
      <w:r w:rsidRPr="00A55DD8">
        <w:rPr>
          <w:sz w:val="22"/>
          <w:szCs w:val="22"/>
        </w:rPr>
        <w:t>In onderstaande tabel vindt u een overzicht van het aantal opnames in de Inventaris voor leegstand en/of verwaarlozing in 2012.</w:t>
      </w:r>
    </w:p>
    <w:p w:rsidR="008C4319" w:rsidRDefault="008C4319" w:rsidP="00380610">
      <w:pPr>
        <w:pStyle w:val="StandaardSV"/>
        <w:jc w:val="left"/>
      </w:pPr>
    </w:p>
    <w:tbl>
      <w:tblPr>
        <w:tblStyle w:val="Tabelraster"/>
        <w:tblW w:w="6979" w:type="dxa"/>
        <w:tblInd w:w="534" w:type="dxa"/>
        <w:tblLook w:val="04A0" w:firstRow="1" w:lastRow="0" w:firstColumn="1" w:lastColumn="0" w:noHBand="0" w:noVBand="1"/>
      </w:tblPr>
      <w:tblGrid>
        <w:gridCol w:w="1716"/>
        <w:gridCol w:w="1700"/>
        <w:gridCol w:w="1663"/>
        <w:gridCol w:w="1900"/>
      </w:tblGrid>
      <w:tr w:rsidR="00A55DD8" w:rsidRPr="00A55DD8" w:rsidTr="00A55DD8">
        <w:tc>
          <w:tcPr>
            <w:tcW w:w="1716" w:type="dxa"/>
          </w:tcPr>
          <w:p w:rsidR="00A55DD8" w:rsidRPr="00A55DD8" w:rsidRDefault="00A55DD8" w:rsidP="008C4319">
            <w:pPr>
              <w:pStyle w:val="StandaardSV"/>
              <w:rPr>
                <w:b/>
                <w:sz w:val="20"/>
              </w:rPr>
            </w:pPr>
            <w:r w:rsidRPr="00A55DD8">
              <w:rPr>
                <w:b/>
                <w:sz w:val="20"/>
              </w:rPr>
              <w:t>Provincie</w:t>
            </w:r>
          </w:p>
        </w:tc>
        <w:tc>
          <w:tcPr>
            <w:tcW w:w="1700" w:type="dxa"/>
          </w:tcPr>
          <w:p w:rsidR="00A55DD8" w:rsidRPr="00A55DD8" w:rsidRDefault="00A55DD8" w:rsidP="00666A93">
            <w:pPr>
              <w:pStyle w:val="StandaardSV"/>
              <w:jc w:val="right"/>
              <w:rPr>
                <w:b/>
                <w:sz w:val="20"/>
              </w:rPr>
            </w:pPr>
            <w:r w:rsidRPr="00A55DD8">
              <w:rPr>
                <w:b/>
                <w:sz w:val="20"/>
              </w:rPr>
              <w:t>Aantal opnames</w:t>
            </w:r>
          </w:p>
        </w:tc>
        <w:tc>
          <w:tcPr>
            <w:tcW w:w="1663" w:type="dxa"/>
          </w:tcPr>
          <w:p w:rsidR="00A55DD8" w:rsidRDefault="00A55DD8" w:rsidP="00666A93">
            <w:pPr>
              <w:pStyle w:val="StandaardSV"/>
              <w:jc w:val="right"/>
              <w:rPr>
                <w:b/>
                <w:sz w:val="20"/>
              </w:rPr>
            </w:pPr>
            <w:r w:rsidRPr="00A55DD8">
              <w:rPr>
                <w:b/>
                <w:sz w:val="20"/>
              </w:rPr>
              <w:t>Aantal dossiers</w:t>
            </w:r>
          </w:p>
          <w:p w:rsidR="00A55DD8" w:rsidRDefault="00A55DD8" w:rsidP="00666A93">
            <w:pPr>
              <w:pStyle w:val="StandaardSV"/>
              <w:jc w:val="right"/>
              <w:rPr>
                <w:b/>
                <w:sz w:val="20"/>
              </w:rPr>
            </w:pPr>
            <w:r w:rsidRPr="00A55DD8">
              <w:rPr>
                <w:b/>
                <w:sz w:val="20"/>
              </w:rPr>
              <w:t>met kenmerken</w:t>
            </w:r>
          </w:p>
          <w:p w:rsidR="00A55DD8" w:rsidRPr="00A55DD8" w:rsidRDefault="00A55DD8" w:rsidP="00666A93">
            <w:pPr>
              <w:pStyle w:val="StandaardSV"/>
              <w:jc w:val="right"/>
              <w:rPr>
                <w:b/>
                <w:sz w:val="20"/>
              </w:rPr>
            </w:pPr>
            <w:r w:rsidRPr="00A55DD8">
              <w:rPr>
                <w:b/>
                <w:sz w:val="20"/>
              </w:rPr>
              <w:t>van leegstand</w:t>
            </w:r>
          </w:p>
        </w:tc>
        <w:tc>
          <w:tcPr>
            <w:tcW w:w="1900" w:type="dxa"/>
          </w:tcPr>
          <w:p w:rsidR="00A55DD8" w:rsidRDefault="00A55DD8" w:rsidP="00666A93">
            <w:pPr>
              <w:pStyle w:val="StandaardSV"/>
              <w:jc w:val="right"/>
              <w:rPr>
                <w:b/>
                <w:sz w:val="20"/>
              </w:rPr>
            </w:pPr>
            <w:r w:rsidRPr="00A55DD8">
              <w:rPr>
                <w:b/>
                <w:sz w:val="20"/>
              </w:rPr>
              <w:t>Aantal dossiers</w:t>
            </w:r>
          </w:p>
          <w:p w:rsidR="00A55DD8" w:rsidRDefault="00A55DD8" w:rsidP="00666A93">
            <w:pPr>
              <w:pStyle w:val="StandaardSV"/>
              <w:jc w:val="right"/>
              <w:rPr>
                <w:b/>
                <w:sz w:val="20"/>
              </w:rPr>
            </w:pPr>
            <w:r w:rsidRPr="00A55DD8">
              <w:rPr>
                <w:b/>
                <w:sz w:val="20"/>
              </w:rPr>
              <w:t>met kenmerken</w:t>
            </w:r>
          </w:p>
          <w:p w:rsidR="00A55DD8" w:rsidRPr="00A55DD8" w:rsidRDefault="00A55DD8" w:rsidP="00666A93">
            <w:pPr>
              <w:pStyle w:val="StandaardSV"/>
              <w:jc w:val="right"/>
              <w:rPr>
                <w:b/>
                <w:sz w:val="20"/>
              </w:rPr>
            </w:pPr>
            <w:r w:rsidRPr="00A55DD8">
              <w:rPr>
                <w:b/>
                <w:sz w:val="20"/>
              </w:rPr>
              <w:t>van verwaarlozing</w:t>
            </w:r>
          </w:p>
        </w:tc>
      </w:tr>
      <w:tr w:rsidR="00A55DD8" w:rsidRPr="00A55DD8" w:rsidTr="00A55DD8">
        <w:tc>
          <w:tcPr>
            <w:tcW w:w="1716" w:type="dxa"/>
          </w:tcPr>
          <w:p w:rsidR="00A55DD8" w:rsidRPr="00A55DD8" w:rsidRDefault="00A55DD8" w:rsidP="006346C7">
            <w:pPr>
              <w:pStyle w:val="StandaardSV"/>
              <w:rPr>
                <w:sz w:val="20"/>
              </w:rPr>
            </w:pPr>
            <w:r w:rsidRPr="00A55DD8">
              <w:rPr>
                <w:sz w:val="20"/>
              </w:rPr>
              <w:t>Antwerpen</w:t>
            </w:r>
          </w:p>
        </w:tc>
        <w:tc>
          <w:tcPr>
            <w:tcW w:w="1700" w:type="dxa"/>
          </w:tcPr>
          <w:p w:rsidR="00A55DD8" w:rsidRPr="00A55DD8" w:rsidRDefault="00A55DD8" w:rsidP="00666A93">
            <w:pPr>
              <w:pStyle w:val="StandaardSV"/>
              <w:jc w:val="right"/>
              <w:rPr>
                <w:sz w:val="20"/>
              </w:rPr>
            </w:pPr>
            <w:r w:rsidRPr="00A55DD8">
              <w:rPr>
                <w:sz w:val="20"/>
              </w:rPr>
              <w:t>670</w:t>
            </w:r>
          </w:p>
        </w:tc>
        <w:tc>
          <w:tcPr>
            <w:tcW w:w="1663" w:type="dxa"/>
          </w:tcPr>
          <w:p w:rsidR="00A55DD8" w:rsidRPr="00A55DD8" w:rsidRDefault="00A55DD8" w:rsidP="00666A93">
            <w:pPr>
              <w:pStyle w:val="StandaardSV"/>
              <w:jc w:val="right"/>
              <w:rPr>
                <w:sz w:val="20"/>
              </w:rPr>
            </w:pPr>
            <w:r w:rsidRPr="00A55DD8">
              <w:rPr>
                <w:sz w:val="20"/>
              </w:rPr>
              <w:t>587</w:t>
            </w:r>
          </w:p>
        </w:tc>
        <w:tc>
          <w:tcPr>
            <w:tcW w:w="1900" w:type="dxa"/>
          </w:tcPr>
          <w:p w:rsidR="00A55DD8" w:rsidRPr="00A55DD8" w:rsidRDefault="00A55DD8" w:rsidP="00666A93">
            <w:pPr>
              <w:pStyle w:val="StandaardSV"/>
              <w:jc w:val="right"/>
              <w:rPr>
                <w:sz w:val="20"/>
              </w:rPr>
            </w:pPr>
            <w:r w:rsidRPr="00A55DD8">
              <w:rPr>
                <w:sz w:val="20"/>
              </w:rPr>
              <w:t>354</w:t>
            </w:r>
          </w:p>
        </w:tc>
      </w:tr>
      <w:tr w:rsidR="00A55DD8" w:rsidRPr="00A55DD8" w:rsidTr="00A55DD8">
        <w:tc>
          <w:tcPr>
            <w:tcW w:w="1716" w:type="dxa"/>
          </w:tcPr>
          <w:p w:rsidR="00A55DD8" w:rsidRPr="00A55DD8" w:rsidRDefault="00A55DD8" w:rsidP="006346C7">
            <w:pPr>
              <w:pStyle w:val="StandaardSV"/>
              <w:rPr>
                <w:sz w:val="20"/>
              </w:rPr>
            </w:pPr>
            <w:r w:rsidRPr="00A55DD8">
              <w:rPr>
                <w:sz w:val="20"/>
              </w:rPr>
              <w:t>Vlaams-Brabant</w:t>
            </w:r>
          </w:p>
        </w:tc>
        <w:tc>
          <w:tcPr>
            <w:tcW w:w="1700" w:type="dxa"/>
          </w:tcPr>
          <w:p w:rsidR="00A55DD8" w:rsidRPr="00A55DD8" w:rsidRDefault="00A55DD8" w:rsidP="00666A93">
            <w:pPr>
              <w:pStyle w:val="StandaardSV"/>
              <w:jc w:val="right"/>
              <w:rPr>
                <w:sz w:val="20"/>
              </w:rPr>
            </w:pPr>
            <w:r w:rsidRPr="00A55DD8">
              <w:rPr>
                <w:sz w:val="20"/>
              </w:rPr>
              <w:t>271</w:t>
            </w:r>
          </w:p>
        </w:tc>
        <w:tc>
          <w:tcPr>
            <w:tcW w:w="1663" w:type="dxa"/>
          </w:tcPr>
          <w:p w:rsidR="00A55DD8" w:rsidRPr="00A55DD8" w:rsidRDefault="00A55DD8" w:rsidP="00666A93">
            <w:pPr>
              <w:pStyle w:val="StandaardSV"/>
              <w:jc w:val="right"/>
              <w:rPr>
                <w:sz w:val="20"/>
              </w:rPr>
            </w:pPr>
            <w:r w:rsidRPr="00A55DD8">
              <w:rPr>
                <w:sz w:val="20"/>
              </w:rPr>
              <w:t>244</w:t>
            </w:r>
          </w:p>
        </w:tc>
        <w:tc>
          <w:tcPr>
            <w:tcW w:w="1900" w:type="dxa"/>
          </w:tcPr>
          <w:p w:rsidR="00A55DD8" w:rsidRPr="00A55DD8" w:rsidRDefault="00A55DD8" w:rsidP="00666A93">
            <w:pPr>
              <w:pStyle w:val="StandaardSV"/>
              <w:jc w:val="right"/>
              <w:rPr>
                <w:sz w:val="20"/>
              </w:rPr>
            </w:pPr>
            <w:r w:rsidRPr="00A55DD8">
              <w:rPr>
                <w:sz w:val="20"/>
              </w:rPr>
              <w:t>86</w:t>
            </w:r>
          </w:p>
        </w:tc>
      </w:tr>
      <w:tr w:rsidR="00A55DD8" w:rsidRPr="00A55DD8" w:rsidTr="00A55DD8">
        <w:tc>
          <w:tcPr>
            <w:tcW w:w="1716" w:type="dxa"/>
          </w:tcPr>
          <w:p w:rsidR="00A55DD8" w:rsidRPr="00A55DD8" w:rsidRDefault="00A55DD8" w:rsidP="006346C7">
            <w:pPr>
              <w:pStyle w:val="StandaardSV"/>
              <w:rPr>
                <w:sz w:val="20"/>
              </w:rPr>
            </w:pPr>
            <w:r w:rsidRPr="00A55DD8">
              <w:rPr>
                <w:sz w:val="20"/>
              </w:rPr>
              <w:t>West-Vlaanderen</w:t>
            </w:r>
          </w:p>
        </w:tc>
        <w:tc>
          <w:tcPr>
            <w:tcW w:w="1700" w:type="dxa"/>
          </w:tcPr>
          <w:p w:rsidR="00A55DD8" w:rsidRPr="00A55DD8" w:rsidRDefault="00A55DD8" w:rsidP="00666A93">
            <w:pPr>
              <w:pStyle w:val="StandaardSV"/>
              <w:jc w:val="right"/>
              <w:rPr>
                <w:sz w:val="20"/>
              </w:rPr>
            </w:pPr>
            <w:r w:rsidRPr="00A55DD8">
              <w:rPr>
                <w:sz w:val="20"/>
              </w:rPr>
              <w:t>491</w:t>
            </w:r>
          </w:p>
        </w:tc>
        <w:tc>
          <w:tcPr>
            <w:tcW w:w="1663" w:type="dxa"/>
          </w:tcPr>
          <w:p w:rsidR="00A55DD8" w:rsidRPr="00A55DD8" w:rsidRDefault="00A55DD8" w:rsidP="00666A93">
            <w:pPr>
              <w:pStyle w:val="StandaardSV"/>
              <w:jc w:val="right"/>
              <w:rPr>
                <w:sz w:val="20"/>
              </w:rPr>
            </w:pPr>
            <w:r w:rsidRPr="00A55DD8">
              <w:rPr>
                <w:sz w:val="20"/>
              </w:rPr>
              <w:t>427</w:t>
            </w:r>
          </w:p>
        </w:tc>
        <w:tc>
          <w:tcPr>
            <w:tcW w:w="1900" w:type="dxa"/>
          </w:tcPr>
          <w:p w:rsidR="00A55DD8" w:rsidRPr="00A55DD8" w:rsidRDefault="00A55DD8" w:rsidP="00666A93">
            <w:pPr>
              <w:pStyle w:val="StandaardSV"/>
              <w:jc w:val="right"/>
              <w:rPr>
                <w:sz w:val="20"/>
              </w:rPr>
            </w:pPr>
            <w:r w:rsidRPr="00A55DD8">
              <w:rPr>
                <w:sz w:val="20"/>
              </w:rPr>
              <w:t>181</w:t>
            </w:r>
          </w:p>
        </w:tc>
      </w:tr>
      <w:tr w:rsidR="00A55DD8" w:rsidRPr="00A55DD8" w:rsidTr="00A55DD8">
        <w:tc>
          <w:tcPr>
            <w:tcW w:w="1716" w:type="dxa"/>
          </w:tcPr>
          <w:p w:rsidR="00A55DD8" w:rsidRPr="00A55DD8" w:rsidRDefault="00A55DD8" w:rsidP="006346C7">
            <w:pPr>
              <w:pStyle w:val="StandaardSV"/>
              <w:rPr>
                <w:sz w:val="20"/>
              </w:rPr>
            </w:pPr>
            <w:r w:rsidRPr="00A55DD8">
              <w:rPr>
                <w:sz w:val="20"/>
              </w:rPr>
              <w:t>Oost-Vlaanderen</w:t>
            </w:r>
          </w:p>
        </w:tc>
        <w:tc>
          <w:tcPr>
            <w:tcW w:w="1700" w:type="dxa"/>
          </w:tcPr>
          <w:p w:rsidR="00A55DD8" w:rsidRPr="00A55DD8" w:rsidRDefault="00A55DD8" w:rsidP="00666A93">
            <w:pPr>
              <w:pStyle w:val="StandaardSV"/>
              <w:jc w:val="right"/>
              <w:rPr>
                <w:sz w:val="20"/>
              </w:rPr>
            </w:pPr>
            <w:r w:rsidRPr="00A55DD8">
              <w:rPr>
                <w:sz w:val="20"/>
              </w:rPr>
              <w:t>470</w:t>
            </w:r>
          </w:p>
        </w:tc>
        <w:tc>
          <w:tcPr>
            <w:tcW w:w="1663" w:type="dxa"/>
          </w:tcPr>
          <w:p w:rsidR="00A55DD8" w:rsidRPr="00A55DD8" w:rsidRDefault="00A55DD8" w:rsidP="00666A93">
            <w:pPr>
              <w:pStyle w:val="StandaardSV"/>
              <w:jc w:val="right"/>
              <w:rPr>
                <w:sz w:val="20"/>
              </w:rPr>
            </w:pPr>
            <w:r w:rsidRPr="00A55DD8">
              <w:rPr>
                <w:sz w:val="20"/>
              </w:rPr>
              <w:t>406</w:t>
            </w:r>
          </w:p>
        </w:tc>
        <w:tc>
          <w:tcPr>
            <w:tcW w:w="1900" w:type="dxa"/>
          </w:tcPr>
          <w:p w:rsidR="00A55DD8" w:rsidRPr="00A55DD8" w:rsidRDefault="00A55DD8" w:rsidP="00666A93">
            <w:pPr>
              <w:pStyle w:val="StandaardSV"/>
              <w:jc w:val="right"/>
              <w:rPr>
                <w:sz w:val="20"/>
              </w:rPr>
            </w:pPr>
            <w:r w:rsidRPr="00A55DD8">
              <w:rPr>
                <w:sz w:val="20"/>
              </w:rPr>
              <w:t>201</w:t>
            </w:r>
          </w:p>
        </w:tc>
      </w:tr>
      <w:tr w:rsidR="00A55DD8" w:rsidRPr="00A55DD8" w:rsidTr="00A55DD8">
        <w:tc>
          <w:tcPr>
            <w:tcW w:w="1716" w:type="dxa"/>
          </w:tcPr>
          <w:p w:rsidR="00A55DD8" w:rsidRPr="00A55DD8" w:rsidRDefault="00A55DD8" w:rsidP="006346C7">
            <w:pPr>
              <w:pStyle w:val="StandaardSV"/>
              <w:rPr>
                <w:sz w:val="20"/>
              </w:rPr>
            </w:pPr>
            <w:r w:rsidRPr="00A55DD8">
              <w:rPr>
                <w:sz w:val="20"/>
              </w:rPr>
              <w:t>Limburg</w:t>
            </w:r>
          </w:p>
        </w:tc>
        <w:tc>
          <w:tcPr>
            <w:tcW w:w="1700" w:type="dxa"/>
          </w:tcPr>
          <w:p w:rsidR="00A55DD8" w:rsidRPr="00A55DD8" w:rsidRDefault="00A55DD8" w:rsidP="00666A93">
            <w:pPr>
              <w:pStyle w:val="StandaardSV"/>
              <w:jc w:val="right"/>
              <w:rPr>
                <w:sz w:val="20"/>
              </w:rPr>
            </w:pPr>
            <w:r w:rsidRPr="00A55DD8">
              <w:rPr>
                <w:sz w:val="20"/>
              </w:rPr>
              <w:t>312</w:t>
            </w:r>
          </w:p>
        </w:tc>
        <w:tc>
          <w:tcPr>
            <w:tcW w:w="1663" w:type="dxa"/>
          </w:tcPr>
          <w:p w:rsidR="00A55DD8" w:rsidRPr="00A55DD8" w:rsidRDefault="00A55DD8" w:rsidP="00666A93">
            <w:pPr>
              <w:pStyle w:val="StandaardSV"/>
              <w:jc w:val="right"/>
              <w:rPr>
                <w:sz w:val="20"/>
              </w:rPr>
            </w:pPr>
            <w:r w:rsidRPr="00A55DD8">
              <w:rPr>
                <w:sz w:val="20"/>
              </w:rPr>
              <w:t>275</w:t>
            </w:r>
          </w:p>
        </w:tc>
        <w:tc>
          <w:tcPr>
            <w:tcW w:w="1900" w:type="dxa"/>
          </w:tcPr>
          <w:p w:rsidR="00A55DD8" w:rsidRPr="00A55DD8" w:rsidRDefault="00A55DD8" w:rsidP="00666A93">
            <w:pPr>
              <w:pStyle w:val="StandaardSV"/>
              <w:jc w:val="right"/>
              <w:rPr>
                <w:sz w:val="20"/>
              </w:rPr>
            </w:pPr>
            <w:r w:rsidRPr="00A55DD8">
              <w:rPr>
                <w:sz w:val="20"/>
              </w:rPr>
              <w:t>167</w:t>
            </w:r>
          </w:p>
        </w:tc>
      </w:tr>
      <w:tr w:rsidR="00A55DD8" w:rsidRPr="00666A93" w:rsidTr="00A55DD8">
        <w:tc>
          <w:tcPr>
            <w:tcW w:w="1716" w:type="dxa"/>
          </w:tcPr>
          <w:p w:rsidR="00A55DD8" w:rsidRPr="00666A93" w:rsidRDefault="00666A93" w:rsidP="008C4319">
            <w:pPr>
              <w:pStyle w:val="StandaardSV"/>
              <w:rPr>
                <w:b/>
                <w:sz w:val="20"/>
              </w:rPr>
            </w:pPr>
            <w:r w:rsidRPr="00666A93">
              <w:rPr>
                <w:b/>
                <w:sz w:val="20"/>
              </w:rPr>
              <w:t>Totaal</w:t>
            </w:r>
          </w:p>
        </w:tc>
        <w:tc>
          <w:tcPr>
            <w:tcW w:w="1700" w:type="dxa"/>
          </w:tcPr>
          <w:p w:rsidR="00A55DD8" w:rsidRPr="00666A93" w:rsidRDefault="00A55DD8" w:rsidP="00666A93">
            <w:pPr>
              <w:pStyle w:val="StandaardSV"/>
              <w:jc w:val="right"/>
              <w:rPr>
                <w:b/>
                <w:sz w:val="20"/>
              </w:rPr>
            </w:pPr>
            <w:r w:rsidRPr="00666A93">
              <w:rPr>
                <w:b/>
                <w:sz w:val="20"/>
              </w:rPr>
              <w:t>2</w:t>
            </w:r>
            <w:r w:rsidR="00666A93">
              <w:rPr>
                <w:b/>
                <w:sz w:val="20"/>
              </w:rPr>
              <w:t>.</w:t>
            </w:r>
            <w:r w:rsidRPr="00666A93">
              <w:rPr>
                <w:b/>
                <w:sz w:val="20"/>
              </w:rPr>
              <w:t>214</w:t>
            </w:r>
          </w:p>
        </w:tc>
        <w:tc>
          <w:tcPr>
            <w:tcW w:w="1663" w:type="dxa"/>
          </w:tcPr>
          <w:p w:rsidR="00A55DD8" w:rsidRPr="00666A93" w:rsidRDefault="00A55DD8" w:rsidP="00666A93">
            <w:pPr>
              <w:pStyle w:val="StandaardSV"/>
              <w:jc w:val="right"/>
              <w:rPr>
                <w:b/>
                <w:sz w:val="20"/>
              </w:rPr>
            </w:pPr>
            <w:r w:rsidRPr="00666A93">
              <w:rPr>
                <w:b/>
                <w:sz w:val="20"/>
              </w:rPr>
              <w:t>1</w:t>
            </w:r>
            <w:r w:rsidR="00666A93">
              <w:rPr>
                <w:b/>
                <w:sz w:val="20"/>
              </w:rPr>
              <w:t>.</w:t>
            </w:r>
            <w:r w:rsidRPr="00666A93">
              <w:rPr>
                <w:b/>
                <w:sz w:val="20"/>
              </w:rPr>
              <w:t>939</w:t>
            </w:r>
          </w:p>
        </w:tc>
        <w:tc>
          <w:tcPr>
            <w:tcW w:w="1900" w:type="dxa"/>
          </w:tcPr>
          <w:p w:rsidR="00A55DD8" w:rsidRPr="00666A93" w:rsidRDefault="00A55DD8" w:rsidP="00666A93">
            <w:pPr>
              <w:pStyle w:val="StandaardSV"/>
              <w:jc w:val="right"/>
              <w:rPr>
                <w:b/>
                <w:sz w:val="20"/>
              </w:rPr>
            </w:pPr>
            <w:r w:rsidRPr="00666A93">
              <w:rPr>
                <w:b/>
                <w:sz w:val="20"/>
              </w:rPr>
              <w:t>989</w:t>
            </w:r>
          </w:p>
        </w:tc>
      </w:tr>
    </w:tbl>
    <w:p w:rsidR="00C0013D" w:rsidRDefault="00C0013D" w:rsidP="00380610">
      <w:pPr>
        <w:pStyle w:val="StandaardSV"/>
        <w:jc w:val="left"/>
      </w:pPr>
    </w:p>
    <w:p w:rsidR="008C4319" w:rsidRPr="004E3D88" w:rsidRDefault="008C4319" w:rsidP="006D221A">
      <w:pPr>
        <w:pStyle w:val="StandaardSV"/>
        <w:numPr>
          <w:ilvl w:val="0"/>
          <w:numId w:val="6"/>
        </w:numPr>
        <w:tabs>
          <w:tab w:val="left" w:pos="142"/>
        </w:tabs>
      </w:pPr>
      <w:r w:rsidRPr="004E3D88">
        <w:t>Er zijn verscheidene redenen denkbaar waarom een pand leeg komt te staan. Verhuis van het b</w:t>
      </w:r>
      <w:r w:rsidRPr="004E3D88">
        <w:t>e</w:t>
      </w:r>
      <w:r w:rsidRPr="004E3D88">
        <w:t>drijf, faillissement</w:t>
      </w:r>
      <w:r w:rsidR="00A5222E" w:rsidRPr="004E3D88">
        <w:t>, etc</w:t>
      </w:r>
      <w:r w:rsidRPr="004E3D88">
        <w:t>. Er zijn daarnaast ook vele oorzaken denkbaar waarom leegstaande b</w:t>
      </w:r>
      <w:r w:rsidRPr="004E3D88">
        <w:t>e</w:t>
      </w:r>
      <w:r w:rsidRPr="004E3D88">
        <w:t>drijfspanden langere tijd onbenut blijven, ook als ze te koop worden aangeboden: het pand zelf voldoet niet meer als bedrijfspand, het terrein waarop het pand staat</w:t>
      </w:r>
      <w:r w:rsidR="00A5222E" w:rsidRPr="004E3D88">
        <w:t>,</w:t>
      </w:r>
      <w:r w:rsidRPr="004E3D88">
        <w:t xml:space="preserve"> is niet meer aantrekkelijk,</w:t>
      </w:r>
      <w:r w:rsidR="00A5222E" w:rsidRPr="004E3D88">
        <w:t xml:space="preserve"> het is b</w:t>
      </w:r>
      <w:r w:rsidRPr="004E3D88">
        <w:t xml:space="preserve">eleidsmatig niet meer wenselijk dat het bedrijfspand nog voor economische activiteiten wordt in gebruik genomen, </w:t>
      </w:r>
      <w:r w:rsidR="00A5222E" w:rsidRPr="004E3D88">
        <w:t xml:space="preserve">er is </w:t>
      </w:r>
      <w:r w:rsidRPr="004E3D88">
        <w:t>geen of minder vraag naar bedrijfspanden omwille van de crisis</w:t>
      </w:r>
      <w:r w:rsidR="00A5222E" w:rsidRPr="004E3D88">
        <w:t>, etc. U</w:t>
      </w:r>
      <w:r w:rsidRPr="004E3D88">
        <w:t>i</w:t>
      </w:r>
      <w:r w:rsidRPr="004E3D88">
        <w:t>teraard zal ook het gevoerde beleid impact hebben op de cijfers. Momenteel is er geen analyse b</w:t>
      </w:r>
      <w:r w:rsidRPr="004E3D88">
        <w:t>e</w:t>
      </w:r>
      <w:r w:rsidRPr="004E3D88">
        <w:t>schikbaar die betrouwbare informatie geeft om de cijfers te interpreteren</w:t>
      </w:r>
      <w:r w:rsidR="00A5222E" w:rsidRPr="004E3D88">
        <w:t>. E</w:t>
      </w:r>
      <w:r w:rsidRPr="004E3D88">
        <w:t>en systematische d</w:t>
      </w:r>
      <w:r w:rsidRPr="004E3D88">
        <w:t>a</w:t>
      </w:r>
      <w:r w:rsidRPr="004E3D88">
        <w:t xml:space="preserve">ling van de leegstand is </w:t>
      </w:r>
      <w:r w:rsidR="00A5222E" w:rsidRPr="004E3D88">
        <w:t xml:space="preserve">echter </w:t>
      </w:r>
      <w:r w:rsidRPr="004E3D88">
        <w:t>sowieso goed nieuws.</w:t>
      </w:r>
    </w:p>
    <w:p w:rsidR="00C0013D" w:rsidRDefault="00C0013D" w:rsidP="00380610">
      <w:pPr>
        <w:pStyle w:val="StandaardSV"/>
        <w:jc w:val="left"/>
      </w:pPr>
    </w:p>
    <w:p w:rsidR="00A5222E" w:rsidRDefault="00A5222E" w:rsidP="006D221A">
      <w:pPr>
        <w:pStyle w:val="StandaardSV"/>
        <w:numPr>
          <w:ilvl w:val="0"/>
          <w:numId w:val="6"/>
        </w:numPr>
      </w:pPr>
      <w:r>
        <w:t>In onderstaande tabel vindt u een overzicht van het aantal o</w:t>
      </w:r>
      <w:r w:rsidRPr="00A5222E">
        <w:t xml:space="preserve">pnames in de Inventaris voor leegstand en/of verwaarlozing </w:t>
      </w:r>
      <w:r>
        <w:t>in de periode 2003-2012.</w:t>
      </w:r>
    </w:p>
    <w:p w:rsidR="008C4319" w:rsidRDefault="008C4319" w:rsidP="00380610">
      <w:pPr>
        <w:pStyle w:val="StandaardSV"/>
        <w:jc w:val="left"/>
      </w:pPr>
    </w:p>
    <w:tbl>
      <w:tblPr>
        <w:tblW w:w="87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16"/>
        <w:gridCol w:w="716"/>
        <w:gridCol w:w="716"/>
        <w:gridCol w:w="666"/>
        <w:gridCol w:w="716"/>
        <w:gridCol w:w="716"/>
        <w:gridCol w:w="716"/>
        <w:gridCol w:w="666"/>
        <w:gridCol w:w="716"/>
        <w:gridCol w:w="716"/>
      </w:tblGrid>
      <w:tr w:rsidR="00A5222E" w:rsidRPr="00380610" w:rsidTr="00380610">
        <w:trPr>
          <w:trHeight w:val="255"/>
        </w:trPr>
        <w:tc>
          <w:tcPr>
            <w:tcW w:w="1716" w:type="dxa"/>
            <w:shd w:val="clear" w:color="auto" w:fill="auto"/>
            <w:noWrap/>
            <w:hideMark/>
          </w:tcPr>
          <w:p w:rsidR="00A5222E" w:rsidRPr="00380610" w:rsidRDefault="00A5222E" w:rsidP="006346C7">
            <w:pPr>
              <w:pStyle w:val="StandaardSV"/>
              <w:rPr>
                <w:b/>
                <w:sz w:val="20"/>
              </w:rPr>
            </w:pPr>
            <w:r w:rsidRPr="00380610">
              <w:rPr>
                <w:b/>
                <w:sz w:val="20"/>
              </w:rPr>
              <w:t>Provincie</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2003</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2004</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2005</w:t>
            </w:r>
          </w:p>
        </w:tc>
        <w:tc>
          <w:tcPr>
            <w:tcW w:w="664" w:type="dxa"/>
            <w:shd w:val="clear" w:color="auto" w:fill="auto"/>
            <w:noWrap/>
            <w:hideMark/>
          </w:tcPr>
          <w:p w:rsidR="00A5222E" w:rsidRPr="00380610" w:rsidRDefault="00A5222E" w:rsidP="00380610">
            <w:pPr>
              <w:pStyle w:val="StandaardSV"/>
              <w:jc w:val="right"/>
              <w:rPr>
                <w:b/>
                <w:sz w:val="20"/>
              </w:rPr>
            </w:pPr>
            <w:r w:rsidRPr="00380610">
              <w:rPr>
                <w:b/>
                <w:sz w:val="20"/>
              </w:rPr>
              <w:t>2006</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2007</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2008</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2009</w:t>
            </w:r>
          </w:p>
        </w:tc>
        <w:tc>
          <w:tcPr>
            <w:tcW w:w="664" w:type="dxa"/>
            <w:shd w:val="clear" w:color="auto" w:fill="auto"/>
            <w:noWrap/>
            <w:hideMark/>
          </w:tcPr>
          <w:p w:rsidR="00A5222E" w:rsidRPr="00380610" w:rsidRDefault="00A5222E" w:rsidP="00380610">
            <w:pPr>
              <w:pStyle w:val="StandaardSV"/>
              <w:jc w:val="right"/>
              <w:rPr>
                <w:b/>
                <w:sz w:val="20"/>
              </w:rPr>
            </w:pPr>
            <w:r w:rsidRPr="00380610">
              <w:rPr>
                <w:b/>
                <w:sz w:val="20"/>
              </w:rPr>
              <w:t>2010</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2011</w:t>
            </w:r>
          </w:p>
        </w:tc>
        <w:tc>
          <w:tcPr>
            <w:tcW w:w="716" w:type="dxa"/>
            <w:shd w:val="clear" w:color="auto" w:fill="auto"/>
            <w:noWrap/>
            <w:hideMark/>
          </w:tcPr>
          <w:p w:rsidR="00A5222E" w:rsidRPr="00380610" w:rsidRDefault="00A5222E" w:rsidP="00380610">
            <w:pPr>
              <w:pStyle w:val="StandaardSV"/>
              <w:jc w:val="right"/>
              <w:rPr>
                <w:b/>
                <w:sz w:val="20"/>
              </w:rPr>
            </w:pPr>
            <w:r w:rsidRPr="00380610">
              <w:rPr>
                <w:b/>
                <w:sz w:val="20"/>
              </w:rPr>
              <w:t>2012</w:t>
            </w:r>
          </w:p>
        </w:tc>
      </w:tr>
      <w:tr w:rsidR="00A5222E" w:rsidRPr="00A5222E" w:rsidTr="00380610">
        <w:trPr>
          <w:trHeight w:val="255"/>
        </w:trPr>
        <w:tc>
          <w:tcPr>
            <w:tcW w:w="1716" w:type="dxa"/>
            <w:shd w:val="clear" w:color="auto" w:fill="auto"/>
            <w:noWrap/>
            <w:hideMark/>
          </w:tcPr>
          <w:p w:rsidR="00A5222E" w:rsidRPr="00A5222E" w:rsidRDefault="00A5222E" w:rsidP="006346C7">
            <w:pPr>
              <w:pStyle w:val="StandaardSV"/>
              <w:rPr>
                <w:sz w:val="20"/>
              </w:rPr>
            </w:pPr>
            <w:r w:rsidRPr="00A5222E">
              <w:rPr>
                <w:sz w:val="20"/>
              </w:rPr>
              <w:t>Antwerpen</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715</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770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824</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800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678</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760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771</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739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703</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670</w:t>
            </w:r>
          </w:p>
        </w:tc>
      </w:tr>
      <w:tr w:rsidR="00A5222E" w:rsidRPr="00A5222E" w:rsidTr="00380610">
        <w:trPr>
          <w:trHeight w:val="255"/>
        </w:trPr>
        <w:tc>
          <w:tcPr>
            <w:tcW w:w="1716" w:type="dxa"/>
            <w:shd w:val="clear" w:color="auto" w:fill="auto"/>
            <w:noWrap/>
            <w:hideMark/>
          </w:tcPr>
          <w:p w:rsidR="00A5222E" w:rsidRPr="00A5222E" w:rsidRDefault="00A5222E" w:rsidP="00A5222E">
            <w:pPr>
              <w:pStyle w:val="StandaardSV"/>
              <w:rPr>
                <w:sz w:val="20"/>
              </w:rPr>
            </w:pPr>
            <w:r w:rsidRPr="00A5222E">
              <w:rPr>
                <w:sz w:val="20"/>
              </w:rPr>
              <w:t>Vlaams-Brabant</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319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353</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416</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369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349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355</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358</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343</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309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271</w:t>
            </w:r>
          </w:p>
        </w:tc>
      </w:tr>
      <w:tr w:rsidR="00A5222E" w:rsidRPr="00A5222E" w:rsidTr="00380610">
        <w:trPr>
          <w:trHeight w:val="255"/>
        </w:trPr>
        <w:tc>
          <w:tcPr>
            <w:tcW w:w="1716" w:type="dxa"/>
            <w:shd w:val="clear" w:color="auto" w:fill="auto"/>
            <w:noWrap/>
            <w:hideMark/>
          </w:tcPr>
          <w:p w:rsidR="00A5222E" w:rsidRPr="00A5222E" w:rsidRDefault="00A5222E" w:rsidP="006346C7">
            <w:pPr>
              <w:pStyle w:val="StandaardSV"/>
              <w:rPr>
                <w:sz w:val="20"/>
              </w:rPr>
            </w:pPr>
            <w:r w:rsidRPr="00A5222E">
              <w:rPr>
                <w:sz w:val="20"/>
              </w:rPr>
              <w:t>West-Vlaanderen</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463</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578</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529</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497</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515</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562</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536</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480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505</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491</w:t>
            </w:r>
          </w:p>
        </w:tc>
      </w:tr>
      <w:tr w:rsidR="00A5222E" w:rsidRPr="00A5222E" w:rsidTr="00380610">
        <w:trPr>
          <w:trHeight w:val="255"/>
        </w:trPr>
        <w:tc>
          <w:tcPr>
            <w:tcW w:w="1716" w:type="dxa"/>
            <w:shd w:val="clear" w:color="auto" w:fill="auto"/>
            <w:noWrap/>
            <w:hideMark/>
          </w:tcPr>
          <w:p w:rsidR="00A5222E" w:rsidRPr="00A5222E" w:rsidRDefault="00A5222E" w:rsidP="006346C7">
            <w:pPr>
              <w:pStyle w:val="StandaardSV"/>
              <w:rPr>
                <w:sz w:val="20"/>
              </w:rPr>
            </w:pPr>
            <w:r w:rsidRPr="00A5222E">
              <w:rPr>
                <w:sz w:val="20"/>
              </w:rPr>
              <w:t>Oost-Vlaanderen</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555</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567</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569</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578</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580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519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515</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492</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516</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470</w:t>
            </w:r>
          </w:p>
        </w:tc>
      </w:tr>
      <w:tr w:rsidR="00A5222E" w:rsidRPr="00A5222E" w:rsidTr="00380610">
        <w:trPr>
          <w:trHeight w:val="255"/>
        </w:trPr>
        <w:tc>
          <w:tcPr>
            <w:tcW w:w="1716" w:type="dxa"/>
            <w:shd w:val="clear" w:color="auto" w:fill="auto"/>
            <w:noWrap/>
            <w:hideMark/>
          </w:tcPr>
          <w:p w:rsidR="00A5222E" w:rsidRPr="00A5222E" w:rsidRDefault="00A5222E" w:rsidP="006346C7">
            <w:pPr>
              <w:pStyle w:val="StandaardSV"/>
              <w:rPr>
                <w:sz w:val="20"/>
              </w:rPr>
            </w:pPr>
            <w:r w:rsidRPr="00A5222E">
              <w:rPr>
                <w:sz w:val="20"/>
              </w:rPr>
              <w:t>Limburg</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447</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437</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406</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420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379</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406</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397</w:t>
            </w:r>
          </w:p>
        </w:tc>
        <w:tc>
          <w:tcPr>
            <w:tcW w:w="664" w:type="dxa"/>
            <w:shd w:val="clear" w:color="auto" w:fill="auto"/>
            <w:noWrap/>
            <w:hideMark/>
          </w:tcPr>
          <w:p w:rsidR="00A5222E" w:rsidRPr="00A5222E" w:rsidRDefault="00A5222E" w:rsidP="00380610">
            <w:pPr>
              <w:pStyle w:val="StandaardSV"/>
              <w:jc w:val="right"/>
              <w:rPr>
                <w:sz w:val="20"/>
              </w:rPr>
            </w:pPr>
            <w:r w:rsidRPr="00A5222E">
              <w:rPr>
                <w:sz w:val="20"/>
              </w:rPr>
              <w:t>365</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360</w:t>
            </w:r>
          </w:p>
        </w:tc>
        <w:tc>
          <w:tcPr>
            <w:tcW w:w="716" w:type="dxa"/>
            <w:shd w:val="clear" w:color="auto" w:fill="auto"/>
            <w:noWrap/>
            <w:hideMark/>
          </w:tcPr>
          <w:p w:rsidR="00A5222E" w:rsidRPr="00A5222E" w:rsidRDefault="00A5222E" w:rsidP="00380610">
            <w:pPr>
              <w:pStyle w:val="StandaardSV"/>
              <w:jc w:val="right"/>
              <w:rPr>
                <w:sz w:val="20"/>
              </w:rPr>
            </w:pPr>
            <w:r w:rsidRPr="00A5222E">
              <w:rPr>
                <w:sz w:val="20"/>
              </w:rPr>
              <w:t>312</w:t>
            </w:r>
          </w:p>
        </w:tc>
      </w:tr>
      <w:tr w:rsidR="00A5222E" w:rsidRPr="00A5222E" w:rsidTr="00380610">
        <w:trPr>
          <w:trHeight w:val="255"/>
        </w:trPr>
        <w:tc>
          <w:tcPr>
            <w:tcW w:w="1716" w:type="dxa"/>
            <w:shd w:val="clear" w:color="auto" w:fill="auto"/>
            <w:noWrap/>
            <w:hideMark/>
          </w:tcPr>
          <w:p w:rsidR="00A5222E" w:rsidRPr="00A5222E" w:rsidRDefault="00A5222E" w:rsidP="006346C7">
            <w:pPr>
              <w:pStyle w:val="StandaardSV"/>
              <w:rPr>
                <w:b/>
                <w:bCs/>
                <w:sz w:val="20"/>
              </w:rPr>
            </w:pPr>
            <w:r w:rsidRPr="00A5222E">
              <w:rPr>
                <w:b/>
                <w:bCs/>
                <w:sz w:val="20"/>
              </w:rPr>
              <w:t>Totaal</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499</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705</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744</w:t>
            </w:r>
          </w:p>
        </w:tc>
        <w:tc>
          <w:tcPr>
            <w:tcW w:w="664"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664</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501</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602</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577</w:t>
            </w:r>
          </w:p>
        </w:tc>
        <w:tc>
          <w:tcPr>
            <w:tcW w:w="664"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419</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393</w:t>
            </w:r>
          </w:p>
        </w:tc>
        <w:tc>
          <w:tcPr>
            <w:tcW w:w="716" w:type="dxa"/>
            <w:shd w:val="clear" w:color="auto" w:fill="auto"/>
            <w:noWrap/>
            <w:hideMark/>
          </w:tcPr>
          <w:p w:rsidR="00A5222E" w:rsidRPr="00A5222E" w:rsidRDefault="00A5222E" w:rsidP="00380610">
            <w:pPr>
              <w:pStyle w:val="StandaardSV"/>
              <w:jc w:val="right"/>
              <w:rPr>
                <w:b/>
                <w:bCs/>
                <w:sz w:val="20"/>
              </w:rPr>
            </w:pPr>
            <w:r w:rsidRPr="00A5222E">
              <w:rPr>
                <w:b/>
                <w:bCs/>
                <w:sz w:val="20"/>
              </w:rPr>
              <w:t>2</w:t>
            </w:r>
            <w:r w:rsidR="00380610">
              <w:rPr>
                <w:b/>
                <w:bCs/>
                <w:sz w:val="20"/>
              </w:rPr>
              <w:t>.</w:t>
            </w:r>
            <w:r w:rsidRPr="00A5222E">
              <w:rPr>
                <w:b/>
                <w:bCs/>
                <w:sz w:val="20"/>
              </w:rPr>
              <w:t>214</w:t>
            </w:r>
          </w:p>
        </w:tc>
      </w:tr>
    </w:tbl>
    <w:p w:rsidR="00C0013D" w:rsidRDefault="00C0013D" w:rsidP="00380610">
      <w:pPr>
        <w:pStyle w:val="StandaardSV"/>
        <w:jc w:val="left"/>
      </w:pPr>
    </w:p>
    <w:p w:rsidR="008C4319" w:rsidRDefault="008C4319" w:rsidP="006D221A">
      <w:pPr>
        <w:pStyle w:val="StandaardSV"/>
        <w:numPr>
          <w:ilvl w:val="0"/>
          <w:numId w:val="6"/>
        </w:numPr>
      </w:pPr>
      <w:r>
        <w:t xml:space="preserve">In mijn antwoord </w:t>
      </w:r>
      <w:r w:rsidR="00380610">
        <w:t>op uw schriftelijke vraag nr. 265 van 13 maart 2012</w:t>
      </w:r>
      <w:r>
        <w:t xml:space="preserve"> heb ik naast de activering</w:t>
      </w:r>
      <w:r>
        <w:t>s</w:t>
      </w:r>
      <w:r>
        <w:t xml:space="preserve">teams en de brownfieldconvenanten ook verwezen naar de optimalisering van het instrument </w:t>
      </w:r>
      <w:r w:rsidR="00380610">
        <w:t>“</w:t>
      </w:r>
      <w:r>
        <w:t>t</w:t>
      </w:r>
      <w:r>
        <w:t>e</w:t>
      </w:r>
      <w:r>
        <w:t>rugkooprecht</w:t>
      </w:r>
      <w:r w:rsidR="00380610">
        <w:t>”</w:t>
      </w:r>
      <w:r>
        <w:t xml:space="preserve">. Dit </w:t>
      </w:r>
      <w:r w:rsidR="007E1B71">
        <w:t xml:space="preserve">instrument werd intussen aangescherpt </w:t>
      </w:r>
      <w:r>
        <w:t>z</w:t>
      </w:r>
      <w:r w:rsidR="007E1B71">
        <w:t xml:space="preserve">in het </w:t>
      </w:r>
      <w:r>
        <w:t>decreet ruimtelijke economie</w:t>
      </w:r>
      <w:r w:rsidR="007E1B71">
        <w:t xml:space="preserve">. </w:t>
      </w:r>
      <w:r>
        <w:t>Ik heb er weet van dat verschillende ontwikkelaars (publieke en private) als gevolg daarvan de co</w:t>
      </w:r>
      <w:r>
        <w:t>n</w:t>
      </w:r>
      <w:r>
        <w:t>t</w:t>
      </w:r>
      <w:r w:rsidR="00F2672D">
        <w:t>r</w:t>
      </w:r>
      <w:r>
        <w:t xml:space="preserve">actclausules m.b.t. het terugkooprecht aan het herzien zijn. Mijn administratie houdt evenwel nergens bij hoeveel verkoopscontracten </w:t>
      </w:r>
      <w:r w:rsidR="008C1DE3">
        <w:t>sindsdien</w:t>
      </w:r>
      <w:r>
        <w:t xml:space="preserve"> werden afgesloten, noch hoeveel percelen of panden </w:t>
      </w:r>
      <w:r w:rsidR="008C1DE3">
        <w:t>sindsdien</w:t>
      </w:r>
      <w:r>
        <w:t xml:space="preserve"> en op basis van vroegere regelingen</w:t>
      </w:r>
      <w:r w:rsidR="00383EA0">
        <w:t xml:space="preserve"> werden t</w:t>
      </w:r>
      <w:r>
        <w:t xml:space="preserve">eruggekocht. </w:t>
      </w:r>
    </w:p>
    <w:p w:rsidR="007E1B71" w:rsidRDefault="007E1B71" w:rsidP="00380610">
      <w:pPr>
        <w:pStyle w:val="StandaardSV"/>
        <w:ind w:left="360"/>
        <w:jc w:val="left"/>
      </w:pPr>
    </w:p>
    <w:p w:rsidR="008C4319" w:rsidRPr="00380610" w:rsidRDefault="008C4319" w:rsidP="006D221A">
      <w:pPr>
        <w:pStyle w:val="Lijstalinea"/>
        <w:numPr>
          <w:ilvl w:val="0"/>
          <w:numId w:val="6"/>
        </w:numPr>
        <w:jc w:val="both"/>
        <w:rPr>
          <w:iCs/>
          <w:sz w:val="22"/>
          <w:szCs w:val="22"/>
        </w:rPr>
      </w:pPr>
      <w:r w:rsidRPr="00380610">
        <w:rPr>
          <w:iCs/>
          <w:sz w:val="22"/>
          <w:szCs w:val="22"/>
        </w:rPr>
        <w:t>Tijdens de 3</w:t>
      </w:r>
      <w:r w:rsidRPr="00380610">
        <w:rPr>
          <w:iCs/>
          <w:sz w:val="22"/>
          <w:szCs w:val="22"/>
          <w:vertAlign w:val="superscript"/>
        </w:rPr>
        <w:t>de</w:t>
      </w:r>
      <w:r w:rsidRPr="00380610">
        <w:rPr>
          <w:iCs/>
          <w:sz w:val="22"/>
          <w:szCs w:val="22"/>
        </w:rPr>
        <w:t>oproep in 2012 werden 18 dossiers ingediend. Van deze 18 dossiers zijn er mome</w:t>
      </w:r>
      <w:r w:rsidRPr="00380610">
        <w:rPr>
          <w:iCs/>
          <w:sz w:val="22"/>
          <w:szCs w:val="22"/>
        </w:rPr>
        <w:t>n</w:t>
      </w:r>
      <w:r w:rsidRPr="00380610">
        <w:rPr>
          <w:iCs/>
          <w:sz w:val="22"/>
          <w:szCs w:val="22"/>
        </w:rPr>
        <w:t xml:space="preserve">teel 14 dossiers ontvankelijk verklaard en zal de gegrondheid binnenkort door de Vlaamse </w:t>
      </w:r>
      <w:r w:rsidR="00380610">
        <w:rPr>
          <w:iCs/>
          <w:sz w:val="22"/>
          <w:szCs w:val="22"/>
        </w:rPr>
        <w:t>R</w:t>
      </w:r>
      <w:r w:rsidRPr="00380610">
        <w:rPr>
          <w:iCs/>
          <w:sz w:val="22"/>
          <w:szCs w:val="22"/>
        </w:rPr>
        <w:t>eg</w:t>
      </w:r>
      <w:r w:rsidRPr="00380610">
        <w:rPr>
          <w:iCs/>
          <w:sz w:val="22"/>
          <w:szCs w:val="22"/>
        </w:rPr>
        <w:t>e</w:t>
      </w:r>
      <w:r w:rsidRPr="00380610">
        <w:rPr>
          <w:iCs/>
          <w:sz w:val="22"/>
          <w:szCs w:val="22"/>
        </w:rPr>
        <w:lastRenderedPageBreak/>
        <w:t>ring worden bekrachtigd. In het kader van de gegrondheidsbeoordeling werd voor deze 14 pr</w:t>
      </w:r>
      <w:r w:rsidRPr="00380610">
        <w:rPr>
          <w:iCs/>
          <w:sz w:val="22"/>
          <w:szCs w:val="22"/>
        </w:rPr>
        <w:t>o</w:t>
      </w:r>
      <w:r w:rsidRPr="00380610">
        <w:rPr>
          <w:iCs/>
          <w:sz w:val="22"/>
          <w:szCs w:val="22"/>
        </w:rPr>
        <w:t>jecten op 6 augustus 2012 een grafische weergave van de afbakening van de projectgebieden in het B.S. gepubliceerd. Een 15</w:t>
      </w:r>
      <w:r w:rsidRPr="00380610">
        <w:rPr>
          <w:iCs/>
          <w:sz w:val="22"/>
          <w:szCs w:val="22"/>
          <w:vertAlign w:val="superscript"/>
        </w:rPr>
        <w:t>de</w:t>
      </w:r>
      <w:r w:rsidRPr="00380610">
        <w:rPr>
          <w:iCs/>
          <w:sz w:val="22"/>
          <w:szCs w:val="22"/>
        </w:rPr>
        <w:t xml:space="preserve"> dossier doorloopt momenteel de gegrondheidsprocedure en het projectgebied zal op korte termijn in het B.S. worden gepubliceerd.</w:t>
      </w:r>
    </w:p>
    <w:p w:rsidR="008C4319" w:rsidRPr="00FA10E6" w:rsidRDefault="008C4319" w:rsidP="00380610">
      <w:pPr>
        <w:ind w:left="360"/>
        <w:rPr>
          <w:iCs/>
          <w:sz w:val="22"/>
          <w:szCs w:val="22"/>
        </w:rPr>
      </w:pPr>
    </w:p>
    <w:p w:rsidR="008C4319" w:rsidRPr="00FA10E6" w:rsidRDefault="008C4319" w:rsidP="006D221A">
      <w:pPr>
        <w:ind w:left="360"/>
        <w:jc w:val="both"/>
        <w:rPr>
          <w:iCs/>
          <w:sz w:val="22"/>
          <w:szCs w:val="22"/>
        </w:rPr>
      </w:pPr>
      <w:r w:rsidRPr="00FA10E6">
        <w:rPr>
          <w:iCs/>
          <w:sz w:val="22"/>
          <w:szCs w:val="22"/>
        </w:rPr>
        <w:t>Ondertussen worden voor deze dossiers parallel onderhandelingen opgestart door de onderha</w:t>
      </w:r>
      <w:r w:rsidRPr="00FA10E6">
        <w:rPr>
          <w:iCs/>
          <w:sz w:val="22"/>
          <w:szCs w:val="22"/>
        </w:rPr>
        <w:t>n</w:t>
      </w:r>
      <w:r w:rsidRPr="00FA10E6">
        <w:rPr>
          <w:iCs/>
          <w:sz w:val="22"/>
          <w:szCs w:val="22"/>
        </w:rPr>
        <w:t>delaars, met het oog op het afsluiten van convenanten in de loop van 2013.</w:t>
      </w:r>
    </w:p>
    <w:p w:rsidR="00C0013D" w:rsidRDefault="00C0013D" w:rsidP="00380610">
      <w:pPr>
        <w:pStyle w:val="StandaardSV"/>
        <w:ind w:left="360"/>
        <w:jc w:val="left"/>
      </w:pPr>
    </w:p>
    <w:p w:rsidR="008C4319" w:rsidRDefault="008C4319" w:rsidP="006D221A">
      <w:pPr>
        <w:pStyle w:val="StandaardSV"/>
        <w:numPr>
          <w:ilvl w:val="0"/>
          <w:numId w:val="6"/>
        </w:numPr>
      </w:pPr>
      <w:r>
        <w:t xml:space="preserve">Wat betreft brownfieldconvenanten is de POM betrokken bij 4 dossiers, </w:t>
      </w:r>
      <w:r w:rsidR="00383EA0">
        <w:t xml:space="preserve">waarvan </w:t>
      </w:r>
      <w:r>
        <w:t>bij twee</w:t>
      </w:r>
      <w:r w:rsidR="00383EA0">
        <w:t xml:space="preserve"> dossiers als </w:t>
      </w:r>
      <w:r>
        <w:t>actor</w:t>
      </w:r>
      <w:r w:rsidR="00380610">
        <w:t xml:space="preserve"> (</w:t>
      </w:r>
      <w:r>
        <w:t>Eiland Zwijnaarde en Burchtdam te Ninove</w:t>
      </w:r>
      <w:r w:rsidR="00380610">
        <w:t>)</w:t>
      </w:r>
      <w:r>
        <w:t>.</w:t>
      </w:r>
    </w:p>
    <w:p w:rsidR="008C4319" w:rsidRDefault="008C4319" w:rsidP="006D221A">
      <w:pPr>
        <w:pStyle w:val="StandaardSV"/>
        <w:ind w:left="360"/>
      </w:pPr>
    </w:p>
    <w:p w:rsidR="008C4319" w:rsidRDefault="008C4319" w:rsidP="006D221A">
      <w:pPr>
        <w:pStyle w:val="StandaardSV"/>
        <w:ind w:left="360"/>
      </w:pPr>
      <w:r>
        <w:t xml:space="preserve">Wat betreft de activeringsteams werkt de POMOV zelf aan alle projectzones die in de </w:t>
      </w:r>
      <w:r w:rsidR="008C1DE3">
        <w:t>subsidi</w:t>
      </w:r>
      <w:r w:rsidR="008C1DE3">
        <w:t>e</w:t>
      </w:r>
      <w:r w:rsidR="008C1DE3">
        <w:t>aanvraag</w:t>
      </w:r>
      <w:r>
        <w:t xml:space="preserve"> voor het activeringsteam voor Oost-Vlaanderen vervat zitten. Dat betekent evenwel niet dat de POMOV noodzakelijkerwijze zelf panden zal trachten te verwerven. </w:t>
      </w:r>
    </w:p>
    <w:p w:rsidR="008C4319" w:rsidRDefault="008C4319" w:rsidP="006D221A">
      <w:pPr>
        <w:pStyle w:val="StandaardSV"/>
        <w:ind w:left="360"/>
      </w:pPr>
    </w:p>
    <w:p w:rsidR="008C4319" w:rsidRDefault="008C4319" w:rsidP="006D221A">
      <w:pPr>
        <w:pStyle w:val="StandaardSV"/>
        <w:ind w:left="360"/>
      </w:pPr>
      <w:r>
        <w:t>Op basis van de ingediende documenten kan afgeleid worden op welke projectzones een probl</w:t>
      </w:r>
      <w:r>
        <w:t>e</w:t>
      </w:r>
      <w:r>
        <w:t>matiek van leegstaande of verwaarloosde bedrijfspanden speelt, hoeveel werkdagen er per projec</w:t>
      </w:r>
      <w:r>
        <w:t>t</w:t>
      </w:r>
      <w:r>
        <w:t xml:space="preserve">zone worden voorzien (het betreft uiteraard ruwe inschattingen) en hoe de POM initieel denkt het project te moeten aanpakken. Er is nergens een timing </w:t>
      </w:r>
      <w:r w:rsidR="008C1DE3">
        <w:t xml:space="preserve">vooropgesteld. </w:t>
      </w:r>
    </w:p>
    <w:p w:rsidR="008C4319" w:rsidRDefault="008C4319" w:rsidP="006D221A">
      <w:pPr>
        <w:pStyle w:val="StandaardSV"/>
        <w:ind w:left="360"/>
      </w:pPr>
    </w:p>
    <w:p w:rsidR="00380610" w:rsidRDefault="008C4319" w:rsidP="006D221A">
      <w:pPr>
        <w:pStyle w:val="StandaardSV"/>
        <w:ind w:left="360"/>
      </w:pPr>
      <w:r>
        <w:t>De eerste tussentijdse rapportering is voorzien voor het zomerreces 2013.</w:t>
      </w:r>
    </w:p>
    <w:p w:rsidR="008C4319" w:rsidRDefault="008C4319" w:rsidP="00380610">
      <w:pPr>
        <w:pStyle w:val="StandaardSV"/>
        <w:ind w:left="360"/>
        <w:jc w:val="left"/>
      </w:pPr>
    </w:p>
    <w:tbl>
      <w:tblPr>
        <w:tblW w:w="8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314"/>
        <w:gridCol w:w="2697"/>
      </w:tblGrid>
      <w:tr w:rsidR="008C4319" w:rsidRPr="00380610" w:rsidTr="00383EA0">
        <w:trPr>
          <w:tblHeader/>
        </w:trPr>
        <w:tc>
          <w:tcPr>
            <w:tcW w:w="3046" w:type="dxa"/>
            <w:shd w:val="clear" w:color="auto" w:fill="auto"/>
          </w:tcPr>
          <w:p w:rsidR="008C4319" w:rsidRPr="00380610" w:rsidRDefault="008C4319" w:rsidP="006346C7">
            <w:pPr>
              <w:pStyle w:val="StandaardSV"/>
              <w:rPr>
                <w:b/>
                <w:sz w:val="20"/>
              </w:rPr>
            </w:pPr>
            <w:r w:rsidRPr="00380610">
              <w:rPr>
                <w:b/>
                <w:sz w:val="20"/>
              </w:rPr>
              <w:t>Projectzone</w:t>
            </w:r>
          </w:p>
        </w:tc>
        <w:tc>
          <w:tcPr>
            <w:tcW w:w="2314" w:type="dxa"/>
            <w:shd w:val="clear" w:color="auto" w:fill="auto"/>
          </w:tcPr>
          <w:p w:rsidR="00380610" w:rsidRPr="00380610" w:rsidRDefault="008C4319" w:rsidP="00380610">
            <w:pPr>
              <w:pStyle w:val="StandaardSV"/>
              <w:jc w:val="center"/>
              <w:rPr>
                <w:b/>
                <w:sz w:val="20"/>
              </w:rPr>
            </w:pPr>
            <w:r w:rsidRPr="00380610">
              <w:rPr>
                <w:b/>
                <w:sz w:val="20"/>
              </w:rPr>
              <w:t>Aangeboden leegstand</w:t>
            </w:r>
          </w:p>
          <w:p w:rsidR="008C4319" w:rsidRPr="00380610" w:rsidRDefault="008C4319" w:rsidP="00380610">
            <w:pPr>
              <w:pStyle w:val="StandaardSV"/>
              <w:jc w:val="center"/>
              <w:rPr>
                <w:b/>
                <w:sz w:val="20"/>
              </w:rPr>
            </w:pPr>
            <w:r w:rsidRPr="00380610">
              <w:rPr>
                <w:b/>
                <w:sz w:val="20"/>
              </w:rPr>
              <w:t>(te koop/te huur)</w:t>
            </w:r>
          </w:p>
        </w:tc>
        <w:tc>
          <w:tcPr>
            <w:tcW w:w="2697" w:type="dxa"/>
            <w:shd w:val="clear" w:color="auto" w:fill="auto"/>
          </w:tcPr>
          <w:p w:rsidR="008C4319" w:rsidRPr="00380610" w:rsidRDefault="008C4319" w:rsidP="00380610">
            <w:pPr>
              <w:pStyle w:val="StandaardSV"/>
              <w:jc w:val="center"/>
              <w:rPr>
                <w:b/>
                <w:sz w:val="20"/>
              </w:rPr>
            </w:pPr>
            <w:r w:rsidRPr="00380610">
              <w:rPr>
                <w:b/>
                <w:sz w:val="20"/>
              </w:rPr>
              <w:t>Niet aangeboden leegstand</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Aalst, Wijngaardveld</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Aalst, Zuid III</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Aalter, Lakeland</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Brakel, Industrielaan</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Deinze, E3-laan De Prijkels</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Dendermonde, Briel</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Dendermonde, Hoogveld</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 xml:space="preserve">Destelbergen, LO Houtstraat </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Erpe-Mere, E40 1 en 2</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Evergem, Ringvaart-Durmakker</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Rieme-Noord</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Gent, E17/R4 Ottergemsestw</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 xml:space="preserve">Gent, </w:t>
            </w:r>
            <w:r w:rsidR="008C1DE3" w:rsidRPr="00380610">
              <w:rPr>
                <w:sz w:val="20"/>
              </w:rPr>
              <w:t xml:space="preserve">R4 </w:t>
            </w:r>
            <w:r w:rsidRPr="00380610">
              <w:rPr>
                <w:sz w:val="20"/>
              </w:rPr>
              <w:t>Industrieweg, Wonde</w:t>
            </w:r>
            <w:r w:rsidRPr="00380610">
              <w:rPr>
                <w:sz w:val="20"/>
              </w:rPr>
              <w:t>l</w:t>
            </w:r>
            <w:r w:rsidRPr="00380610">
              <w:rPr>
                <w:sz w:val="20"/>
              </w:rPr>
              <w:t>gem-Mariakerke</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Gent, R4/N424 Afrikalaan - Koopvaardijlaan</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Gent Wiedauwkaai</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Gent, R4 70 Oostakker</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 xml:space="preserve">Gent, </w:t>
            </w:r>
            <w:r w:rsidR="008C1DE3" w:rsidRPr="00380610">
              <w:rPr>
                <w:sz w:val="20"/>
              </w:rPr>
              <w:t xml:space="preserve">R40, </w:t>
            </w:r>
            <w:r w:rsidRPr="00380610">
              <w:rPr>
                <w:sz w:val="20"/>
              </w:rPr>
              <w:t>Dok Noord-Zuid</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 xml:space="preserve">Zeehaven Gent </w:t>
            </w:r>
            <w:r w:rsidR="008C1DE3" w:rsidRPr="00380610">
              <w:rPr>
                <w:sz w:val="20"/>
              </w:rPr>
              <w:t xml:space="preserve">- </w:t>
            </w:r>
            <w:r w:rsidRPr="00380610">
              <w:rPr>
                <w:sz w:val="20"/>
              </w:rPr>
              <w:t>Kuhlmannkaai</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Geraardsbergen, Schendelbeke</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Lokeren, E17/1</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Lokeren, E17/3</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Maldegem, gemeentelijk bedri</w:t>
            </w:r>
            <w:r w:rsidRPr="00380610">
              <w:rPr>
                <w:sz w:val="20"/>
              </w:rPr>
              <w:t>j</w:t>
            </w:r>
            <w:r w:rsidRPr="00380610">
              <w:rPr>
                <w:sz w:val="20"/>
              </w:rPr>
              <w:t>venpark</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Nazareth, De Prijkels</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Nazareth, Eke</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Ninove, Burchtdam</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Oudenaarde, Bruwaan Ring II</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Ronse, Klein Frankrijk</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Sint-Niklaas, Europark Noord</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Sint-Niklaas, Hoogkamerstraat- Eigenlostraat</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lastRenderedPageBreak/>
              <w:t>Sint-Niklaas, Industriepark West</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Sint-Niklaas, Nobels-Peelman</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Temse, TTS</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Waarschoot, Hoekje-Kapellestraat</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Wachtebeke, Gebr. Naudtslaan</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Wetteren, Kwatrecht</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Zele</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Zulte, Karreweg</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Herzele, Ketegem</w:t>
            </w:r>
          </w:p>
        </w:tc>
        <w:tc>
          <w:tcPr>
            <w:tcW w:w="2314" w:type="dxa"/>
            <w:shd w:val="clear" w:color="auto" w:fill="auto"/>
          </w:tcPr>
          <w:p w:rsidR="008C4319" w:rsidRPr="00380610" w:rsidRDefault="008C4319" w:rsidP="00380610">
            <w:pPr>
              <w:pStyle w:val="StandaardSV"/>
              <w:jc w:val="center"/>
              <w:rPr>
                <w:sz w:val="20"/>
              </w:rPr>
            </w:pPr>
          </w:p>
        </w:tc>
        <w:tc>
          <w:tcPr>
            <w:tcW w:w="2697" w:type="dxa"/>
            <w:shd w:val="clear" w:color="auto" w:fill="auto"/>
          </w:tcPr>
          <w:p w:rsidR="008C4319" w:rsidRPr="00380610" w:rsidRDefault="008C4319" w:rsidP="00380610">
            <w:pPr>
              <w:pStyle w:val="StandaardSV"/>
              <w:jc w:val="center"/>
              <w:rPr>
                <w:sz w:val="20"/>
              </w:rPr>
            </w:pPr>
            <w:r w:rsidRPr="00380610">
              <w:rPr>
                <w:sz w:val="20"/>
              </w:rPr>
              <w:t>X</w:t>
            </w:r>
          </w:p>
        </w:tc>
      </w:tr>
      <w:tr w:rsidR="008C4319" w:rsidRPr="00380610" w:rsidTr="00380610">
        <w:tc>
          <w:tcPr>
            <w:tcW w:w="3046" w:type="dxa"/>
            <w:shd w:val="clear" w:color="auto" w:fill="auto"/>
          </w:tcPr>
          <w:p w:rsidR="008C4319" w:rsidRPr="00380610" w:rsidRDefault="008C4319" w:rsidP="006346C7">
            <w:pPr>
              <w:pStyle w:val="StandaardSV"/>
              <w:rPr>
                <w:sz w:val="20"/>
              </w:rPr>
            </w:pPr>
            <w:r w:rsidRPr="00380610">
              <w:rPr>
                <w:sz w:val="20"/>
              </w:rPr>
              <w:t>Zwalm, Boekelbaan</w:t>
            </w:r>
          </w:p>
        </w:tc>
        <w:tc>
          <w:tcPr>
            <w:tcW w:w="2314" w:type="dxa"/>
            <w:shd w:val="clear" w:color="auto" w:fill="auto"/>
          </w:tcPr>
          <w:p w:rsidR="008C4319" w:rsidRPr="00380610" w:rsidRDefault="008C4319" w:rsidP="00380610">
            <w:pPr>
              <w:pStyle w:val="StandaardSV"/>
              <w:jc w:val="center"/>
              <w:rPr>
                <w:sz w:val="20"/>
              </w:rPr>
            </w:pPr>
            <w:r w:rsidRPr="00380610">
              <w:rPr>
                <w:sz w:val="20"/>
              </w:rPr>
              <w:t>X</w:t>
            </w:r>
          </w:p>
        </w:tc>
        <w:tc>
          <w:tcPr>
            <w:tcW w:w="2697" w:type="dxa"/>
            <w:shd w:val="clear" w:color="auto" w:fill="auto"/>
          </w:tcPr>
          <w:p w:rsidR="008C4319" w:rsidRPr="00380610" w:rsidRDefault="008C4319" w:rsidP="00380610">
            <w:pPr>
              <w:pStyle w:val="StandaardSV"/>
              <w:jc w:val="center"/>
              <w:rPr>
                <w:sz w:val="20"/>
              </w:rPr>
            </w:pPr>
          </w:p>
        </w:tc>
      </w:tr>
    </w:tbl>
    <w:p w:rsidR="00C0013D" w:rsidRDefault="00C0013D" w:rsidP="00380610">
      <w:pPr>
        <w:pStyle w:val="StandaardSV"/>
        <w:ind w:left="360"/>
        <w:jc w:val="left"/>
      </w:pPr>
    </w:p>
    <w:p w:rsidR="008C4319" w:rsidRDefault="008C4319" w:rsidP="006D221A">
      <w:pPr>
        <w:pStyle w:val="StandaardSV"/>
        <w:numPr>
          <w:ilvl w:val="0"/>
          <w:numId w:val="6"/>
        </w:numPr>
      </w:pPr>
      <w:r>
        <w:t>In de provincies West-Vlaanderen en Antwerpen vormen de POM’s samen met de intercommun</w:t>
      </w:r>
      <w:r>
        <w:t>a</w:t>
      </w:r>
      <w:r>
        <w:t>les het activeringsteam. In Vlaams-Brabant is dit ook de bedoeling, maar moet nog afgewacht worden in hoeverre de intercommunale Haviland effectief een rol kan en wil spelen. In de provi</w:t>
      </w:r>
      <w:r>
        <w:t>n</w:t>
      </w:r>
      <w:r>
        <w:t xml:space="preserve">cie Limburg is LRM de partner waarmee </w:t>
      </w:r>
      <w:r w:rsidR="00383EA0">
        <w:t xml:space="preserve">de </w:t>
      </w:r>
      <w:r>
        <w:t xml:space="preserve">POM het activeringsteam vormt. Al deze partners hebben zich nu al geëngageerd ofwel </w:t>
      </w:r>
      <w:r w:rsidR="00383EA0">
        <w:t xml:space="preserve">voor </w:t>
      </w:r>
      <w:r>
        <w:t>bepaalde projectzones ofwel voor bepaalde rollen in het activeringsteam. In Oost-Vlaanderen trekt enkel de POM het activeringsteam maar hebben alle i</w:t>
      </w:r>
      <w:r>
        <w:t>n</w:t>
      </w:r>
      <w:r>
        <w:t xml:space="preserve">tercommunales wel hun interesse </w:t>
      </w:r>
      <w:r w:rsidR="008C1DE3">
        <w:t>betoond</w:t>
      </w:r>
      <w:r>
        <w:t xml:space="preserve"> – ook via een schriftelijke intentieverklaring – om actief mee te werken aan de activeringinspanning. Interwaas, Solva en Veneco wensen dat al van bij de voorbereidende fase (overleg lokale besturen, oplossingen zoeken voor knelpunten</w:t>
      </w:r>
      <w:r w:rsidR="00383EA0">
        <w:t>, etc.</w:t>
      </w:r>
      <w:r>
        <w:t>), DDS wil zich engageren voor de eigenlijke (her)ontwikkeling en vermarkting. Dat betekent dat na de ve</w:t>
      </w:r>
      <w:r>
        <w:t>r</w:t>
      </w:r>
      <w:r>
        <w:t>kennende fase voor elk afzonderlijk project de POMOV wordt geacht contact te zoeken met de b</w:t>
      </w:r>
      <w:r>
        <w:t>e</w:t>
      </w:r>
      <w:r>
        <w:t xml:space="preserve">trokken intercommunales. </w:t>
      </w:r>
    </w:p>
    <w:p w:rsidR="008C4319" w:rsidRDefault="008C4319" w:rsidP="006D221A">
      <w:pPr>
        <w:pStyle w:val="StandaardSV"/>
        <w:ind w:left="360"/>
      </w:pPr>
    </w:p>
    <w:p w:rsidR="008C4319" w:rsidRDefault="008C4319" w:rsidP="006D221A">
      <w:pPr>
        <w:pStyle w:val="StandaardSV"/>
        <w:ind w:left="360"/>
      </w:pPr>
      <w:r>
        <w:t>Daar waar in het verleden – bij de onderhandelingsteams – al een gestructureerde samenwerking bestond, is ervoor gekozen die samenwerking verder te zetten of nog te versterken. Dit geeft blijk van een goede verstandhouding tussen de publieke actoren wanneer er een concreet kader voor samenwerking is. Enkel door samen te werken kan een gebiedsdekkende aanpak gewaarborgd worden. Bovendien draagt de samenwerking bij tot een meer gestroomlijnde inzet van instrume</w:t>
      </w:r>
      <w:r>
        <w:t>n</w:t>
      </w:r>
      <w:r>
        <w:t xml:space="preserve">ten zoals een </w:t>
      </w:r>
      <w:r w:rsidR="008C1DE3">
        <w:t xml:space="preserve">terugkooprecht. </w:t>
      </w:r>
      <w:bookmarkStart w:id="0" w:name="_GoBack"/>
      <w:bookmarkEnd w:id="0"/>
    </w:p>
    <w:sectPr w:rsidR="008C4319" w:rsidSect="008C4319">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24A512C1"/>
    <w:multiLevelType w:val="hybridMultilevel"/>
    <w:tmpl w:val="6BDC3120"/>
    <w:lvl w:ilvl="0" w:tplc="5BBCCB6A">
      <w:start w:val="2"/>
      <w:numFmt w:val="decimal"/>
      <w:lvlText w:val="%1."/>
      <w:lvlJc w:val="left"/>
      <w:pPr>
        <w:tabs>
          <w:tab w:val="num" w:pos="720"/>
        </w:tabs>
        <w:ind w:left="720" w:hanging="360"/>
      </w:pPr>
      <w:rPr>
        <w:rFonts w:hint="default"/>
      </w:rPr>
    </w:lvl>
    <w:lvl w:ilvl="1" w:tplc="3446BCC2" w:tentative="1">
      <w:start w:val="1"/>
      <w:numFmt w:val="lowerLetter"/>
      <w:lvlText w:val="%2."/>
      <w:lvlJc w:val="left"/>
      <w:pPr>
        <w:tabs>
          <w:tab w:val="num" w:pos="1440"/>
        </w:tabs>
        <w:ind w:left="1440" w:hanging="360"/>
      </w:pPr>
    </w:lvl>
    <w:lvl w:ilvl="2" w:tplc="CDB8BB82" w:tentative="1">
      <w:start w:val="1"/>
      <w:numFmt w:val="lowerRoman"/>
      <w:lvlText w:val="%3."/>
      <w:lvlJc w:val="right"/>
      <w:pPr>
        <w:tabs>
          <w:tab w:val="num" w:pos="2160"/>
        </w:tabs>
        <w:ind w:left="2160" w:hanging="180"/>
      </w:pPr>
    </w:lvl>
    <w:lvl w:ilvl="3" w:tplc="22A0B5EC" w:tentative="1">
      <w:start w:val="1"/>
      <w:numFmt w:val="decimal"/>
      <w:lvlText w:val="%4."/>
      <w:lvlJc w:val="left"/>
      <w:pPr>
        <w:tabs>
          <w:tab w:val="num" w:pos="2880"/>
        </w:tabs>
        <w:ind w:left="2880" w:hanging="360"/>
      </w:pPr>
    </w:lvl>
    <w:lvl w:ilvl="4" w:tplc="A0021A1E" w:tentative="1">
      <w:start w:val="1"/>
      <w:numFmt w:val="lowerLetter"/>
      <w:lvlText w:val="%5."/>
      <w:lvlJc w:val="left"/>
      <w:pPr>
        <w:tabs>
          <w:tab w:val="num" w:pos="3600"/>
        </w:tabs>
        <w:ind w:left="3600" w:hanging="360"/>
      </w:pPr>
    </w:lvl>
    <w:lvl w:ilvl="5" w:tplc="590CAEE0" w:tentative="1">
      <w:start w:val="1"/>
      <w:numFmt w:val="lowerRoman"/>
      <w:lvlText w:val="%6."/>
      <w:lvlJc w:val="right"/>
      <w:pPr>
        <w:tabs>
          <w:tab w:val="num" w:pos="4320"/>
        </w:tabs>
        <w:ind w:left="4320" w:hanging="180"/>
      </w:pPr>
    </w:lvl>
    <w:lvl w:ilvl="6" w:tplc="44165B84" w:tentative="1">
      <w:start w:val="1"/>
      <w:numFmt w:val="decimal"/>
      <w:lvlText w:val="%7."/>
      <w:lvlJc w:val="left"/>
      <w:pPr>
        <w:tabs>
          <w:tab w:val="num" w:pos="5040"/>
        </w:tabs>
        <w:ind w:left="5040" w:hanging="360"/>
      </w:pPr>
    </w:lvl>
    <w:lvl w:ilvl="7" w:tplc="57E09EDC" w:tentative="1">
      <w:start w:val="1"/>
      <w:numFmt w:val="lowerLetter"/>
      <w:lvlText w:val="%8."/>
      <w:lvlJc w:val="left"/>
      <w:pPr>
        <w:tabs>
          <w:tab w:val="num" w:pos="5760"/>
        </w:tabs>
        <w:ind w:left="5760" w:hanging="360"/>
      </w:pPr>
    </w:lvl>
    <w:lvl w:ilvl="8" w:tplc="D8DCF08C" w:tentative="1">
      <w:start w:val="1"/>
      <w:numFmt w:val="lowerRoman"/>
      <w:lvlText w:val="%9."/>
      <w:lvlJc w:val="right"/>
      <w:pPr>
        <w:tabs>
          <w:tab w:val="num" w:pos="6480"/>
        </w:tabs>
        <w:ind w:left="6480" w:hanging="180"/>
      </w:pPr>
    </w:lvl>
  </w:abstractNum>
  <w:abstractNum w:abstractNumId="2">
    <w:nsid w:val="2D391FDE"/>
    <w:multiLevelType w:val="hybridMultilevel"/>
    <w:tmpl w:val="7B62C3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4C026A"/>
    <w:multiLevelType w:val="hybridMultilevel"/>
    <w:tmpl w:val="531E0F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622B64F9"/>
    <w:multiLevelType w:val="hybridMultilevel"/>
    <w:tmpl w:val="F490FAAC"/>
    <w:lvl w:ilvl="0" w:tplc="9D98535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157A87"/>
    <w:rsid w:val="001747B4"/>
    <w:rsid w:val="001F0937"/>
    <w:rsid w:val="002730B7"/>
    <w:rsid w:val="002C4263"/>
    <w:rsid w:val="00380610"/>
    <w:rsid w:val="00383EA0"/>
    <w:rsid w:val="003F450F"/>
    <w:rsid w:val="004E3D88"/>
    <w:rsid w:val="005431C7"/>
    <w:rsid w:val="006114A2"/>
    <w:rsid w:val="00666A93"/>
    <w:rsid w:val="006A324D"/>
    <w:rsid w:val="006D221A"/>
    <w:rsid w:val="006F7264"/>
    <w:rsid w:val="007A666B"/>
    <w:rsid w:val="007B527F"/>
    <w:rsid w:val="007E1B71"/>
    <w:rsid w:val="007F7F53"/>
    <w:rsid w:val="008C1DE3"/>
    <w:rsid w:val="008C4319"/>
    <w:rsid w:val="009976C1"/>
    <w:rsid w:val="009E2C40"/>
    <w:rsid w:val="00A5222E"/>
    <w:rsid w:val="00A55DD8"/>
    <w:rsid w:val="00AB0AA4"/>
    <w:rsid w:val="00C0013D"/>
    <w:rsid w:val="00D522C8"/>
    <w:rsid w:val="00EB78CA"/>
    <w:rsid w:val="00F2672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uiPriority w:val="99"/>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table" w:styleId="Tabelraster">
    <w:name w:val="Table Grid"/>
    <w:basedOn w:val="Standaardtabel"/>
    <w:rsid w:val="00A55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55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uiPriority w:val="99"/>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table" w:styleId="Tabelraster">
    <w:name w:val="Table Grid"/>
    <w:basedOn w:val="Standaardtabel"/>
    <w:rsid w:val="00A55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5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3D95-967E-48DC-9879-396D96A9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3</Pages>
  <Words>1018</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3</cp:revision>
  <cp:lastPrinted>2007-12-14T07:15:00Z</cp:lastPrinted>
  <dcterms:created xsi:type="dcterms:W3CDTF">2013-02-20T12:54:00Z</dcterms:created>
  <dcterms:modified xsi:type="dcterms:W3CDTF">2013-02-22T09:35:00Z</dcterms:modified>
</cp:coreProperties>
</file>