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82" w:rsidRPr="005628FF" w:rsidRDefault="00782382" w:rsidP="00782382">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r>
        <w:rPr>
          <w:b/>
          <w:bCs/>
          <w:smallCaps/>
          <w:sz w:val="22"/>
          <w:szCs w:val="22"/>
          <w:lang w:val="nl-BE"/>
        </w:rPr>
        <w:t xml:space="preserve"> </w:t>
      </w:r>
    </w:p>
    <w:p w:rsidR="00782382" w:rsidRPr="004C29BE" w:rsidRDefault="00782382" w:rsidP="00782382">
      <w:pPr>
        <w:pBdr>
          <w:bottom w:val="single" w:sz="4" w:space="1" w:color="auto"/>
        </w:pBdr>
        <w:rPr>
          <w:smallCaps/>
          <w:sz w:val="22"/>
          <w:szCs w:val="22"/>
          <w:lang w:val="nl-BE"/>
        </w:rPr>
      </w:pPr>
      <w:proofErr w:type="spellStart"/>
      <w:r>
        <w:rPr>
          <w:smallCaps/>
          <w:sz w:val="22"/>
          <w:szCs w:val="22"/>
          <w:lang w:val="nl-BE"/>
        </w:rPr>
        <w:t>v</w:t>
      </w:r>
      <w:r w:rsidRPr="004C29BE">
        <w:rPr>
          <w:smallCaps/>
          <w:sz w:val="22"/>
          <w:szCs w:val="22"/>
          <w:lang w:val="nl-BE"/>
        </w:rPr>
        <w:t>laams</w:t>
      </w:r>
      <w:proofErr w:type="spellEnd"/>
      <w:r w:rsidRPr="004C29BE">
        <w:rPr>
          <w:smallCaps/>
          <w:sz w:val="22"/>
          <w:szCs w:val="22"/>
          <w:lang w:val="nl-BE"/>
        </w:rPr>
        <w:t xml:space="preserve"> minister van financiën, begroting, werk, ruimtelijke ordening en sport</w:t>
      </w:r>
    </w:p>
    <w:p w:rsidR="0068216A" w:rsidRPr="005628FF" w:rsidRDefault="0068216A" w:rsidP="0068216A">
      <w:pPr>
        <w:pBdr>
          <w:bottom w:val="single" w:sz="4" w:space="1" w:color="auto"/>
        </w:pBdr>
        <w:rPr>
          <w:sz w:val="22"/>
          <w:szCs w:val="22"/>
          <w:lang w:val="nl-BE"/>
        </w:rPr>
      </w:pPr>
    </w:p>
    <w:p w:rsidR="0068216A" w:rsidRPr="005628FF" w:rsidRDefault="0068216A" w:rsidP="0068216A">
      <w:pPr>
        <w:rPr>
          <w:sz w:val="22"/>
          <w:szCs w:val="22"/>
        </w:rPr>
      </w:pPr>
    </w:p>
    <w:p w:rsidR="00482870" w:rsidRDefault="00482870" w:rsidP="0068216A">
      <w:pPr>
        <w:rPr>
          <w:sz w:val="22"/>
          <w:szCs w:val="22"/>
        </w:rPr>
      </w:pPr>
      <w:r w:rsidRPr="005C4A96">
        <w:rPr>
          <w:b/>
          <w:smallCaps/>
          <w:sz w:val="22"/>
          <w:szCs w:val="22"/>
        </w:rPr>
        <w:t>antwoord</w:t>
      </w:r>
      <w:r w:rsidRPr="005628FF">
        <w:rPr>
          <w:sz w:val="22"/>
          <w:szCs w:val="22"/>
        </w:rPr>
        <w:t xml:space="preserve"> </w:t>
      </w:r>
    </w:p>
    <w:p w:rsidR="0068216A" w:rsidRPr="00782382" w:rsidRDefault="0068216A" w:rsidP="0068216A">
      <w:pPr>
        <w:rPr>
          <w:sz w:val="22"/>
          <w:szCs w:val="22"/>
        </w:rPr>
      </w:pPr>
      <w:r w:rsidRPr="00782382">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A02AAA" w:rsidRPr="00782382">
            <w:rPr>
              <w:sz w:val="22"/>
              <w:szCs w:val="22"/>
              <w:lang w:val="nl-BE"/>
            </w:rPr>
            <w:t>266</w:t>
          </w:r>
        </w:sdtContent>
      </w:sdt>
      <w:r w:rsidRPr="00782382">
        <w:rPr>
          <w:sz w:val="22"/>
          <w:szCs w:val="22"/>
        </w:rPr>
        <w:t xml:space="preserve"> </w:t>
      </w:r>
      <w:r w:rsidR="00782382">
        <w:rPr>
          <w:sz w:val="22"/>
          <w:szCs w:val="22"/>
        </w:rPr>
        <w:t>van 1</w:t>
      </w:r>
      <w:r w:rsidR="00127983">
        <w:rPr>
          <w:sz w:val="22"/>
          <w:szCs w:val="22"/>
        </w:rPr>
        <w:t>5</w:t>
      </w:r>
      <w:r w:rsidR="00782382">
        <w:rPr>
          <w:sz w:val="22"/>
          <w:szCs w:val="22"/>
        </w:rPr>
        <w:t xml:space="preserve"> januari 2013</w:t>
      </w:r>
    </w:p>
    <w:p w:rsidR="0068216A" w:rsidRPr="005628FF" w:rsidRDefault="00482870" w:rsidP="0068216A">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782382">
            <w:rPr>
              <w:rFonts w:ascii="Times New Roman Vet" w:hAnsi="Times New Roman Vet"/>
              <w:b/>
              <w:smallCaps/>
              <w:sz w:val="22"/>
              <w:szCs w:val="22"/>
              <w:lang w:val="nl-BE"/>
            </w:rPr>
            <w:t>bart</w:t>
          </w:r>
          <w:proofErr w:type="spellEnd"/>
          <w:r w:rsidR="00782382">
            <w:rPr>
              <w:rFonts w:ascii="Times New Roman Vet" w:hAnsi="Times New Roman Vet"/>
              <w:b/>
              <w:smallCaps/>
              <w:sz w:val="22"/>
              <w:szCs w:val="22"/>
              <w:lang w:val="nl-BE"/>
            </w:rPr>
            <w:t xml:space="preserve"> van </w:t>
          </w:r>
          <w:proofErr w:type="spellStart"/>
          <w:r w:rsidR="00782382">
            <w:rPr>
              <w:rFonts w:ascii="Times New Roman Vet" w:hAnsi="Times New Roman Vet"/>
              <w:b/>
              <w:smallCaps/>
              <w:sz w:val="22"/>
              <w:szCs w:val="22"/>
              <w:lang w:val="nl-BE"/>
            </w:rPr>
            <w:t>m</w:t>
          </w:r>
          <w:r w:rsidR="00BD1E2A" w:rsidRPr="00782382">
            <w:rPr>
              <w:rFonts w:ascii="Times New Roman Vet" w:hAnsi="Times New Roman Vet"/>
              <w:b/>
              <w:smallCaps/>
              <w:sz w:val="22"/>
              <w:szCs w:val="22"/>
              <w:lang w:val="nl-BE"/>
            </w:rPr>
            <w:t>a</w:t>
          </w:r>
          <w:r w:rsidR="00127983">
            <w:rPr>
              <w:rFonts w:ascii="Times New Roman Vet" w:hAnsi="Times New Roman Vet"/>
              <w:b/>
              <w:smallCaps/>
              <w:sz w:val="22"/>
              <w:szCs w:val="22"/>
              <w:lang w:val="nl-BE"/>
            </w:rPr>
            <w:t>l</w:t>
          </w:r>
          <w:r w:rsidR="00BD1E2A" w:rsidRPr="00782382">
            <w:rPr>
              <w:rFonts w:ascii="Times New Roman Vet" w:hAnsi="Times New Roman Vet"/>
              <w:b/>
              <w:smallCaps/>
              <w:sz w:val="22"/>
              <w:szCs w:val="22"/>
              <w:lang w:val="nl-BE"/>
            </w:rPr>
            <w:t>deren</w:t>
          </w:r>
          <w:proofErr w:type="spellEnd"/>
        </w:sdtContent>
      </w:sdt>
    </w:p>
    <w:p w:rsidR="0068216A" w:rsidRPr="005628FF" w:rsidRDefault="0068216A" w:rsidP="0068216A">
      <w:pPr>
        <w:pBdr>
          <w:bottom w:val="single" w:sz="4" w:space="1" w:color="auto"/>
        </w:pBdr>
        <w:rPr>
          <w:sz w:val="22"/>
          <w:szCs w:val="22"/>
        </w:rPr>
      </w:pPr>
    </w:p>
    <w:p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rsidR="00782382" w:rsidRDefault="00782382" w:rsidP="0068216A">
      <w:pPr>
        <w:jc w:val="both"/>
        <w:rPr>
          <w:sz w:val="22"/>
          <w:szCs w:val="22"/>
        </w:rPr>
      </w:pPr>
    </w:p>
    <w:p w:rsidR="00127983" w:rsidRPr="005628FF" w:rsidRDefault="00127983" w:rsidP="00127983">
      <w:pPr>
        <w:ind w:right="632"/>
        <w:jc w:val="both"/>
        <w:rPr>
          <w:sz w:val="22"/>
          <w:szCs w:val="22"/>
        </w:rPr>
      </w:pPr>
    </w:p>
    <w:p w:rsidR="00300049" w:rsidRPr="00127983" w:rsidRDefault="00300049" w:rsidP="00782382">
      <w:pPr>
        <w:pStyle w:val="Lijstalinea"/>
        <w:numPr>
          <w:ilvl w:val="0"/>
          <w:numId w:val="15"/>
        </w:numPr>
        <w:tabs>
          <w:tab w:val="num" w:pos="397"/>
        </w:tabs>
        <w:ind w:left="397" w:right="567" w:hanging="397"/>
        <w:jc w:val="both"/>
        <w:rPr>
          <w:sz w:val="22"/>
          <w:szCs w:val="22"/>
        </w:rPr>
      </w:pPr>
      <w:r w:rsidRPr="00127983">
        <w:rPr>
          <w:sz w:val="22"/>
          <w:szCs w:val="22"/>
        </w:rPr>
        <w:t xml:space="preserve">Een eventuele samenhang tussen de opportuniteit van de hoeveelheid middelen voor de VDAB enerzijds en het aantal niet-werkende werkzoekenden (NWWZ) anderzijds, dient te worden genuanceerd. In economisch voorspoedige tijden kan inderdaad verwacht worden dat het aantal </w:t>
      </w:r>
      <w:proofErr w:type="spellStart"/>
      <w:r w:rsidRPr="00127983">
        <w:rPr>
          <w:sz w:val="22"/>
          <w:szCs w:val="22"/>
        </w:rPr>
        <w:t>NWWZ’en</w:t>
      </w:r>
      <w:proofErr w:type="spellEnd"/>
      <w:r w:rsidRPr="00127983">
        <w:rPr>
          <w:sz w:val="22"/>
          <w:szCs w:val="22"/>
        </w:rPr>
        <w:t xml:space="preserve"> daalt. De werkzoekenden die overblijven zijn in dat geval echter veelal degenen die het meest ondersteuning nodig hebben. Anderzijds richt de VDAB zich zeker niet uitsluitend op de </w:t>
      </w:r>
      <w:proofErr w:type="spellStart"/>
      <w:r w:rsidRPr="00127983">
        <w:rPr>
          <w:sz w:val="22"/>
          <w:szCs w:val="22"/>
        </w:rPr>
        <w:t>NWWZ’en</w:t>
      </w:r>
      <w:proofErr w:type="spellEnd"/>
      <w:r w:rsidRPr="00127983">
        <w:rPr>
          <w:sz w:val="22"/>
          <w:szCs w:val="22"/>
        </w:rPr>
        <w:t>. In economisch voorspoedige tijden zal de VDAB meer inspanningen moeten leveren naar vacaturebemiddeling doordat er meer vacatures worden aangeboden, terwijl er minder geschikte kandidaten gekend zijn. Omdat de werkzoekenden die bij hoogconjunctuur nog niet aan de slag geraken vaker nood hebben aan beroepsopleiding, neemt ook de nood aan beroepsopleiding niet verhoudingsgewijs af. Het budget van de VDAB hoeft dus zeker niet proportioneel toe- of af te nemen met de evolutie van het aantal NWWZ. Een rechtstreeks verband tussen de VDAB werkbegroting en de toename van het aantal NWWZ is bijgevolg moeilijk te leggen. Hieronder volgen enkele cijfergegevens.</w:t>
      </w:r>
    </w:p>
    <w:p w:rsidR="00782382" w:rsidRPr="00127983" w:rsidRDefault="00782382" w:rsidP="00782382">
      <w:pPr>
        <w:pStyle w:val="Lijstalinea"/>
        <w:ind w:left="397" w:right="567"/>
        <w:jc w:val="both"/>
        <w:rPr>
          <w:sz w:val="22"/>
          <w:szCs w:val="22"/>
        </w:rPr>
      </w:pPr>
    </w:p>
    <w:p w:rsidR="00300049" w:rsidRPr="00127983" w:rsidRDefault="00300049" w:rsidP="00782382">
      <w:pPr>
        <w:pStyle w:val="Lijstalinea"/>
        <w:ind w:left="397" w:right="567"/>
        <w:jc w:val="both"/>
        <w:rPr>
          <w:sz w:val="22"/>
          <w:szCs w:val="22"/>
        </w:rPr>
      </w:pPr>
      <w:r w:rsidRPr="00127983">
        <w:rPr>
          <w:sz w:val="22"/>
          <w:szCs w:val="22"/>
          <w:u w:val="single"/>
        </w:rPr>
        <w:t>VDAB-werkbegroting</w:t>
      </w:r>
      <w:r w:rsidRPr="00127983">
        <w:rPr>
          <w:sz w:val="22"/>
          <w:szCs w:val="22"/>
        </w:rPr>
        <w:t>: Onderstaande tabel geeft de evolutie weer van de VDA</w:t>
      </w:r>
      <w:r w:rsidR="00734576" w:rsidRPr="00127983">
        <w:rPr>
          <w:sz w:val="22"/>
          <w:szCs w:val="22"/>
        </w:rPr>
        <w:t>B-middelen van de 2007 tot 2012.</w:t>
      </w:r>
    </w:p>
    <w:tbl>
      <w:tblPr>
        <w:tblW w:w="9131" w:type="dxa"/>
        <w:tblInd w:w="55" w:type="dxa"/>
        <w:tblCellMar>
          <w:left w:w="70" w:type="dxa"/>
          <w:right w:w="70" w:type="dxa"/>
        </w:tblCellMar>
        <w:tblLook w:val="0000" w:firstRow="0" w:lastRow="0" w:firstColumn="0" w:lastColumn="0" w:noHBand="0" w:noVBand="0"/>
      </w:tblPr>
      <w:tblGrid>
        <w:gridCol w:w="2425"/>
        <w:gridCol w:w="1134"/>
        <w:gridCol w:w="1046"/>
        <w:gridCol w:w="1046"/>
        <w:gridCol w:w="1160"/>
        <w:gridCol w:w="1160"/>
        <w:gridCol w:w="1160"/>
      </w:tblGrid>
      <w:tr w:rsidR="00300049" w:rsidRPr="00300049" w:rsidTr="00782382">
        <w:trPr>
          <w:trHeight w:val="315"/>
        </w:trPr>
        <w:tc>
          <w:tcPr>
            <w:tcW w:w="5651" w:type="dxa"/>
            <w:gridSpan w:val="4"/>
            <w:tcBorders>
              <w:top w:val="nil"/>
              <w:left w:val="nil"/>
              <w:bottom w:val="nil"/>
              <w:right w:val="nil"/>
            </w:tcBorders>
            <w:shd w:val="clear" w:color="auto" w:fill="auto"/>
            <w:noWrap/>
            <w:vAlign w:val="bottom"/>
          </w:tcPr>
          <w:p w:rsidR="00300049" w:rsidRPr="00300049" w:rsidRDefault="00300049" w:rsidP="009D55B0">
            <w:pPr>
              <w:spacing w:before="240"/>
              <w:rPr>
                <w:rFonts w:asciiTheme="minorHAnsi" w:hAnsiTheme="minorHAnsi" w:cstheme="minorHAnsi"/>
                <w:b/>
                <w:bCs/>
                <w:sz w:val="22"/>
                <w:szCs w:val="22"/>
              </w:rPr>
            </w:pPr>
            <w:r w:rsidRPr="00300049">
              <w:rPr>
                <w:rFonts w:asciiTheme="minorHAnsi" w:hAnsiTheme="minorHAnsi" w:cstheme="minorHAnsi"/>
                <w:b/>
                <w:bCs/>
                <w:sz w:val="22"/>
                <w:szCs w:val="22"/>
              </w:rPr>
              <w:t>Synthesetabel</w:t>
            </w:r>
            <w:r w:rsidR="00FE32AE">
              <w:rPr>
                <w:rFonts w:asciiTheme="minorHAnsi" w:hAnsiTheme="minorHAnsi" w:cstheme="minorHAnsi"/>
                <w:b/>
                <w:bCs/>
                <w:sz w:val="22"/>
                <w:szCs w:val="22"/>
              </w:rPr>
              <w:t>:</w:t>
            </w:r>
            <w:r w:rsidR="00734576">
              <w:rPr>
                <w:rFonts w:asciiTheme="minorHAnsi" w:hAnsiTheme="minorHAnsi" w:cstheme="minorHAnsi"/>
                <w:b/>
                <w:bCs/>
                <w:sz w:val="22"/>
                <w:szCs w:val="22"/>
              </w:rPr>
              <w:t xml:space="preserve"> </w:t>
            </w:r>
            <w:r w:rsidR="00FE32AE">
              <w:rPr>
                <w:rFonts w:asciiTheme="minorHAnsi" w:hAnsiTheme="minorHAnsi" w:cstheme="minorHAnsi"/>
                <w:b/>
                <w:bCs/>
                <w:sz w:val="22"/>
                <w:szCs w:val="22"/>
              </w:rPr>
              <w:t>i</w:t>
            </w:r>
            <w:r w:rsidRPr="00300049">
              <w:rPr>
                <w:rFonts w:asciiTheme="minorHAnsi" w:hAnsiTheme="minorHAnsi" w:cstheme="minorHAnsi"/>
                <w:b/>
                <w:bCs/>
                <w:sz w:val="22"/>
                <w:szCs w:val="22"/>
              </w:rPr>
              <w:t xml:space="preserve">nterne werkbegroting VDAB </w:t>
            </w:r>
            <w:r w:rsidR="009D55B0">
              <w:rPr>
                <w:rFonts w:asciiTheme="minorHAnsi" w:hAnsiTheme="minorHAnsi" w:cstheme="minorHAnsi"/>
                <w:b/>
                <w:bCs/>
                <w:sz w:val="22"/>
                <w:szCs w:val="22"/>
              </w:rPr>
              <w:t>(x 1.000 euro)</w:t>
            </w:r>
          </w:p>
        </w:tc>
        <w:tc>
          <w:tcPr>
            <w:tcW w:w="1160" w:type="dxa"/>
            <w:tcBorders>
              <w:top w:val="nil"/>
              <w:left w:val="nil"/>
              <w:bottom w:val="nil"/>
              <w:right w:val="nil"/>
            </w:tcBorders>
            <w:shd w:val="clear" w:color="auto" w:fill="auto"/>
            <w:noWrap/>
            <w:vAlign w:val="bottom"/>
          </w:tcPr>
          <w:p w:rsidR="00300049" w:rsidRPr="00300049" w:rsidRDefault="00300049" w:rsidP="009D55B0">
            <w:pPr>
              <w:spacing w:before="240"/>
              <w:rPr>
                <w:rFonts w:asciiTheme="minorHAnsi" w:hAnsiTheme="minorHAnsi" w:cstheme="minorHAnsi"/>
                <w:sz w:val="22"/>
                <w:szCs w:val="22"/>
              </w:rPr>
            </w:pPr>
          </w:p>
        </w:tc>
        <w:tc>
          <w:tcPr>
            <w:tcW w:w="1160" w:type="dxa"/>
            <w:tcBorders>
              <w:top w:val="nil"/>
              <w:left w:val="nil"/>
              <w:bottom w:val="nil"/>
              <w:right w:val="nil"/>
            </w:tcBorders>
            <w:shd w:val="clear" w:color="auto" w:fill="auto"/>
            <w:noWrap/>
            <w:vAlign w:val="bottom"/>
          </w:tcPr>
          <w:p w:rsidR="00300049" w:rsidRPr="00300049" w:rsidRDefault="00300049" w:rsidP="009D55B0">
            <w:pPr>
              <w:spacing w:before="240"/>
              <w:rPr>
                <w:rFonts w:asciiTheme="minorHAnsi" w:hAnsiTheme="minorHAnsi" w:cstheme="minorHAnsi"/>
                <w:sz w:val="22"/>
                <w:szCs w:val="22"/>
              </w:rPr>
            </w:pPr>
          </w:p>
        </w:tc>
        <w:tc>
          <w:tcPr>
            <w:tcW w:w="1160" w:type="dxa"/>
            <w:tcBorders>
              <w:top w:val="nil"/>
              <w:left w:val="nil"/>
              <w:bottom w:val="nil"/>
              <w:right w:val="nil"/>
            </w:tcBorders>
            <w:shd w:val="clear" w:color="auto" w:fill="auto"/>
            <w:noWrap/>
            <w:vAlign w:val="bottom"/>
          </w:tcPr>
          <w:p w:rsidR="00300049" w:rsidRPr="00300049" w:rsidRDefault="00300049" w:rsidP="009D55B0">
            <w:pPr>
              <w:spacing w:before="240"/>
              <w:rPr>
                <w:rFonts w:asciiTheme="minorHAnsi" w:hAnsiTheme="minorHAnsi" w:cstheme="minorHAnsi"/>
                <w:sz w:val="22"/>
                <w:szCs w:val="22"/>
              </w:rPr>
            </w:pPr>
          </w:p>
        </w:tc>
      </w:tr>
      <w:tr w:rsidR="00300049" w:rsidTr="00782382">
        <w:trPr>
          <w:trHeight w:val="255"/>
        </w:trPr>
        <w:tc>
          <w:tcPr>
            <w:tcW w:w="2425" w:type="dxa"/>
            <w:tcBorders>
              <w:top w:val="single" w:sz="4" w:space="0" w:color="auto"/>
              <w:left w:val="single" w:sz="4" w:space="0" w:color="auto"/>
              <w:bottom w:val="single" w:sz="4" w:space="0" w:color="auto"/>
              <w:right w:val="nil"/>
            </w:tcBorders>
            <w:shd w:val="clear" w:color="auto" w:fill="auto"/>
            <w:noWrap/>
            <w:vAlign w:val="bottom"/>
          </w:tcPr>
          <w:p w:rsidR="00300049" w:rsidRPr="008567AE" w:rsidRDefault="00300049" w:rsidP="001F024C">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300049" w:rsidRPr="008567AE" w:rsidRDefault="00300049" w:rsidP="001F024C">
            <w:pPr>
              <w:jc w:val="center"/>
              <w:rPr>
                <w:rFonts w:asciiTheme="minorHAnsi" w:hAnsiTheme="minorHAnsi" w:cstheme="minorHAnsi"/>
                <w:sz w:val="20"/>
                <w:szCs w:val="20"/>
              </w:rPr>
            </w:pPr>
            <w:r w:rsidRPr="008567AE">
              <w:rPr>
                <w:rFonts w:asciiTheme="minorHAnsi" w:hAnsiTheme="minorHAnsi" w:cstheme="minorHAnsi"/>
                <w:sz w:val="20"/>
                <w:szCs w:val="20"/>
              </w:rPr>
              <w:t>2007</w:t>
            </w:r>
          </w:p>
        </w:tc>
        <w:tc>
          <w:tcPr>
            <w:tcW w:w="1046" w:type="dxa"/>
            <w:tcBorders>
              <w:top w:val="single" w:sz="4" w:space="0" w:color="auto"/>
              <w:left w:val="nil"/>
              <w:bottom w:val="single" w:sz="4" w:space="0" w:color="auto"/>
              <w:right w:val="single" w:sz="4" w:space="0" w:color="auto"/>
            </w:tcBorders>
            <w:shd w:val="clear" w:color="auto" w:fill="FFCC99"/>
            <w:noWrap/>
            <w:vAlign w:val="bottom"/>
          </w:tcPr>
          <w:p w:rsidR="00300049" w:rsidRPr="008567AE" w:rsidRDefault="00300049" w:rsidP="001F024C">
            <w:pPr>
              <w:jc w:val="center"/>
              <w:rPr>
                <w:rFonts w:asciiTheme="minorHAnsi" w:hAnsiTheme="minorHAnsi" w:cstheme="minorHAnsi"/>
                <w:sz w:val="20"/>
                <w:szCs w:val="20"/>
              </w:rPr>
            </w:pPr>
            <w:r w:rsidRPr="008567AE">
              <w:rPr>
                <w:rFonts w:asciiTheme="minorHAnsi" w:hAnsiTheme="minorHAnsi" w:cstheme="minorHAnsi"/>
                <w:sz w:val="20"/>
                <w:szCs w:val="20"/>
              </w:rPr>
              <w:t>2008</w:t>
            </w:r>
          </w:p>
        </w:tc>
        <w:tc>
          <w:tcPr>
            <w:tcW w:w="1046" w:type="dxa"/>
            <w:tcBorders>
              <w:top w:val="single" w:sz="4" w:space="0" w:color="auto"/>
              <w:left w:val="nil"/>
              <w:bottom w:val="single" w:sz="4" w:space="0" w:color="auto"/>
              <w:right w:val="single" w:sz="4" w:space="0" w:color="auto"/>
            </w:tcBorders>
            <w:shd w:val="clear" w:color="auto" w:fill="FFCC99"/>
            <w:noWrap/>
            <w:vAlign w:val="bottom"/>
          </w:tcPr>
          <w:p w:rsidR="00300049" w:rsidRPr="008567AE" w:rsidRDefault="00300049" w:rsidP="001F024C">
            <w:pPr>
              <w:jc w:val="center"/>
              <w:rPr>
                <w:rFonts w:asciiTheme="minorHAnsi" w:hAnsiTheme="minorHAnsi" w:cstheme="minorHAnsi"/>
                <w:sz w:val="20"/>
                <w:szCs w:val="20"/>
              </w:rPr>
            </w:pPr>
            <w:r w:rsidRPr="008567AE">
              <w:rPr>
                <w:rFonts w:asciiTheme="minorHAnsi" w:hAnsiTheme="minorHAnsi" w:cstheme="minorHAnsi"/>
                <w:sz w:val="20"/>
                <w:szCs w:val="20"/>
              </w:rPr>
              <w:t>2009</w:t>
            </w:r>
          </w:p>
        </w:tc>
        <w:tc>
          <w:tcPr>
            <w:tcW w:w="1160" w:type="dxa"/>
            <w:tcBorders>
              <w:top w:val="single" w:sz="4" w:space="0" w:color="auto"/>
              <w:left w:val="nil"/>
              <w:bottom w:val="single" w:sz="4" w:space="0" w:color="auto"/>
              <w:right w:val="single" w:sz="4" w:space="0" w:color="auto"/>
            </w:tcBorders>
            <w:shd w:val="clear" w:color="auto" w:fill="FFCC99"/>
            <w:noWrap/>
            <w:vAlign w:val="bottom"/>
          </w:tcPr>
          <w:p w:rsidR="00300049" w:rsidRPr="008567AE" w:rsidRDefault="00300049" w:rsidP="001F024C">
            <w:pPr>
              <w:jc w:val="center"/>
              <w:rPr>
                <w:rFonts w:asciiTheme="minorHAnsi" w:hAnsiTheme="minorHAnsi" w:cstheme="minorHAnsi"/>
                <w:sz w:val="20"/>
                <w:szCs w:val="20"/>
              </w:rPr>
            </w:pPr>
            <w:r w:rsidRPr="008567AE">
              <w:rPr>
                <w:rFonts w:asciiTheme="minorHAnsi" w:hAnsiTheme="minorHAnsi" w:cstheme="minorHAnsi"/>
                <w:sz w:val="20"/>
                <w:szCs w:val="20"/>
              </w:rPr>
              <w:t>2010</w:t>
            </w:r>
          </w:p>
        </w:tc>
        <w:tc>
          <w:tcPr>
            <w:tcW w:w="1160" w:type="dxa"/>
            <w:tcBorders>
              <w:top w:val="single" w:sz="4" w:space="0" w:color="auto"/>
              <w:left w:val="nil"/>
              <w:bottom w:val="single" w:sz="4" w:space="0" w:color="auto"/>
              <w:right w:val="single" w:sz="4" w:space="0" w:color="auto"/>
            </w:tcBorders>
            <w:shd w:val="clear" w:color="auto" w:fill="FFCC99"/>
            <w:noWrap/>
            <w:vAlign w:val="bottom"/>
          </w:tcPr>
          <w:p w:rsidR="00300049" w:rsidRPr="008567AE" w:rsidRDefault="00300049" w:rsidP="001F024C">
            <w:pPr>
              <w:jc w:val="center"/>
              <w:rPr>
                <w:rFonts w:asciiTheme="minorHAnsi" w:hAnsiTheme="minorHAnsi" w:cstheme="minorHAnsi"/>
                <w:sz w:val="20"/>
                <w:szCs w:val="20"/>
              </w:rPr>
            </w:pPr>
            <w:r w:rsidRPr="008567AE">
              <w:rPr>
                <w:rFonts w:asciiTheme="minorHAnsi" w:hAnsiTheme="minorHAnsi" w:cstheme="minorHAnsi"/>
                <w:sz w:val="20"/>
                <w:szCs w:val="20"/>
              </w:rPr>
              <w:t>2011</w:t>
            </w:r>
          </w:p>
        </w:tc>
        <w:tc>
          <w:tcPr>
            <w:tcW w:w="1160" w:type="dxa"/>
            <w:tcBorders>
              <w:top w:val="single" w:sz="4" w:space="0" w:color="auto"/>
              <w:left w:val="nil"/>
              <w:bottom w:val="single" w:sz="4" w:space="0" w:color="auto"/>
              <w:right w:val="single" w:sz="4" w:space="0" w:color="auto"/>
            </w:tcBorders>
            <w:shd w:val="clear" w:color="auto" w:fill="FFFF00"/>
            <w:noWrap/>
            <w:vAlign w:val="bottom"/>
          </w:tcPr>
          <w:p w:rsidR="00300049" w:rsidRPr="008567AE" w:rsidRDefault="00300049" w:rsidP="001F024C">
            <w:pPr>
              <w:jc w:val="center"/>
              <w:rPr>
                <w:rFonts w:asciiTheme="minorHAnsi" w:hAnsiTheme="minorHAnsi" w:cstheme="minorHAnsi"/>
                <w:sz w:val="20"/>
                <w:szCs w:val="20"/>
              </w:rPr>
            </w:pPr>
            <w:r w:rsidRPr="008567AE">
              <w:rPr>
                <w:rFonts w:asciiTheme="minorHAnsi" w:hAnsiTheme="minorHAnsi" w:cstheme="minorHAnsi"/>
                <w:sz w:val="20"/>
                <w:szCs w:val="20"/>
              </w:rPr>
              <w:t>2012</w:t>
            </w:r>
          </w:p>
        </w:tc>
      </w:tr>
      <w:tr w:rsidR="00300049" w:rsidTr="00782382">
        <w:trPr>
          <w:trHeight w:val="255"/>
        </w:trPr>
        <w:tc>
          <w:tcPr>
            <w:tcW w:w="2425" w:type="dxa"/>
            <w:tcBorders>
              <w:top w:val="single" w:sz="4" w:space="0" w:color="auto"/>
              <w:left w:val="single" w:sz="4" w:space="0" w:color="auto"/>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Kosten</w:t>
            </w:r>
          </w:p>
        </w:tc>
        <w:tc>
          <w:tcPr>
            <w:tcW w:w="1134" w:type="dxa"/>
            <w:tcBorders>
              <w:top w:val="single" w:sz="4" w:space="0" w:color="auto"/>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w:t>
            </w:r>
          </w:p>
        </w:tc>
        <w:tc>
          <w:tcPr>
            <w:tcW w:w="1046" w:type="dxa"/>
            <w:tcBorders>
              <w:top w:val="single" w:sz="4" w:space="0" w:color="auto"/>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w:t>
            </w:r>
          </w:p>
        </w:tc>
        <w:tc>
          <w:tcPr>
            <w:tcW w:w="1046" w:type="dxa"/>
            <w:tcBorders>
              <w:top w:val="single" w:sz="4" w:space="0" w:color="auto"/>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single" w:sz="4" w:space="0" w:color="auto"/>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w:t>
            </w:r>
          </w:p>
        </w:tc>
        <w:tc>
          <w:tcPr>
            <w:tcW w:w="1160" w:type="dxa"/>
            <w:tcBorders>
              <w:top w:val="single" w:sz="4" w:space="0" w:color="auto"/>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w:t>
            </w:r>
          </w:p>
        </w:tc>
        <w:tc>
          <w:tcPr>
            <w:tcW w:w="1160" w:type="dxa"/>
            <w:tcBorders>
              <w:top w:val="single" w:sz="4" w:space="0" w:color="auto"/>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w:t>
            </w:r>
          </w:p>
        </w:tc>
      </w:tr>
      <w:tr w:rsidR="00300049" w:rsidTr="00782382">
        <w:trPr>
          <w:trHeight w:val="255"/>
        </w:trPr>
        <w:tc>
          <w:tcPr>
            <w:tcW w:w="2425" w:type="dxa"/>
            <w:tcBorders>
              <w:top w:val="nil"/>
              <w:left w:val="single" w:sz="4" w:space="0" w:color="auto"/>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 Personeelskosten</w:t>
            </w:r>
          </w:p>
        </w:tc>
        <w:tc>
          <w:tcPr>
            <w:tcW w:w="1134"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200.519</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209.118</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218.866</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223.215</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229.724</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240.379</w:t>
            </w:r>
          </w:p>
        </w:tc>
      </w:tr>
      <w:tr w:rsidR="00300049" w:rsidTr="00782382">
        <w:trPr>
          <w:trHeight w:val="255"/>
        </w:trPr>
        <w:tc>
          <w:tcPr>
            <w:tcW w:w="2425" w:type="dxa"/>
            <w:tcBorders>
              <w:top w:val="nil"/>
              <w:left w:val="single" w:sz="4" w:space="0" w:color="auto"/>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34"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r>
      <w:tr w:rsidR="00300049" w:rsidTr="00782382">
        <w:trPr>
          <w:trHeight w:val="255"/>
        </w:trPr>
        <w:tc>
          <w:tcPr>
            <w:tcW w:w="2425" w:type="dxa"/>
            <w:tcBorders>
              <w:top w:val="nil"/>
              <w:left w:val="single" w:sz="4" w:space="0" w:color="auto"/>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 Andere werkingskosten</w:t>
            </w:r>
          </w:p>
        </w:tc>
        <w:tc>
          <w:tcPr>
            <w:tcW w:w="1134"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86.639</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98.847</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96.989</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94.632</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93.515</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95.936</w:t>
            </w:r>
          </w:p>
        </w:tc>
      </w:tr>
      <w:tr w:rsidR="00300049" w:rsidTr="00782382">
        <w:trPr>
          <w:trHeight w:val="255"/>
        </w:trPr>
        <w:tc>
          <w:tcPr>
            <w:tcW w:w="2425" w:type="dxa"/>
            <w:tcBorders>
              <w:top w:val="nil"/>
              <w:left w:val="single" w:sz="4" w:space="0" w:color="auto"/>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34"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r>
      <w:tr w:rsidR="00300049" w:rsidTr="00782382">
        <w:trPr>
          <w:trHeight w:val="255"/>
        </w:trPr>
        <w:tc>
          <w:tcPr>
            <w:tcW w:w="2425" w:type="dxa"/>
            <w:tcBorders>
              <w:top w:val="nil"/>
              <w:left w:val="single" w:sz="4" w:space="0" w:color="auto"/>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 Sociale prestaties</w:t>
            </w:r>
          </w:p>
        </w:tc>
        <w:tc>
          <w:tcPr>
            <w:tcW w:w="1134"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154.178</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133.233</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147.863</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162.570</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163.782</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164.574</w:t>
            </w:r>
          </w:p>
        </w:tc>
      </w:tr>
      <w:tr w:rsidR="00300049" w:rsidTr="00782382">
        <w:trPr>
          <w:trHeight w:val="255"/>
        </w:trPr>
        <w:tc>
          <w:tcPr>
            <w:tcW w:w="2425" w:type="dxa"/>
            <w:tcBorders>
              <w:top w:val="nil"/>
              <w:left w:val="single" w:sz="4" w:space="0" w:color="auto"/>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34"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 </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 </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 </w:t>
            </w:r>
          </w:p>
        </w:tc>
      </w:tr>
      <w:tr w:rsidR="00300049" w:rsidTr="00782382">
        <w:trPr>
          <w:trHeight w:val="255"/>
        </w:trPr>
        <w:tc>
          <w:tcPr>
            <w:tcW w:w="2425" w:type="dxa"/>
            <w:tcBorders>
              <w:top w:val="nil"/>
              <w:left w:val="single" w:sz="4" w:space="0" w:color="auto"/>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 Derden</w:t>
            </w:r>
          </w:p>
        </w:tc>
        <w:tc>
          <w:tcPr>
            <w:tcW w:w="1134"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44.475</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49.042</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67.151</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75.377</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86.165</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100.521</w:t>
            </w:r>
          </w:p>
        </w:tc>
      </w:tr>
      <w:tr w:rsidR="00300049" w:rsidTr="00782382">
        <w:trPr>
          <w:trHeight w:val="255"/>
        </w:trPr>
        <w:tc>
          <w:tcPr>
            <w:tcW w:w="2425" w:type="dxa"/>
            <w:tcBorders>
              <w:top w:val="nil"/>
              <w:left w:val="single" w:sz="4" w:space="0" w:color="auto"/>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34"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 </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 </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 </w:t>
            </w:r>
          </w:p>
        </w:tc>
      </w:tr>
      <w:tr w:rsidR="00300049" w:rsidTr="00782382">
        <w:trPr>
          <w:trHeight w:val="255"/>
        </w:trPr>
        <w:tc>
          <w:tcPr>
            <w:tcW w:w="2425" w:type="dxa"/>
            <w:tcBorders>
              <w:top w:val="nil"/>
              <w:left w:val="single" w:sz="4" w:space="0" w:color="auto"/>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 Andere</w:t>
            </w:r>
          </w:p>
        </w:tc>
        <w:tc>
          <w:tcPr>
            <w:tcW w:w="1134"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851</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714</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3.015</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1.247</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760</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850</w:t>
            </w:r>
          </w:p>
        </w:tc>
      </w:tr>
      <w:tr w:rsidR="00300049" w:rsidTr="00782382">
        <w:trPr>
          <w:trHeight w:val="255"/>
        </w:trPr>
        <w:tc>
          <w:tcPr>
            <w:tcW w:w="2425" w:type="dxa"/>
            <w:tcBorders>
              <w:top w:val="nil"/>
              <w:left w:val="single" w:sz="4" w:space="0" w:color="auto"/>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34"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046"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nil"/>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r>
      <w:tr w:rsidR="00300049" w:rsidTr="00782382">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b/>
                <w:bCs/>
                <w:sz w:val="20"/>
                <w:szCs w:val="20"/>
              </w:rPr>
            </w:pPr>
            <w:r w:rsidRPr="008567AE">
              <w:rPr>
                <w:rFonts w:asciiTheme="minorHAnsi" w:hAnsiTheme="minorHAnsi" w:cstheme="minorHAnsi"/>
                <w:b/>
                <w:bCs/>
                <w:sz w:val="20"/>
                <w:szCs w:val="20"/>
              </w:rPr>
              <w:t>TOTAAL KOSTEN - AFSCHR</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b/>
                <w:bCs/>
                <w:sz w:val="20"/>
                <w:szCs w:val="20"/>
              </w:rPr>
            </w:pPr>
            <w:r w:rsidRPr="008567AE">
              <w:rPr>
                <w:rFonts w:asciiTheme="minorHAnsi" w:hAnsiTheme="minorHAnsi" w:cstheme="minorHAnsi"/>
                <w:b/>
                <w:bCs/>
                <w:sz w:val="20"/>
                <w:szCs w:val="20"/>
              </w:rPr>
              <w:t>486.662</w:t>
            </w:r>
          </w:p>
        </w:tc>
        <w:tc>
          <w:tcPr>
            <w:tcW w:w="1046" w:type="dxa"/>
            <w:tcBorders>
              <w:top w:val="single" w:sz="4" w:space="0" w:color="auto"/>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b/>
                <w:bCs/>
                <w:sz w:val="20"/>
                <w:szCs w:val="20"/>
              </w:rPr>
            </w:pPr>
            <w:r w:rsidRPr="008567AE">
              <w:rPr>
                <w:rFonts w:asciiTheme="minorHAnsi" w:hAnsiTheme="minorHAnsi" w:cstheme="minorHAnsi"/>
                <w:b/>
                <w:bCs/>
                <w:sz w:val="20"/>
                <w:szCs w:val="20"/>
              </w:rPr>
              <w:t>490.954</w:t>
            </w:r>
          </w:p>
        </w:tc>
        <w:tc>
          <w:tcPr>
            <w:tcW w:w="1046" w:type="dxa"/>
            <w:tcBorders>
              <w:top w:val="single" w:sz="4" w:space="0" w:color="auto"/>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b/>
                <w:bCs/>
                <w:sz w:val="20"/>
                <w:szCs w:val="20"/>
              </w:rPr>
            </w:pPr>
            <w:r w:rsidRPr="008567AE">
              <w:rPr>
                <w:rFonts w:asciiTheme="minorHAnsi" w:hAnsiTheme="minorHAnsi" w:cstheme="minorHAnsi"/>
                <w:b/>
                <w:bCs/>
                <w:sz w:val="20"/>
                <w:szCs w:val="20"/>
              </w:rPr>
              <w:t>533.884</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b/>
                <w:bCs/>
                <w:sz w:val="20"/>
                <w:szCs w:val="20"/>
              </w:rPr>
            </w:pPr>
            <w:r w:rsidRPr="008567AE">
              <w:rPr>
                <w:rFonts w:asciiTheme="minorHAnsi" w:hAnsiTheme="minorHAnsi" w:cstheme="minorHAnsi"/>
                <w:b/>
                <w:bCs/>
                <w:sz w:val="20"/>
                <w:szCs w:val="20"/>
              </w:rPr>
              <w:t>557.041</w:t>
            </w:r>
          </w:p>
        </w:tc>
        <w:tc>
          <w:tcPr>
            <w:tcW w:w="1160" w:type="dxa"/>
            <w:tcBorders>
              <w:top w:val="single" w:sz="4" w:space="0" w:color="auto"/>
              <w:left w:val="nil"/>
              <w:bottom w:val="single" w:sz="4" w:space="0" w:color="auto"/>
              <w:right w:val="nil"/>
            </w:tcBorders>
            <w:shd w:val="clear" w:color="auto" w:fill="auto"/>
            <w:noWrap/>
            <w:vAlign w:val="bottom"/>
          </w:tcPr>
          <w:p w:rsidR="00300049" w:rsidRPr="008567AE" w:rsidRDefault="00300049" w:rsidP="001F024C">
            <w:pPr>
              <w:jc w:val="right"/>
              <w:rPr>
                <w:rFonts w:asciiTheme="minorHAnsi" w:hAnsiTheme="minorHAnsi" w:cstheme="minorHAnsi"/>
                <w:b/>
                <w:bCs/>
                <w:sz w:val="20"/>
                <w:szCs w:val="20"/>
              </w:rPr>
            </w:pPr>
            <w:r w:rsidRPr="008567AE">
              <w:rPr>
                <w:rFonts w:asciiTheme="minorHAnsi" w:hAnsiTheme="minorHAnsi" w:cstheme="minorHAnsi"/>
                <w:b/>
                <w:bCs/>
                <w:sz w:val="20"/>
                <w:szCs w:val="20"/>
              </w:rPr>
              <w:t>573.946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b/>
                <w:bCs/>
                <w:sz w:val="20"/>
                <w:szCs w:val="20"/>
              </w:rPr>
            </w:pPr>
            <w:r w:rsidRPr="008567AE">
              <w:rPr>
                <w:rFonts w:asciiTheme="minorHAnsi" w:hAnsiTheme="minorHAnsi" w:cstheme="minorHAnsi"/>
                <w:b/>
                <w:bCs/>
                <w:sz w:val="20"/>
                <w:szCs w:val="20"/>
              </w:rPr>
              <w:t>602.260</w:t>
            </w:r>
          </w:p>
        </w:tc>
      </w:tr>
      <w:tr w:rsidR="00300049" w:rsidTr="00782382">
        <w:trPr>
          <w:trHeight w:val="255"/>
        </w:trPr>
        <w:tc>
          <w:tcPr>
            <w:tcW w:w="2425" w:type="dxa"/>
            <w:tcBorders>
              <w:top w:val="nil"/>
              <w:left w:val="nil"/>
              <w:bottom w:val="nil"/>
              <w:right w:val="nil"/>
            </w:tcBorders>
            <w:shd w:val="clear" w:color="auto" w:fill="auto"/>
            <w:noWrap/>
            <w:vAlign w:val="bottom"/>
          </w:tcPr>
          <w:p w:rsidR="00300049" w:rsidRPr="008567AE" w:rsidRDefault="00300049" w:rsidP="001F024C">
            <w:pPr>
              <w:rPr>
                <w:rFonts w:asciiTheme="minorHAnsi" w:hAnsiTheme="minorHAnsi" w:cstheme="minorHAnsi"/>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w:t>
            </w:r>
          </w:p>
        </w:tc>
        <w:tc>
          <w:tcPr>
            <w:tcW w:w="1046"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w:t>
            </w:r>
          </w:p>
        </w:tc>
        <w:tc>
          <w:tcPr>
            <w:tcW w:w="1046"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xml:space="preserve"> </w:t>
            </w:r>
          </w:p>
        </w:tc>
      </w:tr>
      <w:tr w:rsidR="00300049" w:rsidTr="00782382">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Investeringen</w:t>
            </w:r>
          </w:p>
        </w:tc>
        <w:tc>
          <w:tcPr>
            <w:tcW w:w="1134"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12.348</w:t>
            </w:r>
          </w:p>
        </w:tc>
        <w:tc>
          <w:tcPr>
            <w:tcW w:w="1046"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17.715</w:t>
            </w:r>
          </w:p>
        </w:tc>
        <w:tc>
          <w:tcPr>
            <w:tcW w:w="1046"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20.680</w:t>
            </w:r>
          </w:p>
        </w:tc>
        <w:tc>
          <w:tcPr>
            <w:tcW w:w="1160"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16.414</w:t>
            </w:r>
          </w:p>
        </w:tc>
        <w:tc>
          <w:tcPr>
            <w:tcW w:w="1160"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12.446</w:t>
            </w:r>
          </w:p>
        </w:tc>
        <w:tc>
          <w:tcPr>
            <w:tcW w:w="1160"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sz w:val="20"/>
                <w:szCs w:val="20"/>
              </w:rPr>
            </w:pPr>
            <w:r w:rsidRPr="008567AE">
              <w:rPr>
                <w:rFonts w:asciiTheme="minorHAnsi" w:hAnsiTheme="minorHAnsi" w:cstheme="minorHAnsi"/>
                <w:sz w:val="20"/>
                <w:szCs w:val="20"/>
              </w:rPr>
              <w:t>12.685</w:t>
            </w:r>
          </w:p>
        </w:tc>
      </w:tr>
      <w:tr w:rsidR="00300049" w:rsidTr="00782382">
        <w:trPr>
          <w:trHeight w:val="255"/>
        </w:trPr>
        <w:tc>
          <w:tcPr>
            <w:tcW w:w="2425" w:type="dxa"/>
            <w:tcBorders>
              <w:top w:val="nil"/>
              <w:left w:val="nil"/>
              <w:bottom w:val="nil"/>
              <w:right w:val="nil"/>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046"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046"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rPr>
                <w:rFonts w:asciiTheme="minorHAnsi" w:hAnsiTheme="minorHAnsi" w:cstheme="minorHAnsi"/>
                <w:sz w:val="20"/>
                <w:szCs w:val="20"/>
              </w:rPr>
            </w:pPr>
            <w:r w:rsidRPr="008567AE">
              <w:rPr>
                <w:rFonts w:asciiTheme="minorHAnsi" w:hAnsiTheme="minorHAnsi" w:cstheme="minorHAnsi"/>
                <w:sz w:val="20"/>
                <w:szCs w:val="20"/>
              </w:rPr>
              <w:t> </w:t>
            </w:r>
          </w:p>
        </w:tc>
      </w:tr>
      <w:tr w:rsidR="00300049" w:rsidRPr="00021BF3" w:rsidTr="00782382">
        <w:trPr>
          <w:trHeight w:val="255"/>
        </w:trPr>
        <w:tc>
          <w:tcPr>
            <w:tcW w:w="2425" w:type="dxa"/>
            <w:tcBorders>
              <w:top w:val="single" w:sz="4" w:space="0" w:color="auto"/>
              <w:left w:val="single" w:sz="4" w:space="0" w:color="auto"/>
              <w:bottom w:val="single" w:sz="4" w:space="0" w:color="auto"/>
              <w:right w:val="nil"/>
            </w:tcBorders>
            <w:shd w:val="clear" w:color="auto" w:fill="auto"/>
            <w:noWrap/>
            <w:vAlign w:val="bottom"/>
          </w:tcPr>
          <w:p w:rsidR="00300049" w:rsidRPr="008567AE" w:rsidRDefault="00300049" w:rsidP="001F024C">
            <w:pPr>
              <w:rPr>
                <w:rFonts w:asciiTheme="minorHAnsi" w:hAnsiTheme="minorHAnsi" w:cstheme="minorHAnsi"/>
                <w:b/>
                <w:bCs/>
                <w:sz w:val="20"/>
                <w:szCs w:val="20"/>
              </w:rPr>
            </w:pPr>
            <w:r w:rsidRPr="008567AE">
              <w:rPr>
                <w:rFonts w:asciiTheme="minorHAnsi" w:hAnsiTheme="minorHAnsi" w:cstheme="minorHAnsi"/>
                <w:b/>
                <w:bCs/>
                <w:sz w:val="20"/>
                <w:szCs w:val="20"/>
              </w:rPr>
              <w:t>TOTAAL</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b/>
                <w:bCs/>
                <w:sz w:val="20"/>
                <w:szCs w:val="20"/>
              </w:rPr>
            </w:pPr>
            <w:r w:rsidRPr="008567AE">
              <w:rPr>
                <w:rFonts w:asciiTheme="minorHAnsi" w:hAnsiTheme="minorHAnsi" w:cstheme="minorHAnsi"/>
                <w:b/>
                <w:bCs/>
                <w:sz w:val="20"/>
                <w:szCs w:val="20"/>
              </w:rPr>
              <w:t>499.010</w:t>
            </w:r>
          </w:p>
        </w:tc>
        <w:tc>
          <w:tcPr>
            <w:tcW w:w="1046"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b/>
                <w:bCs/>
                <w:sz w:val="20"/>
                <w:szCs w:val="20"/>
              </w:rPr>
            </w:pPr>
            <w:r w:rsidRPr="008567AE">
              <w:rPr>
                <w:rFonts w:asciiTheme="minorHAnsi" w:hAnsiTheme="minorHAnsi" w:cstheme="minorHAnsi"/>
                <w:b/>
                <w:bCs/>
                <w:sz w:val="20"/>
                <w:szCs w:val="20"/>
              </w:rPr>
              <w:t>508.669</w:t>
            </w:r>
          </w:p>
        </w:tc>
        <w:tc>
          <w:tcPr>
            <w:tcW w:w="1046"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b/>
                <w:bCs/>
                <w:sz w:val="20"/>
                <w:szCs w:val="20"/>
              </w:rPr>
            </w:pPr>
            <w:r w:rsidRPr="008567AE">
              <w:rPr>
                <w:rFonts w:asciiTheme="minorHAnsi" w:hAnsiTheme="minorHAnsi" w:cstheme="minorHAnsi"/>
                <w:b/>
                <w:bCs/>
                <w:sz w:val="20"/>
                <w:szCs w:val="20"/>
              </w:rPr>
              <w:t>554.564</w:t>
            </w:r>
          </w:p>
        </w:tc>
        <w:tc>
          <w:tcPr>
            <w:tcW w:w="1160"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b/>
                <w:bCs/>
                <w:sz w:val="20"/>
                <w:szCs w:val="20"/>
              </w:rPr>
            </w:pPr>
            <w:r w:rsidRPr="008567AE">
              <w:rPr>
                <w:rFonts w:asciiTheme="minorHAnsi" w:hAnsiTheme="minorHAnsi" w:cstheme="minorHAnsi"/>
                <w:b/>
                <w:bCs/>
                <w:sz w:val="20"/>
                <w:szCs w:val="20"/>
              </w:rPr>
              <w:t>573.455</w:t>
            </w:r>
          </w:p>
        </w:tc>
        <w:tc>
          <w:tcPr>
            <w:tcW w:w="1160"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b/>
                <w:bCs/>
                <w:sz w:val="20"/>
                <w:szCs w:val="20"/>
              </w:rPr>
            </w:pPr>
            <w:r w:rsidRPr="008567AE">
              <w:rPr>
                <w:rFonts w:asciiTheme="minorHAnsi" w:hAnsiTheme="minorHAnsi" w:cstheme="minorHAnsi"/>
                <w:b/>
                <w:bCs/>
                <w:sz w:val="20"/>
                <w:szCs w:val="20"/>
              </w:rPr>
              <w:t>586.392</w:t>
            </w:r>
          </w:p>
        </w:tc>
        <w:tc>
          <w:tcPr>
            <w:tcW w:w="1160" w:type="dxa"/>
            <w:tcBorders>
              <w:top w:val="nil"/>
              <w:left w:val="nil"/>
              <w:bottom w:val="single" w:sz="4" w:space="0" w:color="auto"/>
              <w:right w:val="single" w:sz="4" w:space="0" w:color="auto"/>
            </w:tcBorders>
            <w:shd w:val="clear" w:color="auto" w:fill="auto"/>
            <w:noWrap/>
            <w:vAlign w:val="bottom"/>
          </w:tcPr>
          <w:p w:rsidR="00300049" w:rsidRPr="008567AE" w:rsidRDefault="00300049" w:rsidP="001F024C">
            <w:pPr>
              <w:jc w:val="right"/>
              <w:rPr>
                <w:rFonts w:asciiTheme="minorHAnsi" w:hAnsiTheme="minorHAnsi" w:cstheme="minorHAnsi"/>
                <w:b/>
                <w:bCs/>
                <w:sz w:val="20"/>
                <w:szCs w:val="20"/>
              </w:rPr>
            </w:pPr>
            <w:r w:rsidRPr="008567AE">
              <w:rPr>
                <w:rFonts w:asciiTheme="minorHAnsi" w:hAnsiTheme="minorHAnsi" w:cstheme="minorHAnsi"/>
                <w:b/>
                <w:bCs/>
                <w:sz w:val="20"/>
                <w:szCs w:val="20"/>
              </w:rPr>
              <w:t>614.945</w:t>
            </w:r>
          </w:p>
        </w:tc>
      </w:tr>
    </w:tbl>
    <w:p w:rsidR="00734576" w:rsidRDefault="00734576" w:rsidP="00734576">
      <w:pPr>
        <w:pStyle w:val="StandaardSV"/>
        <w:tabs>
          <w:tab w:val="left" w:pos="360"/>
        </w:tabs>
        <w:ind w:left="357"/>
        <w:rPr>
          <w:rFonts w:asciiTheme="minorHAnsi" w:hAnsiTheme="minorHAnsi" w:cstheme="minorHAnsi"/>
        </w:rPr>
      </w:pPr>
    </w:p>
    <w:p w:rsidR="00300049" w:rsidRPr="00127983" w:rsidRDefault="00300049" w:rsidP="00782382">
      <w:pPr>
        <w:pStyle w:val="Lijstalinea"/>
        <w:ind w:left="397" w:right="567"/>
        <w:jc w:val="both"/>
        <w:rPr>
          <w:sz w:val="22"/>
          <w:szCs w:val="22"/>
        </w:rPr>
      </w:pPr>
      <w:r w:rsidRPr="00127983">
        <w:rPr>
          <w:sz w:val="22"/>
          <w:szCs w:val="22"/>
        </w:rPr>
        <w:t>In deze tabel zien we een lichte toename van de VDAB-werkbegroting. De besparingen op de personeelskosten die VDAB werden opgelegd, hebben nog geen effect op 2012 en komen in deze tabel dus nog niet ten volle tot uiting. Via de interne optimalisaties zal dezelfde dienstverlening ook worden gegarandeerd.</w:t>
      </w:r>
    </w:p>
    <w:p w:rsidR="00734576" w:rsidRPr="00127983" w:rsidRDefault="00734576" w:rsidP="00782382">
      <w:pPr>
        <w:pStyle w:val="Lijstalinea"/>
        <w:ind w:left="397" w:right="567"/>
        <w:jc w:val="both"/>
        <w:rPr>
          <w:sz w:val="22"/>
          <w:szCs w:val="22"/>
        </w:rPr>
      </w:pPr>
    </w:p>
    <w:p w:rsidR="00300049" w:rsidRPr="00127983" w:rsidRDefault="00300049" w:rsidP="00782382">
      <w:pPr>
        <w:pStyle w:val="Lijstalinea"/>
        <w:ind w:left="397" w:right="567"/>
        <w:jc w:val="both"/>
        <w:rPr>
          <w:sz w:val="22"/>
          <w:szCs w:val="22"/>
        </w:rPr>
      </w:pPr>
      <w:r w:rsidRPr="00127983">
        <w:rPr>
          <w:sz w:val="22"/>
          <w:szCs w:val="22"/>
        </w:rPr>
        <w:t xml:space="preserve">De volgende cijferreeks geeft de evolutie van het aantal dossiers actief voor bemiddeling weer. Het gaat hier niet om het gemiddeld aantal werkzoekenden maar alle in- en uitschrijvingen die in </w:t>
      </w:r>
      <w:r w:rsidRPr="00127983">
        <w:rPr>
          <w:sz w:val="22"/>
          <w:szCs w:val="22"/>
        </w:rPr>
        <w:lastRenderedPageBreak/>
        <w:t>dat jaar werden uitgevoerd. Daarnaast wordt de evolutie van de uitgaven hernomen (zie ook vorige tabel), en vergelijken we met de economische groei.</w:t>
      </w:r>
      <w:r w:rsidR="009D55B0" w:rsidRPr="00127983">
        <w:rPr>
          <w:sz w:val="22"/>
          <w:szCs w:val="22"/>
        </w:rPr>
        <w:t xml:space="preserve"> </w:t>
      </w:r>
    </w:p>
    <w:p w:rsidR="00971245" w:rsidRDefault="00971245" w:rsidP="00971245">
      <w:pPr>
        <w:pStyle w:val="StandaardSV"/>
        <w:tabs>
          <w:tab w:val="left" w:pos="360"/>
        </w:tabs>
        <w:ind w:left="357"/>
        <w:rPr>
          <w:rFonts w:asciiTheme="minorHAnsi" w:hAnsiTheme="minorHAnsi" w:cstheme="minorHAnsi"/>
        </w:rPr>
      </w:pPr>
    </w:p>
    <w:tbl>
      <w:tblPr>
        <w:tblW w:w="9244" w:type="dxa"/>
        <w:jc w:val="center"/>
        <w:tblInd w:w="-318" w:type="dxa"/>
        <w:tblCellMar>
          <w:left w:w="70" w:type="dxa"/>
          <w:right w:w="70" w:type="dxa"/>
        </w:tblCellMar>
        <w:tblLook w:val="04A0" w:firstRow="1" w:lastRow="0" w:firstColumn="1" w:lastColumn="0" w:noHBand="0" w:noVBand="1"/>
      </w:tblPr>
      <w:tblGrid>
        <w:gridCol w:w="724"/>
        <w:gridCol w:w="851"/>
        <w:gridCol w:w="960"/>
        <w:gridCol w:w="992"/>
        <w:gridCol w:w="819"/>
        <w:gridCol w:w="1113"/>
        <w:gridCol w:w="1114"/>
        <w:gridCol w:w="1405"/>
        <w:gridCol w:w="1266"/>
      </w:tblGrid>
      <w:tr w:rsidR="00300049" w:rsidRPr="00E850A0" w:rsidTr="00782382">
        <w:trPr>
          <w:trHeight w:val="349"/>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049" w:rsidRPr="00FE32AE" w:rsidRDefault="00300049" w:rsidP="001F024C">
            <w:pPr>
              <w:rPr>
                <w:rFonts w:ascii="Calibri" w:hAnsi="Calibri" w:cs="Calibri"/>
                <w:b/>
                <w:color w:val="000000"/>
                <w:sz w:val="20"/>
                <w:szCs w:val="20"/>
              </w:rPr>
            </w:pPr>
          </w:p>
        </w:tc>
        <w:tc>
          <w:tcPr>
            <w:tcW w:w="36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00049" w:rsidRPr="00FE32AE" w:rsidRDefault="00300049" w:rsidP="001F024C">
            <w:pPr>
              <w:jc w:val="center"/>
              <w:rPr>
                <w:rFonts w:ascii="Calibri" w:hAnsi="Calibri" w:cs="Calibri"/>
                <w:b/>
                <w:color w:val="000000"/>
                <w:sz w:val="20"/>
                <w:szCs w:val="20"/>
              </w:rPr>
            </w:pPr>
            <w:r w:rsidRPr="00FE32AE">
              <w:rPr>
                <w:rFonts w:ascii="Calibri" w:hAnsi="Calibri" w:cs="Calibri"/>
                <w:b/>
                <w:color w:val="000000"/>
                <w:sz w:val="20"/>
                <w:szCs w:val="20"/>
              </w:rPr>
              <w:t>Aantal dossiers</w:t>
            </w:r>
          </w:p>
        </w:tc>
        <w:tc>
          <w:tcPr>
            <w:tcW w:w="2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049" w:rsidRPr="00FE32AE" w:rsidRDefault="00300049" w:rsidP="001F024C">
            <w:pPr>
              <w:jc w:val="center"/>
              <w:rPr>
                <w:rFonts w:ascii="Calibri" w:hAnsi="Calibri" w:cs="Calibri"/>
                <w:b/>
                <w:color w:val="000000"/>
                <w:sz w:val="20"/>
                <w:szCs w:val="20"/>
              </w:rPr>
            </w:pPr>
            <w:r w:rsidRPr="00FE32AE">
              <w:rPr>
                <w:rFonts w:ascii="Calibri" w:hAnsi="Calibri" w:cs="Calibri"/>
                <w:b/>
                <w:color w:val="000000"/>
                <w:sz w:val="20"/>
                <w:szCs w:val="20"/>
              </w:rPr>
              <w:t>Uitgaven</w:t>
            </w:r>
          </w:p>
        </w:tc>
        <w:tc>
          <w:tcPr>
            <w:tcW w:w="1405" w:type="dxa"/>
            <w:vMerge w:val="restart"/>
            <w:tcBorders>
              <w:top w:val="single" w:sz="4" w:space="0" w:color="auto"/>
              <w:left w:val="single" w:sz="4" w:space="0" w:color="auto"/>
              <w:right w:val="single" w:sz="8" w:space="0" w:color="000000"/>
            </w:tcBorders>
            <w:shd w:val="clear" w:color="auto" w:fill="auto"/>
            <w:vAlign w:val="center"/>
          </w:tcPr>
          <w:p w:rsidR="00300049" w:rsidRPr="00FE32AE" w:rsidRDefault="00300049" w:rsidP="001F024C">
            <w:pPr>
              <w:jc w:val="center"/>
              <w:rPr>
                <w:rFonts w:ascii="Calibri" w:hAnsi="Calibri" w:cs="Calibri"/>
                <w:b/>
                <w:color w:val="000000"/>
                <w:sz w:val="20"/>
                <w:szCs w:val="20"/>
              </w:rPr>
            </w:pPr>
            <w:r w:rsidRPr="00FE32AE">
              <w:rPr>
                <w:rFonts w:ascii="Calibri" w:hAnsi="Calibri" w:cs="Calibri"/>
                <w:b/>
                <w:color w:val="000000"/>
                <w:sz w:val="20"/>
                <w:szCs w:val="20"/>
              </w:rPr>
              <w:t>Economische groei</w:t>
            </w:r>
          </w:p>
        </w:tc>
        <w:tc>
          <w:tcPr>
            <w:tcW w:w="1266" w:type="dxa"/>
            <w:vMerge w:val="restart"/>
            <w:tcBorders>
              <w:top w:val="single" w:sz="4" w:space="0" w:color="auto"/>
              <w:left w:val="nil"/>
              <w:right w:val="single" w:sz="4" w:space="0" w:color="auto"/>
            </w:tcBorders>
            <w:shd w:val="clear" w:color="auto" w:fill="auto"/>
            <w:vAlign w:val="center"/>
          </w:tcPr>
          <w:p w:rsidR="00300049" w:rsidRPr="00FE32AE" w:rsidRDefault="00300049" w:rsidP="001F024C">
            <w:pPr>
              <w:jc w:val="center"/>
              <w:rPr>
                <w:rFonts w:ascii="Calibri" w:hAnsi="Calibri" w:cs="Calibri"/>
                <w:b/>
                <w:color w:val="000000"/>
                <w:sz w:val="20"/>
                <w:szCs w:val="20"/>
              </w:rPr>
            </w:pPr>
            <w:r w:rsidRPr="00FE32AE">
              <w:rPr>
                <w:rFonts w:ascii="Calibri" w:hAnsi="Calibri" w:cs="Calibri"/>
                <w:b/>
                <w:color w:val="000000"/>
                <w:sz w:val="20"/>
                <w:szCs w:val="20"/>
              </w:rPr>
              <w:t>Uitgaven per dossier (€)</w:t>
            </w:r>
          </w:p>
        </w:tc>
      </w:tr>
      <w:tr w:rsidR="00300049" w:rsidRPr="00E850A0" w:rsidTr="00782382">
        <w:trPr>
          <w:trHeight w:val="349"/>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049" w:rsidRPr="00FE32AE" w:rsidRDefault="00300049" w:rsidP="001F024C">
            <w:pPr>
              <w:rPr>
                <w:rFonts w:ascii="Calibri" w:hAnsi="Calibri" w:cs="Calibri"/>
                <w:b/>
                <w:color w:val="000000"/>
                <w:sz w:val="20"/>
                <w:szCs w:val="20"/>
              </w:rPr>
            </w:pPr>
            <w:r w:rsidRPr="00FE32AE">
              <w:rPr>
                <w:rFonts w:ascii="Calibri" w:hAnsi="Calibri" w:cs="Calibri"/>
                <w:b/>
                <w:color w:val="000000"/>
                <w:sz w:val="20"/>
                <w:szCs w:val="20"/>
              </w:rPr>
              <w:t>Jaar</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00049" w:rsidRPr="00FE32AE" w:rsidRDefault="00300049" w:rsidP="001F024C">
            <w:pPr>
              <w:jc w:val="center"/>
              <w:rPr>
                <w:rFonts w:ascii="Calibri" w:hAnsi="Calibri" w:cs="Calibri"/>
                <w:b/>
                <w:color w:val="000000"/>
                <w:sz w:val="20"/>
                <w:szCs w:val="20"/>
              </w:rPr>
            </w:pPr>
            <w:proofErr w:type="spellStart"/>
            <w:r w:rsidRPr="00FE32AE">
              <w:rPr>
                <w:rFonts w:ascii="Calibri" w:hAnsi="Calibri" w:cs="Calibri"/>
                <w:b/>
                <w:color w:val="000000"/>
                <w:sz w:val="20"/>
                <w:szCs w:val="20"/>
              </w:rPr>
              <w:t>nwwz</w:t>
            </w:r>
            <w:proofErr w:type="spellEnd"/>
          </w:p>
        </w:tc>
        <w:tc>
          <w:tcPr>
            <w:tcW w:w="960" w:type="dxa"/>
            <w:tcBorders>
              <w:top w:val="single" w:sz="4" w:space="0" w:color="auto"/>
              <w:left w:val="nil"/>
              <w:bottom w:val="single" w:sz="4" w:space="0" w:color="auto"/>
              <w:right w:val="nil"/>
            </w:tcBorders>
            <w:shd w:val="clear" w:color="auto" w:fill="auto"/>
            <w:noWrap/>
            <w:vAlign w:val="center"/>
            <w:hideMark/>
          </w:tcPr>
          <w:p w:rsidR="00300049" w:rsidRPr="00FE32AE" w:rsidRDefault="00300049" w:rsidP="001F024C">
            <w:pPr>
              <w:jc w:val="center"/>
              <w:rPr>
                <w:rFonts w:ascii="Calibri" w:hAnsi="Calibri" w:cs="Calibri"/>
                <w:b/>
                <w:color w:val="000000"/>
                <w:sz w:val="20"/>
                <w:szCs w:val="20"/>
              </w:rPr>
            </w:pPr>
            <w:r w:rsidRPr="00FE32AE">
              <w:rPr>
                <w:rFonts w:ascii="Calibri" w:hAnsi="Calibri" w:cs="Calibri"/>
                <w:b/>
                <w:color w:val="000000"/>
                <w:sz w:val="20"/>
                <w:szCs w:val="20"/>
              </w:rPr>
              <w:t>anderen</w:t>
            </w:r>
          </w:p>
        </w:tc>
        <w:tc>
          <w:tcPr>
            <w:tcW w:w="992" w:type="dxa"/>
            <w:tcBorders>
              <w:top w:val="single" w:sz="4" w:space="0" w:color="auto"/>
              <w:left w:val="single" w:sz="8" w:space="0" w:color="000000"/>
              <w:bottom w:val="single" w:sz="4" w:space="0" w:color="auto"/>
              <w:right w:val="single" w:sz="8" w:space="0" w:color="000000"/>
            </w:tcBorders>
            <w:shd w:val="clear" w:color="auto" w:fill="auto"/>
            <w:noWrap/>
            <w:vAlign w:val="center"/>
            <w:hideMark/>
          </w:tcPr>
          <w:p w:rsidR="00300049" w:rsidRPr="00FE32AE" w:rsidRDefault="00300049" w:rsidP="001F024C">
            <w:pPr>
              <w:jc w:val="center"/>
              <w:rPr>
                <w:rFonts w:ascii="Calibri" w:hAnsi="Calibri" w:cs="Calibri"/>
                <w:b/>
                <w:color w:val="000000"/>
                <w:sz w:val="20"/>
                <w:szCs w:val="20"/>
              </w:rPr>
            </w:pPr>
            <w:r w:rsidRPr="00FE32AE">
              <w:rPr>
                <w:rFonts w:ascii="Calibri" w:hAnsi="Calibri" w:cs="Calibri"/>
                <w:b/>
                <w:color w:val="000000"/>
                <w:sz w:val="20"/>
                <w:szCs w:val="20"/>
              </w:rPr>
              <w:t>totaal</w:t>
            </w:r>
          </w:p>
        </w:tc>
        <w:tc>
          <w:tcPr>
            <w:tcW w:w="819" w:type="dxa"/>
            <w:tcBorders>
              <w:top w:val="single" w:sz="4" w:space="0" w:color="auto"/>
              <w:left w:val="nil"/>
              <w:bottom w:val="single" w:sz="4" w:space="0" w:color="auto"/>
              <w:right w:val="single" w:sz="8" w:space="0" w:color="000000"/>
            </w:tcBorders>
            <w:shd w:val="clear" w:color="auto" w:fill="auto"/>
            <w:vAlign w:val="center"/>
            <w:hideMark/>
          </w:tcPr>
          <w:p w:rsidR="00300049" w:rsidRPr="00FE32AE" w:rsidRDefault="00300049" w:rsidP="001F024C">
            <w:pPr>
              <w:jc w:val="center"/>
              <w:rPr>
                <w:rFonts w:ascii="Calibri" w:hAnsi="Calibri" w:cs="Calibri"/>
                <w:b/>
                <w:color w:val="000000"/>
                <w:sz w:val="20"/>
                <w:szCs w:val="20"/>
              </w:rPr>
            </w:pPr>
            <w:r w:rsidRPr="00FE32AE">
              <w:rPr>
                <w:rFonts w:ascii="Calibri" w:hAnsi="Calibri" w:cs="Calibri"/>
                <w:b/>
                <w:color w:val="000000"/>
                <w:sz w:val="20"/>
                <w:szCs w:val="20"/>
              </w:rPr>
              <w:t>evolutie</w:t>
            </w:r>
          </w:p>
        </w:tc>
        <w:tc>
          <w:tcPr>
            <w:tcW w:w="1113" w:type="dxa"/>
            <w:tcBorders>
              <w:top w:val="single" w:sz="4" w:space="0" w:color="auto"/>
              <w:left w:val="nil"/>
              <w:bottom w:val="single" w:sz="4" w:space="0" w:color="auto"/>
              <w:right w:val="single" w:sz="8" w:space="0" w:color="000000"/>
            </w:tcBorders>
            <w:shd w:val="clear" w:color="auto" w:fill="auto"/>
            <w:vAlign w:val="center"/>
            <w:hideMark/>
          </w:tcPr>
          <w:p w:rsidR="00300049" w:rsidRPr="00FE32AE" w:rsidRDefault="00300049" w:rsidP="001F024C">
            <w:pPr>
              <w:jc w:val="center"/>
              <w:rPr>
                <w:rFonts w:ascii="Calibri" w:hAnsi="Calibri" w:cs="Calibri"/>
                <w:b/>
                <w:color w:val="000000"/>
                <w:sz w:val="20"/>
                <w:szCs w:val="20"/>
              </w:rPr>
            </w:pPr>
            <w:r w:rsidRPr="00FE32AE">
              <w:rPr>
                <w:rFonts w:ascii="Calibri" w:hAnsi="Calibri" w:cs="Calibri"/>
                <w:b/>
                <w:color w:val="000000"/>
                <w:sz w:val="20"/>
                <w:szCs w:val="20"/>
              </w:rPr>
              <w:t>X €1.000</w:t>
            </w:r>
          </w:p>
        </w:tc>
        <w:tc>
          <w:tcPr>
            <w:tcW w:w="1114" w:type="dxa"/>
            <w:tcBorders>
              <w:top w:val="single" w:sz="4" w:space="0" w:color="auto"/>
              <w:left w:val="nil"/>
              <w:bottom w:val="single" w:sz="4" w:space="0" w:color="auto"/>
              <w:right w:val="single" w:sz="8" w:space="0" w:color="000000"/>
            </w:tcBorders>
            <w:shd w:val="clear" w:color="auto" w:fill="auto"/>
            <w:vAlign w:val="center"/>
            <w:hideMark/>
          </w:tcPr>
          <w:p w:rsidR="00300049" w:rsidRPr="00FE32AE" w:rsidRDefault="00300049" w:rsidP="001F024C">
            <w:pPr>
              <w:jc w:val="center"/>
              <w:rPr>
                <w:rFonts w:ascii="Calibri" w:hAnsi="Calibri" w:cs="Calibri"/>
                <w:b/>
                <w:color w:val="000000"/>
                <w:sz w:val="20"/>
                <w:szCs w:val="20"/>
              </w:rPr>
            </w:pPr>
            <w:r w:rsidRPr="00FE32AE">
              <w:rPr>
                <w:rFonts w:ascii="Calibri" w:hAnsi="Calibri" w:cs="Calibri"/>
                <w:b/>
                <w:color w:val="000000"/>
                <w:sz w:val="20"/>
                <w:szCs w:val="20"/>
              </w:rPr>
              <w:t>evolutie</w:t>
            </w:r>
          </w:p>
        </w:tc>
        <w:tc>
          <w:tcPr>
            <w:tcW w:w="1405" w:type="dxa"/>
            <w:vMerge/>
            <w:tcBorders>
              <w:left w:val="nil"/>
              <w:bottom w:val="single" w:sz="4" w:space="0" w:color="auto"/>
              <w:right w:val="single" w:sz="8" w:space="0" w:color="000000"/>
            </w:tcBorders>
            <w:shd w:val="clear" w:color="auto" w:fill="auto"/>
            <w:vAlign w:val="center"/>
            <w:hideMark/>
          </w:tcPr>
          <w:p w:rsidR="00300049" w:rsidRPr="00FE32AE" w:rsidRDefault="00300049" w:rsidP="001F024C">
            <w:pPr>
              <w:jc w:val="center"/>
              <w:rPr>
                <w:rFonts w:ascii="Calibri" w:hAnsi="Calibri" w:cs="Calibri"/>
                <w:b/>
                <w:color w:val="000000"/>
                <w:sz w:val="20"/>
                <w:szCs w:val="20"/>
              </w:rPr>
            </w:pPr>
          </w:p>
        </w:tc>
        <w:tc>
          <w:tcPr>
            <w:tcW w:w="1266" w:type="dxa"/>
            <w:vMerge/>
            <w:tcBorders>
              <w:left w:val="nil"/>
              <w:bottom w:val="single" w:sz="4" w:space="0" w:color="auto"/>
              <w:right w:val="single" w:sz="4" w:space="0" w:color="auto"/>
            </w:tcBorders>
            <w:shd w:val="clear" w:color="auto" w:fill="auto"/>
            <w:vAlign w:val="center"/>
            <w:hideMark/>
          </w:tcPr>
          <w:p w:rsidR="00300049" w:rsidRPr="00FE32AE" w:rsidRDefault="00300049" w:rsidP="001F024C">
            <w:pPr>
              <w:jc w:val="center"/>
              <w:rPr>
                <w:rFonts w:ascii="Calibri" w:hAnsi="Calibri" w:cs="Calibri"/>
                <w:b/>
                <w:color w:val="000000"/>
                <w:sz w:val="20"/>
                <w:szCs w:val="20"/>
              </w:rPr>
            </w:pPr>
          </w:p>
        </w:tc>
      </w:tr>
      <w:tr w:rsidR="00300049" w:rsidRPr="00E850A0" w:rsidTr="00782382">
        <w:trPr>
          <w:trHeight w:val="349"/>
          <w:jc w:val="center"/>
        </w:trPr>
        <w:tc>
          <w:tcPr>
            <w:tcW w:w="724" w:type="dxa"/>
            <w:tcBorders>
              <w:top w:val="single" w:sz="4" w:space="0" w:color="auto"/>
              <w:left w:val="single" w:sz="4" w:space="0" w:color="auto"/>
              <w:bottom w:val="nil"/>
              <w:right w:val="nil"/>
            </w:tcBorders>
            <w:shd w:val="clear" w:color="auto" w:fill="auto"/>
            <w:noWrap/>
            <w:vAlign w:val="center"/>
            <w:hideMark/>
          </w:tcPr>
          <w:p w:rsidR="00300049" w:rsidRPr="00FE32AE" w:rsidRDefault="00300049" w:rsidP="001F024C">
            <w:pPr>
              <w:rPr>
                <w:rFonts w:ascii="Calibri" w:hAnsi="Calibri" w:cs="Calibri"/>
                <w:b/>
                <w:color w:val="000000"/>
                <w:sz w:val="20"/>
                <w:szCs w:val="20"/>
              </w:rPr>
            </w:pPr>
            <w:r w:rsidRPr="00FE32AE">
              <w:rPr>
                <w:rFonts w:ascii="Calibri" w:hAnsi="Calibri" w:cs="Calibri"/>
                <w:b/>
                <w:color w:val="000000"/>
                <w:sz w:val="20"/>
                <w:szCs w:val="20"/>
              </w:rPr>
              <w:t>2007</w:t>
            </w:r>
          </w:p>
        </w:tc>
        <w:tc>
          <w:tcPr>
            <w:tcW w:w="851" w:type="dxa"/>
            <w:tcBorders>
              <w:top w:val="single" w:sz="4" w:space="0" w:color="auto"/>
              <w:left w:val="single" w:sz="8" w:space="0" w:color="000000"/>
              <w:bottom w:val="nil"/>
              <w:right w:val="nil"/>
            </w:tcBorders>
            <w:shd w:val="clear" w:color="auto" w:fill="auto"/>
            <w:noWrap/>
            <w:vAlign w:val="center"/>
            <w:hideMark/>
          </w:tcPr>
          <w:p w:rsidR="00300049" w:rsidRPr="00FE32AE" w:rsidRDefault="00300049" w:rsidP="009D55B0">
            <w:pPr>
              <w:jc w:val="center"/>
              <w:rPr>
                <w:rFonts w:ascii="Calibri" w:hAnsi="Calibri" w:cs="Calibri"/>
                <w:color w:val="000000"/>
                <w:sz w:val="20"/>
                <w:szCs w:val="20"/>
              </w:rPr>
            </w:pPr>
            <w:r w:rsidRPr="00FE32AE">
              <w:rPr>
                <w:rFonts w:ascii="Calibri" w:hAnsi="Calibri" w:cs="Calibri"/>
                <w:color w:val="000000"/>
                <w:sz w:val="20"/>
                <w:szCs w:val="20"/>
              </w:rPr>
              <w:t>433</w:t>
            </w:r>
            <w:r w:rsidR="009D55B0" w:rsidRPr="00FE32AE">
              <w:rPr>
                <w:rFonts w:ascii="Calibri" w:hAnsi="Calibri" w:cs="Calibri"/>
                <w:color w:val="000000"/>
                <w:sz w:val="20"/>
                <w:szCs w:val="20"/>
              </w:rPr>
              <w:t>.</w:t>
            </w:r>
            <w:r w:rsidRPr="00FE32AE">
              <w:rPr>
                <w:rFonts w:ascii="Calibri" w:hAnsi="Calibri" w:cs="Calibri"/>
                <w:color w:val="000000"/>
                <w:sz w:val="20"/>
                <w:szCs w:val="20"/>
              </w:rPr>
              <w:t>298</w:t>
            </w:r>
          </w:p>
        </w:tc>
        <w:tc>
          <w:tcPr>
            <w:tcW w:w="960" w:type="dxa"/>
            <w:tcBorders>
              <w:top w:val="single" w:sz="4" w:space="0" w:color="auto"/>
              <w:left w:val="nil"/>
              <w:bottom w:val="nil"/>
              <w:right w:val="nil"/>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107</w:t>
            </w:r>
            <w:r w:rsidR="009D55B0" w:rsidRPr="00FE32AE">
              <w:rPr>
                <w:rFonts w:ascii="Calibri" w:hAnsi="Calibri" w:cs="Calibri"/>
                <w:color w:val="000000"/>
                <w:sz w:val="20"/>
                <w:szCs w:val="20"/>
              </w:rPr>
              <w:t>.</w:t>
            </w:r>
            <w:r w:rsidRPr="00FE32AE">
              <w:rPr>
                <w:rFonts w:ascii="Calibri" w:hAnsi="Calibri" w:cs="Calibri"/>
                <w:color w:val="000000"/>
                <w:sz w:val="20"/>
                <w:szCs w:val="20"/>
              </w:rPr>
              <w:t>644</w:t>
            </w:r>
          </w:p>
        </w:tc>
        <w:tc>
          <w:tcPr>
            <w:tcW w:w="992" w:type="dxa"/>
            <w:tcBorders>
              <w:top w:val="single" w:sz="4" w:space="0" w:color="auto"/>
              <w:left w:val="single" w:sz="8" w:space="0" w:color="000000"/>
              <w:bottom w:val="nil"/>
              <w:right w:val="single" w:sz="8" w:space="0" w:color="000000"/>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540</w:t>
            </w:r>
            <w:r w:rsidR="009D55B0" w:rsidRPr="00FE32AE">
              <w:rPr>
                <w:rFonts w:ascii="Calibri" w:hAnsi="Calibri" w:cs="Calibri"/>
                <w:color w:val="000000"/>
                <w:sz w:val="20"/>
                <w:szCs w:val="20"/>
              </w:rPr>
              <w:t>.</w:t>
            </w:r>
            <w:r w:rsidRPr="00FE32AE">
              <w:rPr>
                <w:rFonts w:ascii="Calibri" w:hAnsi="Calibri" w:cs="Calibri"/>
                <w:color w:val="000000"/>
                <w:sz w:val="20"/>
                <w:szCs w:val="20"/>
              </w:rPr>
              <w:t>942</w:t>
            </w:r>
          </w:p>
        </w:tc>
        <w:tc>
          <w:tcPr>
            <w:tcW w:w="819" w:type="dxa"/>
            <w:tcBorders>
              <w:top w:val="single" w:sz="4" w:space="0" w:color="auto"/>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w:t>
            </w:r>
          </w:p>
        </w:tc>
        <w:tc>
          <w:tcPr>
            <w:tcW w:w="1113" w:type="dxa"/>
            <w:tcBorders>
              <w:top w:val="single" w:sz="4" w:space="0" w:color="auto"/>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499</w:t>
            </w:r>
            <w:r w:rsidR="009D55B0" w:rsidRPr="00FE32AE">
              <w:rPr>
                <w:rFonts w:ascii="Calibri" w:hAnsi="Calibri" w:cs="Calibri"/>
                <w:color w:val="000000"/>
                <w:sz w:val="20"/>
                <w:szCs w:val="20"/>
              </w:rPr>
              <w:t>.</w:t>
            </w:r>
            <w:r w:rsidRPr="00FE32AE">
              <w:rPr>
                <w:rFonts w:ascii="Calibri" w:hAnsi="Calibri" w:cs="Calibri"/>
                <w:color w:val="000000"/>
                <w:sz w:val="20"/>
                <w:szCs w:val="20"/>
              </w:rPr>
              <w:t>010</w:t>
            </w:r>
          </w:p>
        </w:tc>
        <w:tc>
          <w:tcPr>
            <w:tcW w:w="1114" w:type="dxa"/>
            <w:tcBorders>
              <w:top w:val="single" w:sz="4" w:space="0" w:color="auto"/>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w:t>
            </w:r>
          </w:p>
        </w:tc>
        <w:tc>
          <w:tcPr>
            <w:tcW w:w="1405" w:type="dxa"/>
            <w:tcBorders>
              <w:top w:val="single" w:sz="4" w:space="0" w:color="auto"/>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2,8%</w:t>
            </w:r>
          </w:p>
        </w:tc>
        <w:tc>
          <w:tcPr>
            <w:tcW w:w="1266" w:type="dxa"/>
            <w:tcBorders>
              <w:top w:val="single" w:sz="4" w:space="0" w:color="auto"/>
              <w:left w:val="nil"/>
              <w:bottom w:val="nil"/>
              <w:right w:val="single" w:sz="4" w:space="0" w:color="auto"/>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922</w:t>
            </w:r>
          </w:p>
        </w:tc>
      </w:tr>
      <w:tr w:rsidR="00300049" w:rsidRPr="00E850A0" w:rsidTr="00782382">
        <w:trPr>
          <w:trHeight w:val="349"/>
          <w:jc w:val="center"/>
        </w:trPr>
        <w:tc>
          <w:tcPr>
            <w:tcW w:w="724" w:type="dxa"/>
            <w:tcBorders>
              <w:top w:val="nil"/>
              <w:left w:val="single" w:sz="4" w:space="0" w:color="auto"/>
              <w:bottom w:val="nil"/>
              <w:right w:val="nil"/>
            </w:tcBorders>
            <w:shd w:val="clear" w:color="auto" w:fill="auto"/>
            <w:noWrap/>
            <w:vAlign w:val="center"/>
            <w:hideMark/>
          </w:tcPr>
          <w:p w:rsidR="00300049" w:rsidRPr="00FE32AE" w:rsidRDefault="00300049" w:rsidP="001F024C">
            <w:pPr>
              <w:rPr>
                <w:rFonts w:ascii="Calibri" w:hAnsi="Calibri" w:cs="Calibri"/>
                <w:b/>
                <w:color w:val="000000"/>
                <w:sz w:val="20"/>
                <w:szCs w:val="20"/>
              </w:rPr>
            </w:pPr>
            <w:r w:rsidRPr="00FE32AE">
              <w:rPr>
                <w:rFonts w:ascii="Calibri" w:hAnsi="Calibri" w:cs="Calibri"/>
                <w:b/>
                <w:color w:val="000000"/>
                <w:sz w:val="20"/>
                <w:szCs w:val="20"/>
              </w:rPr>
              <w:t>2008</w:t>
            </w:r>
          </w:p>
        </w:tc>
        <w:tc>
          <w:tcPr>
            <w:tcW w:w="851" w:type="dxa"/>
            <w:tcBorders>
              <w:top w:val="nil"/>
              <w:left w:val="single" w:sz="8" w:space="0" w:color="000000"/>
              <w:bottom w:val="nil"/>
              <w:right w:val="nil"/>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420</w:t>
            </w:r>
            <w:r w:rsidR="009D55B0" w:rsidRPr="00FE32AE">
              <w:rPr>
                <w:rFonts w:ascii="Calibri" w:hAnsi="Calibri" w:cs="Calibri"/>
                <w:color w:val="000000"/>
                <w:sz w:val="20"/>
                <w:szCs w:val="20"/>
              </w:rPr>
              <w:t>.</w:t>
            </w:r>
            <w:r w:rsidRPr="00FE32AE">
              <w:rPr>
                <w:rFonts w:ascii="Calibri" w:hAnsi="Calibri" w:cs="Calibri"/>
                <w:color w:val="000000"/>
                <w:sz w:val="20"/>
                <w:szCs w:val="20"/>
              </w:rPr>
              <w:t>130</w:t>
            </w:r>
          </w:p>
        </w:tc>
        <w:tc>
          <w:tcPr>
            <w:tcW w:w="960" w:type="dxa"/>
            <w:tcBorders>
              <w:top w:val="nil"/>
              <w:left w:val="nil"/>
              <w:bottom w:val="nil"/>
              <w:right w:val="nil"/>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103</w:t>
            </w:r>
            <w:r w:rsidR="009D55B0" w:rsidRPr="00FE32AE">
              <w:rPr>
                <w:rFonts w:ascii="Calibri" w:hAnsi="Calibri" w:cs="Calibri"/>
                <w:color w:val="000000"/>
                <w:sz w:val="20"/>
                <w:szCs w:val="20"/>
              </w:rPr>
              <w:t>.</w:t>
            </w:r>
            <w:r w:rsidRPr="00FE32AE">
              <w:rPr>
                <w:rFonts w:ascii="Calibri" w:hAnsi="Calibri" w:cs="Calibri"/>
                <w:color w:val="000000"/>
                <w:sz w:val="20"/>
                <w:szCs w:val="20"/>
              </w:rPr>
              <w:t>294</w:t>
            </w:r>
          </w:p>
        </w:tc>
        <w:tc>
          <w:tcPr>
            <w:tcW w:w="992" w:type="dxa"/>
            <w:tcBorders>
              <w:top w:val="nil"/>
              <w:left w:val="single" w:sz="8" w:space="0" w:color="000000"/>
              <w:bottom w:val="nil"/>
              <w:right w:val="single" w:sz="8" w:space="0" w:color="000000"/>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523</w:t>
            </w:r>
            <w:r w:rsidR="009D55B0" w:rsidRPr="00FE32AE">
              <w:rPr>
                <w:rFonts w:ascii="Calibri" w:hAnsi="Calibri" w:cs="Calibri"/>
                <w:color w:val="000000"/>
                <w:sz w:val="20"/>
                <w:szCs w:val="20"/>
              </w:rPr>
              <w:t>.</w:t>
            </w:r>
            <w:r w:rsidRPr="00FE32AE">
              <w:rPr>
                <w:rFonts w:ascii="Calibri" w:hAnsi="Calibri" w:cs="Calibri"/>
                <w:color w:val="000000"/>
                <w:sz w:val="20"/>
                <w:szCs w:val="20"/>
              </w:rPr>
              <w:t>424</w:t>
            </w:r>
          </w:p>
        </w:tc>
        <w:tc>
          <w:tcPr>
            <w:tcW w:w="819"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-3,2%</w:t>
            </w:r>
          </w:p>
        </w:tc>
        <w:tc>
          <w:tcPr>
            <w:tcW w:w="1113"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508</w:t>
            </w:r>
            <w:r w:rsidR="009D55B0" w:rsidRPr="00FE32AE">
              <w:rPr>
                <w:rFonts w:ascii="Calibri" w:hAnsi="Calibri" w:cs="Calibri"/>
                <w:color w:val="000000"/>
                <w:sz w:val="20"/>
                <w:szCs w:val="20"/>
              </w:rPr>
              <w:t>.</w:t>
            </w:r>
            <w:r w:rsidRPr="00FE32AE">
              <w:rPr>
                <w:rFonts w:ascii="Calibri" w:hAnsi="Calibri" w:cs="Calibri"/>
                <w:color w:val="000000"/>
                <w:sz w:val="20"/>
                <w:szCs w:val="20"/>
              </w:rPr>
              <w:t>669</w:t>
            </w:r>
          </w:p>
        </w:tc>
        <w:tc>
          <w:tcPr>
            <w:tcW w:w="1114"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1,9%</w:t>
            </w:r>
          </w:p>
        </w:tc>
        <w:tc>
          <w:tcPr>
            <w:tcW w:w="1405"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0,9%</w:t>
            </w:r>
          </w:p>
        </w:tc>
        <w:tc>
          <w:tcPr>
            <w:tcW w:w="1266" w:type="dxa"/>
            <w:tcBorders>
              <w:top w:val="nil"/>
              <w:left w:val="nil"/>
              <w:bottom w:val="nil"/>
              <w:right w:val="single" w:sz="4" w:space="0" w:color="auto"/>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972</w:t>
            </w:r>
          </w:p>
        </w:tc>
      </w:tr>
      <w:tr w:rsidR="00300049" w:rsidRPr="00E850A0" w:rsidTr="00782382">
        <w:trPr>
          <w:trHeight w:val="349"/>
          <w:jc w:val="center"/>
        </w:trPr>
        <w:tc>
          <w:tcPr>
            <w:tcW w:w="724" w:type="dxa"/>
            <w:tcBorders>
              <w:top w:val="nil"/>
              <w:left w:val="single" w:sz="4" w:space="0" w:color="auto"/>
              <w:bottom w:val="nil"/>
              <w:right w:val="nil"/>
            </w:tcBorders>
            <w:shd w:val="clear" w:color="auto" w:fill="auto"/>
            <w:noWrap/>
            <w:vAlign w:val="center"/>
            <w:hideMark/>
          </w:tcPr>
          <w:p w:rsidR="00300049" w:rsidRPr="00FE32AE" w:rsidRDefault="00300049" w:rsidP="001F024C">
            <w:pPr>
              <w:rPr>
                <w:rFonts w:ascii="Calibri" w:hAnsi="Calibri" w:cs="Calibri"/>
                <w:b/>
                <w:color w:val="000000"/>
                <w:sz w:val="20"/>
                <w:szCs w:val="20"/>
              </w:rPr>
            </w:pPr>
            <w:r w:rsidRPr="00FE32AE">
              <w:rPr>
                <w:rFonts w:ascii="Calibri" w:hAnsi="Calibri" w:cs="Calibri"/>
                <w:b/>
                <w:color w:val="000000"/>
                <w:sz w:val="20"/>
                <w:szCs w:val="20"/>
              </w:rPr>
              <w:t>2009</w:t>
            </w:r>
          </w:p>
        </w:tc>
        <w:tc>
          <w:tcPr>
            <w:tcW w:w="851" w:type="dxa"/>
            <w:tcBorders>
              <w:top w:val="nil"/>
              <w:left w:val="single" w:sz="8" w:space="0" w:color="000000"/>
              <w:bottom w:val="nil"/>
              <w:right w:val="nil"/>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451</w:t>
            </w:r>
            <w:r w:rsidR="009D55B0" w:rsidRPr="00FE32AE">
              <w:rPr>
                <w:rFonts w:ascii="Calibri" w:hAnsi="Calibri" w:cs="Calibri"/>
                <w:color w:val="000000"/>
                <w:sz w:val="20"/>
                <w:szCs w:val="20"/>
              </w:rPr>
              <w:t>.</w:t>
            </w:r>
            <w:r w:rsidRPr="00FE32AE">
              <w:rPr>
                <w:rFonts w:ascii="Calibri" w:hAnsi="Calibri" w:cs="Calibri"/>
                <w:color w:val="000000"/>
                <w:sz w:val="20"/>
                <w:szCs w:val="20"/>
              </w:rPr>
              <w:t>360</w:t>
            </w:r>
          </w:p>
        </w:tc>
        <w:tc>
          <w:tcPr>
            <w:tcW w:w="960" w:type="dxa"/>
            <w:tcBorders>
              <w:top w:val="nil"/>
              <w:left w:val="nil"/>
              <w:bottom w:val="nil"/>
              <w:right w:val="nil"/>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93</w:t>
            </w:r>
            <w:r w:rsidR="009D55B0" w:rsidRPr="00FE32AE">
              <w:rPr>
                <w:rFonts w:ascii="Calibri" w:hAnsi="Calibri" w:cs="Calibri"/>
                <w:color w:val="000000"/>
                <w:sz w:val="20"/>
                <w:szCs w:val="20"/>
              </w:rPr>
              <w:t>.</w:t>
            </w:r>
            <w:r w:rsidRPr="00FE32AE">
              <w:rPr>
                <w:rFonts w:ascii="Calibri" w:hAnsi="Calibri" w:cs="Calibri"/>
                <w:color w:val="000000"/>
                <w:sz w:val="20"/>
                <w:szCs w:val="20"/>
              </w:rPr>
              <w:t>482</w:t>
            </w:r>
          </w:p>
        </w:tc>
        <w:tc>
          <w:tcPr>
            <w:tcW w:w="992" w:type="dxa"/>
            <w:tcBorders>
              <w:top w:val="nil"/>
              <w:left w:val="single" w:sz="8" w:space="0" w:color="000000"/>
              <w:bottom w:val="nil"/>
              <w:right w:val="single" w:sz="8" w:space="0" w:color="000000"/>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544</w:t>
            </w:r>
            <w:r w:rsidR="009D55B0" w:rsidRPr="00FE32AE">
              <w:rPr>
                <w:rFonts w:ascii="Calibri" w:hAnsi="Calibri" w:cs="Calibri"/>
                <w:color w:val="000000"/>
                <w:sz w:val="20"/>
                <w:szCs w:val="20"/>
              </w:rPr>
              <w:t>.</w:t>
            </w:r>
            <w:r w:rsidRPr="00FE32AE">
              <w:rPr>
                <w:rFonts w:ascii="Calibri" w:hAnsi="Calibri" w:cs="Calibri"/>
                <w:color w:val="000000"/>
                <w:sz w:val="20"/>
                <w:szCs w:val="20"/>
              </w:rPr>
              <w:t>842</w:t>
            </w:r>
          </w:p>
        </w:tc>
        <w:tc>
          <w:tcPr>
            <w:tcW w:w="819"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4,1%</w:t>
            </w:r>
          </w:p>
        </w:tc>
        <w:tc>
          <w:tcPr>
            <w:tcW w:w="1113"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554</w:t>
            </w:r>
            <w:r w:rsidR="009D55B0" w:rsidRPr="00FE32AE">
              <w:rPr>
                <w:rFonts w:ascii="Calibri" w:hAnsi="Calibri" w:cs="Calibri"/>
                <w:color w:val="000000"/>
                <w:sz w:val="20"/>
                <w:szCs w:val="20"/>
              </w:rPr>
              <w:t>.</w:t>
            </w:r>
            <w:r w:rsidRPr="00FE32AE">
              <w:rPr>
                <w:rFonts w:ascii="Calibri" w:hAnsi="Calibri" w:cs="Calibri"/>
                <w:color w:val="000000"/>
                <w:sz w:val="20"/>
                <w:szCs w:val="20"/>
              </w:rPr>
              <w:t>564</w:t>
            </w:r>
          </w:p>
        </w:tc>
        <w:tc>
          <w:tcPr>
            <w:tcW w:w="1114"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9,0%</w:t>
            </w:r>
          </w:p>
        </w:tc>
        <w:tc>
          <w:tcPr>
            <w:tcW w:w="1405"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-2,7%</w:t>
            </w:r>
          </w:p>
        </w:tc>
        <w:tc>
          <w:tcPr>
            <w:tcW w:w="1266" w:type="dxa"/>
            <w:tcBorders>
              <w:top w:val="nil"/>
              <w:left w:val="nil"/>
              <w:bottom w:val="nil"/>
              <w:right w:val="single" w:sz="4" w:space="0" w:color="auto"/>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1018</w:t>
            </w:r>
          </w:p>
        </w:tc>
      </w:tr>
      <w:tr w:rsidR="00300049" w:rsidRPr="00E850A0" w:rsidTr="00782382">
        <w:trPr>
          <w:trHeight w:val="349"/>
          <w:jc w:val="center"/>
        </w:trPr>
        <w:tc>
          <w:tcPr>
            <w:tcW w:w="724" w:type="dxa"/>
            <w:tcBorders>
              <w:top w:val="nil"/>
              <w:left w:val="single" w:sz="4" w:space="0" w:color="auto"/>
              <w:bottom w:val="nil"/>
              <w:right w:val="nil"/>
            </w:tcBorders>
            <w:shd w:val="clear" w:color="auto" w:fill="auto"/>
            <w:noWrap/>
            <w:vAlign w:val="center"/>
            <w:hideMark/>
          </w:tcPr>
          <w:p w:rsidR="00300049" w:rsidRPr="00FE32AE" w:rsidRDefault="00300049" w:rsidP="001F024C">
            <w:pPr>
              <w:rPr>
                <w:rFonts w:ascii="Calibri" w:hAnsi="Calibri" w:cs="Calibri"/>
                <w:b/>
                <w:color w:val="000000"/>
                <w:sz w:val="20"/>
                <w:szCs w:val="20"/>
              </w:rPr>
            </w:pPr>
            <w:r w:rsidRPr="00FE32AE">
              <w:rPr>
                <w:rFonts w:ascii="Calibri" w:hAnsi="Calibri" w:cs="Calibri"/>
                <w:b/>
                <w:color w:val="000000"/>
                <w:sz w:val="20"/>
                <w:szCs w:val="20"/>
              </w:rPr>
              <w:t>2010</w:t>
            </w:r>
          </w:p>
        </w:tc>
        <w:tc>
          <w:tcPr>
            <w:tcW w:w="851" w:type="dxa"/>
            <w:tcBorders>
              <w:top w:val="nil"/>
              <w:left w:val="single" w:sz="8" w:space="0" w:color="000000"/>
              <w:bottom w:val="nil"/>
              <w:right w:val="nil"/>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472</w:t>
            </w:r>
            <w:r w:rsidR="009D55B0" w:rsidRPr="00FE32AE">
              <w:rPr>
                <w:rFonts w:ascii="Calibri" w:hAnsi="Calibri" w:cs="Calibri"/>
                <w:color w:val="000000"/>
                <w:sz w:val="20"/>
                <w:szCs w:val="20"/>
              </w:rPr>
              <w:t>.</w:t>
            </w:r>
            <w:r w:rsidRPr="00FE32AE">
              <w:rPr>
                <w:rFonts w:ascii="Calibri" w:hAnsi="Calibri" w:cs="Calibri"/>
                <w:color w:val="000000"/>
                <w:sz w:val="20"/>
                <w:szCs w:val="20"/>
              </w:rPr>
              <w:t>642</w:t>
            </w:r>
          </w:p>
        </w:tc>
        <w:tc>
          <w:tcPr>
            <w:tcW w:w="960" w:type="dxa"/>
            <w:tcBorders>
              <w:top w:val="nil"/>
              <w:left w:val="nil"/>
              <w:bottom w:val="nil"/>
              <w:right w:val="nil"/>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101</w:t>
            </w:r>
            <w:r w:rsidR="009D55B0" w:rsidRPr="00FE32AE">
              <w:rPr>
                <w:rFonts w:ascii="Calibri" w:hAnsi="Calibri" w:cs="Calibri"/>
                <w:color w:val="000000"/>
                <w:sz w:val="20"/>
                <w:szCs w:val="20"/>
              </w:rPr>
              <w:t>.</w:t>
            </w:r>
            <w:r w:rsidRPr="00FE32AE">
              <w:rPr>
                <w:rFonts w:ascii="Calibri" w:hAnsi="Calibri" w:cs="Calibri"/>
                <w:color w:val="000000"/>
                <w:sz w:val="20"/>
                <w:szCs w:val="20"/>
              </w:rPr>
              <w:t>797</w:t>
            </w:r>
          </w:p>
        </w:tc>
        <w:tc>
          <w:tcPr>
            <w:tcW w:w="992" w:type="dxa"/>
            <w:tcBorders>
              <w:top w:val="nil"/>
              <w:left w:val="single" w:sz="8" w:space="0" w:color="000000"/>
              <w:bottom w:val="nil"/>
              <w:right w:val="single" w:sz="8" w:space="0" w:color="000000"/>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574</w:t>
            </w:r>
            <w:r w:rsidR="009D55B0" w:rsidRPr="00FE32AE">
              <w:rPr>
                <w:rFonts w:ascii="Calibri" w:hAnsi="Calibri" w:cs="Calibri"/>
                <w:color w:val="000000"/>
                <w:sz w:val="20"/>
                <w:szCs w:val="20"/>
              </w:rPr>
              <w:t>.</w:t>
            </w:r>
            <w:r w:rsidRPr="00FE32AE">
              <w:rPr>
                <w:rFonts w:ascii="Calibri" w:hAnsi="Calibri" w:cs="Calibri"/>
                <w:color w:val="000000"/>
                <w:sz w:val="20"/>
                <w:szCs w:val="20"/>
              </w:rPr>
              <w:t>439</w:t>
            </w:r>
          </w:p>
        </w:tc>
        <w:tc>
          <w:tcPr>
            <w:tcW w:w="819"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5,4%</w:t>
            </w:r>
          </w:p>
        </w:tc>
        <w:tc>
          <w:tcPr>
            <w:tcW w:w="1113"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573</w:t>
            </w:r>
            <w:r w:rsidR="009D55B0" w:rsidRPr="00FE32AE">
              <w:rPr>
                <w:rFonts w:ascii="Calibri" w:hAnsi="Calibri" w:cs="Calibri"/>
                <w:color w:val="000000"/>
                <w:sz w:val="20"/>
                <w:szCs w:val="20"/>
              </w:rPr>
              <w:t>.</w:t>
            </w:r>
            <w:r w:rsidRPr="00FE32AE">
              <w:rPr>
                <w:rFonts w:ascii="Calibri" w:hAnsi="Calibri" w:cs="Calibri"/>
                <w:color w:val="000000"/>
                <w:sz w:val="20"/>
                <w:szCs w:val="20"/>
              </w:rPr>
              <w:t>455</w:t>
            </w:r>
          </w:p>
        </w:tc>
        <w:tc>
          <w:tcPr>
            <w:tcW w:w="1114"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3,4%</w:t>
            </w:r>
          </w:p>
        </w:tc>
        <w:tc>
          <w:tcPr>
            <w:tcW w:w="1405"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2,4%</w:t>
            </w:r>
          </w:p>
        </w:tc>
        <w:tc>
          <w:tcPr>
            <w:tcW w:w="1266" w:type="dxa"/>
            <w:tcBorders>
              <w:top w:val="nil"/>
              <w:left w:val="nil"/>
              <w:bottom w:val="nil"/>
              <w:right w:val="single" w:sz="4" w:space="0" w:color="auto"/>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998</w:t>
            </w:r>
          </w:p>
        </w:tc>
      </w:tr>
      <w:tr w:rsidR="00300049" w:rsidRPr="00E850A0" w:rsidTr="00782382">
        <w:trPr>
          <w:trHeight w:val="349"/>
          <w:jc w:val="center"/>
        </w:trPr>
        <w:tc>
          <w:tcPr>
            <w:tcW w:w="724" w:type="dxa"/>
            <w:tcBorders>
              <w:top w:val="nil"/>
              <w:left w:val="single" w:sz="4" w:space="0" w:color="auto"/>
              <w:bottom w:val="nil"/>
              <w:right w:val="nil"/>
            </w:tcBorders>
            <w:shd w:val="clear" w:color="auto" w:fill="auto"/>
            <w:noWrap/>
            <w:vAlign w:val="center"/>
            <w:hideMark/>
          </w:tcPr>
          <w:p w:rsidR="00300049" w:rsidRPr="00FE32AE" w:rsidRDefault="00300049" w:rsidP="001F024C">
            <w:pPr>
              <w:rPr>
                <w:rFonts w:ascii="Calibri" w:hAnsi="Calibri" w:cs="Calibri"/>
                <w:b/>
                <w:color w:val="000000"/>
                <w:sz w:val="20"/>
                <w:szCs w:val="20"/>
              </w:rPr>
            </w:pPr>
            <w:r w:rsidRPr="00FE32AE">
              <w:rPr>
                <w:rFonts w:ascii="Calibri" w:hAnsi="Calibri" w:cs="Calibri"/>
                <w:b/>
                <w:color w:val="000000"/>
                <w:sz w:val="20"/>
                <w:szCs w:val="20"/>
              </w:rPr>
              <w:t>2011</w:t>
            </w:r>
          </w:p>
        </w:tc>
        <w:tc>
          <w:tcPr>
            <w:tcW w:w="851" w:type="dxa"/>
            <w:tcBorders>
              <w:top w:val="nil"/>
              <w:left w:val="single" w:sz="8" w:space="0" w:color="000000"/>
              <w:bottom w:val="nil"/>
              <w:right w:val="nil"/>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462</w:t>
            </w:r>
            <w:r w:rsidR="009D55B0" w:rsidRPr="00FE32AE">
              <w:rPr>
                <w:rFonts w:ascii="Calibri" w:hAnsi="Calibri" w:cs="Calibri"/>
                <w:color w:val="000000"/>
                <w:sz w:val="20"/>
                <w:szCs w:val="20"/>
              </w:rPr>
              <w:t>.</w:t>
            </w:r>
            <w:r w:rsidRPr="00FE32AE">
              <w:rPr>
                <w:rFonts w:ascii="Calibri" w:hAnsi="Calibri" w:cs="Calibri"/>
                <w:color w:val="000000"/>
                <w:sz w:val="20"/>
                <w:szCs w:val="20"/>
              </w:rPr>
              <w:t>579</w:t>
            </w:r>
          </w:p>
        </w:tc>
        <w:tc>
          <w:tcPr>
            <w:tcW w:w="960" w:type="dxa"/>
            <w:tcBorders>
              <w:top w:val="nil"/>
              <w:left w:val="nil"/>
              <w:bottom w:val="nil"/>
              <w:right w:val="nil"/>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102</w:t>
            </w:r>
            <w:r w:rsidR="009D55B0" w:rsidRPr="00FE32AE">
              <w:rPr>
                <w:rFonts w:ascii="Calibri" w:hAnsi="Calibri" w:cs="Calibri"/>
                <w:color w:val="000000"/>
                <w:sz w:val="20"/>
                <w:szCs w:val="20"/>
              </w:rPr>
              <w:t>.</w:t>
            </w:r>
            <w:r w:rsidRPr="00FE32AE">
              <w:rPr>
                <w:rFonts w:ascii="Calibri" w:hAnsi="Calibri" w:cs="Calibri"/>
                <w:color w:val="000000"/>
                <w:sz w:val="20"/>
                <w:szCs w:val="20"/>
              </w:rPr>
              <w:t>689</w:t>
            </w:r>
          </w:p>
        </w:tc>
        <w:tc>
          <w:tcPr>
            <w:tcW w:w="992" w:type="dxa"/>
            <w:tcBorders>
              <w:top w:val="nil"/>
              <w:left w:val="single" w:sz="8" w:space="0" w:color="000000"/>
              <w:bottom w:val="nil"/>
              <w:right w:val="single" w:sz="8" w:space="0" w:color="000000"/>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565</w:t>
            </w:r>
            <w:r w:rsidR="009D55B0" w:rsidRPr="00FE32AE">
              <w:rPr>
                <w:rFonts w:ascii="Calibri" w:hAnsi="Calibri" w:cs="Calibri"/>
                <w:color w:val="000000"/>
                <w:sz w:val="20"/>
                <w:szCs w:val="20"/>
              </w:rPr>
              <w:t>.</w:t>
            </w:r>
            <w:r w:rsidRPr="00FE32AE">
              <w:rPr>
                <w:rFonts w:ascii="Calibri" w:hAnsi="Calibri" w:cs="Calibri"/>
                <w:color w:val="000000"/>
                <w:sz w:val="20"/>
                <w:szCs w:val="20"/>
              </w:rPr>
              <w:t>268</w:t>
            </w:r>
          </w:p>
        </w:tc>
        <w:tc>
          <w:tcPr>
            <w:tcW w:w="819"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-1,6%</w:t>
            </w:r>
          </w:p>
        </w:tc>
        <w:tc>
          <w:tcPr>
            <w:tcW w:w="1113"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586</w:t>
            </w:r>
            <w:r w:rsidR="009D55B0" w:rsidRPr="00FE32AE">
              <w:rPr>
                <w:rFonts w:ascii="Calibri" w:hAnsi="Calibri" w:cs="Calibri"/>
                <w:color w:val="000000"/>
                <w:sz w:val="20"/>
                <w:szCs w:val="20"/>
              </w:rPr>
              <w:t>.</w:t>
            </w:r>
            <w:r w:rsidRPr="00FE32AE">
              <w:rPr>
                <w:rFonts w:ascii="Calibri" w:hAnsi="Calibri" w:cs="Calibri"/>
                <w:color w:val="000000"/>
                <w:sz w:val="20"/>
                <w:szCs w:val="20"/>
              </w:rPr>
              <w:t>392</w:t>
            </w:r>
          </w:p>
        </w:tc>
        <w:tc>
          <w:tcPr>
            <w:tcW w:w="1114"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2,3%</w:t>
            </w:r>
          </w:p>
        </w:tc>
        <w:tc>
          <w:tcPr>
            <w:tcW w:w="1405" w:type="dxa"/>
            <w:tcBorders>
              <w:top w:val="nil"/>
              <w:left w:val="nil"/>
              <w:bottom w:val="nil"/>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1,8%</w:t>
            </w:r>
          </w:p>
        </w:tc>
        <w:tc>
          <w:tcPr>
            <w:tcW w:w="1266" w:type="dxa"/>
            <w:tcBorders>
              <w:top w:val="nil"/>
              <w:left w:val="nil"/>
              <w:bottom w:val="nil"/>
              <w:right w:val="single" w:sz="4" w:space="0" w:color="auto"/>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1037</w:t>
            </w:r>
          </w:p>
        </w:tc>
      </w:tr>
      <w:tr w:rsidR="00300049" w:rsidRPr="00E850A0" w:rsidTr="00782382">
        <w:trPr>
          <w:trHeight w:val="349"/>
          <w:jc w:val="center"/>
        </w:trPr>
        <w:tc>
          <w:tcPr>
            <w:tcW w:w="724" w:type="dxa"/>
            <w:tcBorders>
              <w:top w:val="nil"/>
              <w:left w:val="single" w:sz="4" w:space="0" w:color="auto"/>
              <w:bottom w:val="single" w:sz="4" w:space="0" w:color="auto"/>
              <w:right w:val="nil"/>
            </w:tcBorders>
            <w:shd w:val="clear" w:color="auto" w:fill="auto"/>
            <w:noWrap/>
            <w:vAlign w:val="center"/>
            <w:hideMark/>
          </w:tcPr>
          <w:p w:rsidR="00300049" w:rsidRPr="00FE32AE" w:rsidRDefault="00300049" w:rsidP="001F024C">
            <w:pPr>
              <w:rPr>
                <w:rFonts w:ascii="Calibri" w:hAnsi="Calibri" w:cs="Calibri"/>
                <w:b/>
                <w:color w:val="000000"/>
                <w:sz w:val="20"/>
                <w:szCs w:val="20"/>
              </w:rPr>
            </w:pPr>
            <w:r w:rsidRPr="00FE32AE">
              <w:rPr>
                <w:rFonts w:ascii="Calibri" w:hAnsi="Calibri" w:cs="Calibri"/>
                <w:b/>
                <w:color w:val="000000"/>
                <w:sz w:val="20"/>
                <w:szCs w:val="20"/>
              </w:rPr>
              <w:t>2012</w:t>
            </w:r>
          </w:p>
        </w:tc>
        <w:tc>
          <w:tcPr>
            <w:tcW w:w="851" w:type="dxa"/>
            <w:tcBorders>
              <w:top w:val="nil"/>
              <w:left w:val="single" w:sz="8" w:space="0" w:color="000000"/>
              <w:bottom w:val="single" w:sz="4" w:space="0" w:color="auto"/>
              <w:right w:val="nil"/>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458</w:t>
            </w:r>
            <w:r w:rsidR="009D55B0" w:rsidRPr="00FE32AE">
              <w:rPr>
                <w:rFonts w:ascii="Calibri" w:hAnsi="Calibri" w:cs="Calibri"/>
                <w:color w:val="000000"/>
                <w:sz w:val="20"/>
                <w:szCs w:val="20"/>
              </w:rPr>
              <w:t>.</w:t>
            </w:r>
            <w:r w:rsidRPr="00FE32AE">
              <w:rPr>
                <w:rFonts w:ascii="Calibri" w:hAnsi="Calibri" w:cs="Calibri"/>
                <w:color w:val="000000"/>
                <w:sz w:val="20"/>
                <w:szCs w:val="20"/>
              </w:rPr>
              <w:t>337</w:t>
            </w:r>
          </w:p>
        </w:tc>
        <w:tc>
          <w:tcPr>
            <w:tcW w:w="960" w:type="dxa"/>
            <w:tcBorders>
              <w:top w:val="nil"/>
              <w:left w:val="nil"/>
              <w:bottom w:val="single" w:sz="4" w:space="0" w:color="auto"/>
              <w:right w:val="nil"/>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116</w:t>
            </w:r>
            <w:r w:rsidR="009D55B0" w:rsidRPr="00FE32AE">
              <w:rPr>
                <w:rFonts w:ascii="Calibri" w:hAnsi="Calibri" w:cs="Calibri"/>
                <w:color w:val="000000"/>
                <w:sz w:val="20"/>
                <w:szCs w:val="20"/>
              </w:rPr>
              <w:t>.</w:t>
            </w:r>
            <w:r w:rsidRPr="00FE32AE">
              <w:rPr>
                <w:rFonts w:ascii="Calibri" w:hAnsi="Calibri" w:cs="Calibri"/>
                <w:color w:val="000000"/>
                <w:sz w:val="20"/>
                <w:szCs w:val="20"/>
              </w:rPr>
              <w:t>344</w:t>
            </w:r>
          </w:p>
        </w:tc>
        <w:tc>
          <w:tcPr>
            <w:tcW w:w="992" w:type="dxa"/>
            <w:tcBorders>
              <w:top w:val="nil"/>
              <w:left w:val="single" w:sz="8" w:space="0" w:color="000000"/>
              <w:bottom w:val="single" w:sz="4" w:space="0" w:color="auto"/>
              <w:right w:val="single" w:sz="8" w:space="0" w:color="000000"/>
            </w:tcBorders>
            <w:shd w:val="clear" w:color="auto" w:fill="auto"/>
            <w:noWrap/>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574</w:t>
            </w:r>
            <w:r w:rsidR="009D55B0" w:rsidRPr="00FE32AE">
              <w:rPr>
                <w:rFonts w:ascii="Calibri" w:hAnsi="Calibri" w:cs="Calibri"/>
                <w:color w:val="000000"/>
                <w:sz w:val="20"/>
                <w:szCs w:val="20"/>
              </w:rPr>
              <w:t>.</w:t>
            </w:r>
            <w:r w:rsidRPr="00FE32AE">
              <w:rPr>
                <w:rFonts w:ascii="Calibri" w:hAnsi="Calibri" w:cs="Calibri"/>
                <w:color w:val="000000"/>
                <w:sz w:val="20"/>
                <w:szCs w:val="20"/>
              </w:rPr>
              <w:t>681</w:t>
            </w:r>
          </w:p>
        </w:tc>
        <w:tc>
          <w:tcPr>
            <w:tcW w:w="819" w:type="dxa"/>
            <w:tcBorders>
              <w:top w:val="nil"/>
              <w:left w:val="nil"/>
              <w:bottom w:val="single" w:sz="4" w:space="0" w:color="auto"/>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1,7%</w:t>
            </w:r>
          </w:p>
        </w:tc>
        <w:tc>
          <w:tcPr>
            <w:tcW w:w="1113" w:type="dxa"/>
            <w:tcBorders>
              <w:top w:val="nil"/>
              <w:left w:val="nil"/>
              <w:bottom w:val="single" w:sz="4" w:space="0" w:color="auto"/>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614945</w:t>
            </w:r>
          </w:p>
        </w:tc>
        <w:tc>
          <w:tcPr>
            <w:tcW w:w="1114" w:type="dxa"/>
            <w:tcBorders>
              <w:top w:val="nil"/>
              <w:left w:val="nil"/>
              <w:bottom w:val="single" w:sz="4" w:space="0" w:color="auto"/>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4,9%</w:t>
            </w:r>
          </w:p>
        </w:tc>
        <w:tc>
          <w:tcPr>
            <w:tcW w:w="1405" w:type="dxa"/>
            <w:tcBorders>
              <w:top w:val="nil"/>
              <w:left w:val="nil"/>
              <w:bottom w:val="single" w:sz="4" w:space="0" w:color="auto"/>
              <w:right w:val="single" w:sz="8" w:space="0" w:color="000000"/>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-0,2%</w:t>
            </w:r>
          </w:p>
        </w:tc>
        <w:tc>
          <w:tcPr>
            <w:tcW w:w="1266" w:type="dxa"/>
            <w:tcBorders>
              <w:top w:val="nil"/>
              <w:left w:val="nil"/>
              <w:bottom w:val="single" w:sz="4" w:space="0" w:color="auto"/>
              <w:right w:val="single" w:sz="4" w:space="0" w:color="auto"/>
            </w:tcBorders>
            <w:shd w:val="clear" w:color="auto" w:fill="auto"/>
            <w:vAlign w:val="center"/>
            <w:hideMark/>
          </w:tcPr>
          <w:p w:rsidR="00300049" w:rsidRPr="00FE32AE" w:rsidRDefault="00300049" w:rsidP="001F024C">
            <w:pPr>
              <w:jc w:val="center"/>
              <w:rPr>
                <w:rFonts w:ascii="Calibri" w:hAnsi="Calibri" w:cs="Calibri"/>
                <w:color w:val="000000"/>
                <w:sz w:val="20"/>
                <w:szCs w:val="20"/>
              </w:rPr>
            </w:pPr>
            <w:r w:rsidRPr="00FE32AE">
              <w:rPr>
                <w:rFonts w:ascii="Calibri" w:hAnsi="Calibri" w:cs="Calibri"/>
                <w:color w:val="000000"/>
                <w:sz w:val="20"/>
                <w:szCs w:val="20"/>
              </w:rPr>
              <w:t>1070</w:t>
            </w:r>
          </w:p>
        </w:tc>
      </w:tr>
    </w:tbl>
    <w:p w:rsidR="008B5E67" w:rsidRDefault="008B5E67" w:rsidP="00782382">
      <w:pPr>
        <w:pStyle w:val="Lijstalinea"/>
        <w:ind w:left="397" w:right="567"/>
        <w:jc w:val="both"/>
        <w:rPr>
          <w:sz w:val="22"/>
          <w:szCs w:val="22"/>
        </w:rPr>
      </w:pPr>
    </w:p>
    <w:p w:rsidR="00300049" w:rsidRPr="00127983" w:rsidRDefault="00300049" w:rsidP="00782382">
      <w:pPr>
        <w:pStyle w:val="Lijstalinea"/>
        <w:ind w:left="397" w:right="567"/>
        <w:jc w:val="both"/>
        <w:rPr>
          <w:sz w:val="22"/>
          <w:szCs w:val="22"/>
        </w:rPr>
      </w:pPr>
      <w:r w:rsidRPr="00127983">
        <w:rPr>
          <w:sz w:val="22"/>
          <w:szCs w:val="22"/>
        </w:rPr>
        <w:t xml:space="preserve">Hier is te zien hoe de evolutie van het aantal </w:t>
      </w:r>
      <w:r w:rsidR="009D55B0" w:rsidRPr="00127983">
        <w:rPr>
          <w:sz w:val="22"/>
          <w:szCs w:val="22"/>
        </w:rPr>
        <w:t>NWWZ</w:t>
      </w:r>
      <w:r w:rsidRPr="00127983">
        <w:rPr>
          <w:sz w:val="22"/>
          <w:szCs w:val="22"/>
        </w:rPr>
        <w:t xml:space="preserve"> tegengesteld is a</w:t>
      </w:r>
      <w:r w:rsidR="009D55B0" w:rsidRPr="00127983">
        <w:rPr>
          <w:sz w:val="22"/>
          <w:szCs w:val="22"/>
        </w:rPr>
        <w:t>an die van de andere gebruike</w:t>
      </w:r>
      <w:r w:rsidRPr="00127983">
        <w:rPr>
          <w:sz w:val="22"/>
          <w:szCs w:val="22"/>
        </w:rPr>
        <w:t xml:space="preserve">rs van de VDAB-diensten. In 2009 steeg het aantal </w:t>
      </w:r>
      <w:r w:rsidR="009D55B0" w:rsidRPr="00127983">
        <w:rPr>
          <w:sz w:val="22"/>
          <w:szCs w:val="22"/>
        </w:rPr>
        <w:t>NWWZ</w:t>
      </w:r>
      <w:r w:rsidRPr="00127983">
        <w:rPr>
          <w:sz w:val="22"/>
          <w:szCs w:val="22"/>
        </w:rPr>
        <w:t xml:space="preserve"> fel, maar daalde het aantal andere dossiers ook sterk. De invloed van de conjunctuur blijft bestaan, maar wordt getemperd.</w:t>
      </w:r>
    </w:p>
    <w:p w:rsidR="00782382" w:rsidRPr="00127983" w:rsidRDefault="00782382" w:rsidP="00782382">
      <w:pPr>
        <w:pStyle w:val="Lijstalinea"/>
        <w:ind w:left="397" w:right="567"/>
        <w:jc w:val="both"/>
        <w:rPr>
          <w:sz w:val="22"/>
          <w:szCs w:val="22"/>
        </w:rPr>
      </w:pPr>
    </w:p>
    <w:p w:rsidR="00300049" w:rsidRPr="00127983" w:rsidRDefault="00300049" w:rsidP="00782382">
      <w:pPr>
        <w:pStyle w:val="Lijstalinea"/>
        <w:ind w:left="397" w:right="567"/>
        <w:jc w:val="both"/>
        <w:rPr>
          <w:sz w:val="22"/>
          <w:szCs w:val="22"/>
        </w:rPr>
      </w:pPr>
      <w:r w:rsidRPr="00127983">
        <w:rPr>
          <w:sz w:val="22"/>
          <w:szCs w:val="22"/>
        </w:rPr>
        <w:t>Doorgaans wordt aangenomen dat de werkloosheid toeneemt wanneer de economische groei lager is dan 2% op jaarbasis. De werkloosheid reageert met een vertraging van een klein jaar op de evolutie van de economische groei. Dit is zichtbaar in de tabel. He</w:t>
      </w:r>
      <w:r w:rsidR="009D55B0" w:rsidRPr="00127983">
        <w:rPr>
          <w:sz w:val="22"/>
          <w:szCs w:val="22"/>
        </w:rPr>
        <w:t>t aantal dossiers steeg in 2009</w:t>
      </w:r>
      <w:r w:rsidRPr="00127983">
        <w:rPr>
          <w:sz w:val="22"/>
          <w:szCs w:val="22"/>
        </w:rPr>
        <w:t xml:space="preserve"> en 2010, als gevolg van de lage en zelfs negatieve groei in 2008 en 2009. De economische heropleving van 2010 vertaalde zich pas in 2011 in een daling van het aantal dossiers.</w:t>
      </w:r>
    </w:p>
    <w:p w:rsidR="00782382" w:rsidRPr="00127983" w:rsidRDefault="00782382" w:rsidP="00782382">
      <w:pPr>
        <w:pStyle w:val="Lijstalinea"/>
        <w:ind w:left="397" w:right="567"/>
        <w:jc w:val="both"/>
        <w:rPr>
          <w:sz w:val="22"/>
          <w:szCs w:val="22"/>
        </w:rPr>
      </w:pPr>
    </w:p>
    <w:p w:rsidR="00300049" w:rsidRPr="00127983" w:rsidRDefault="00300049" w:rsidP="00782382">
      <w:pPr>
        <w:pStyle w:val="Lijstalinea"/>
        <w:ind w:left="397" w:right="567"/>
        <w:jc w:val="both"/>
        <w:rPr>
          <w:sz w:val="22"/>
          <w:szCs w:val="22"/>
        </w:rPr>
      </w:pPr>
      <w:r w:rsidRPr="00127983">
        <w:rPr>
          <w:sz w:val="22"/>
          <w:szCs w:val="22"/>
        </w:rPr>
        <w:t>Dit wil zeggen dat we op basis van de economische vooruitzichten van instanties als de Nationale Bank van België en het Federaal Planbureau wel een algemene inschatting kunnen maken van de verwachte evolutie van het aantal dossiers, maar geen precieze voorspelling. Het VDAB-budget volgt voor een stuk de evolutie van het aantal dossiers, maar niet helemaal.</w:t>
      </w:r>
    </w:p>
    <w:p w:rsidR="00782382" w:rsidRPr="00127983" w:rsidRDefault="00782382" w:rsidP="00782382">
      <w:pPr>
        <w:pStyle w:val="Lijstalinea"/>
        <w:ind w:left="397" w:right="567"/>
        <w:jc w:val="both"/>
        <w:rPr>
          <w:sz w:val="22"/>
          <w:szCs w:val="22"/>
        </w:rPr>
      </w:pPr>
    </w:p>
    <w:p w:rsidR="00300049" w:rsidRPr="00127983" w:rsidRDefault="00300049" w:rsidP="00782382">
      <w:pPr>
        <w:pStyle w:val="Lijstalinea"/>
        <w:ind w:left="397" w:right="567"/>
        <w:jc w:val="both"/>
        <w:rPr>
          <w:sz w:val="22"/>
          <w:szCs w:val="22"/>
        </w:rPr>
      </w:pPr>
      <w:r w:rsidRPr="00127983">
        <w:rPr>
          <w:sz w:val="22"/>
          <w:szCs w:val="22"/>
        </w:rPr>
        <w:t xml:space="preserve">Wat betreft de vergelijking met de andere gewesten, de buurlanden en de Scandinavische landen is het niet mogelijk op basis van beschikbare cijfers deze vraag te beantwoorden. </w:t>
      </w:r>
    </w:p>
    <w:p w:rsidR="00734576" w:rsidRPr="00127983" w:rsidRDefault="00734576" w:rsidP="00734576">
      <w:pPr>
        <w:pStyle w:val="StandaardSV"/>
        <w:tabs>
          <w:tab w:val="left" w:pos="360"/>
        </w:tabs>
        <w:ind w:left="357"/>
      </w:pPr>
    </w:p>
    <w:p w:rsidR="00971245" w:rsidRPr="00127983" w:rsidRDefault="00CA4E55" w:rsidP="00782382">
      <w:pPr>
        <w:pStyle w:val="Lijstalinea"/>
        <w:numPr>
          <w:ilvl w:val="0"/>
          <w:numId w:val="15"/>
        </w:numPr>
        <w:tabs>
          <w:tab w:val="num" w:pos="397"/>
        </w:tabs>
        <w:ind w:left="397" w:right="567" w:hanging="397"/>
        <w:jc w:val="both"/>
        <w:rPr>
          <w:sz w:val="22"/>
          <w:szCs w:val="22"/>
        </w:rPr>
      </w:pPr>
      <w:r w:rsidRPr="00127983">
        <w:rPr>
          <w:sz w:val="22"/>
          <w:szCs w:val="22"/>
        </w:rPr>
        <w:t>Deze gegevens m.b.t.</w:t>
      </w:r>
      <w:r w:rsidR="00A02AAA" w:rsidRPr="00127983">
        <w:rPr>
          <w:sz w:val="22"/>
          <w:szCs w:val="22"/>
        </w:rPr>
        <w:t xml:space="preserve"> actief arbeidsmarktbeleid (ALMP) </w:t>
      </w:r>
      <w:r w:rsidRPr="00127983">
        <w:rPr>
          <w:sz w:val="22"/>
          <w:szCs w:val="22"/>
        </w:rPr>
        <w:t>zijn terug te vinden in de Labour Market Policy (LMP) Databank van</w:t>
      </w:r>
      <w:r w:rsidR="00A02AAA" w:rsidRPr="00127983">
        <w:rPr>
          <w:sz w:val="22"/>
          <w:szCs w:val="22"/>
        </w:rPr>
        <w:t xml:space="preserve"> </w:t>
      </w:r>
      <w:proofErr w:type="spellStart"/>
      <w:r w:rsidR="00A02AAA" w:rsidRPr="00127983">
        <w:rPr>
          <w:sz w:val="22"/>
          <w:szCs w:val="22"/>
        </w:rPr>
        <w:t>Eurostat</w:t>
      </w:r>
      <w:proofErr w:type="spellEnd"/>
      <w:r w:rsidR="00A02AAA" w:rsidRPr="00127983">
        <w:rPr>
          <w:sz w:val="22"/>
          <w:szCs w:val="22"/>
        </w:rPr>
        <w:t xml:space="preserve">. Deze cijfers zijn ook te raadplegen op </w:t>
      </w:r>
      <w:hyperlink r:id="rId10" w:history="1">
        <w:r w:rsidR="00A02AAA" w:rsidRPr="00127983">
          <w:rPr>
            <w:sz w:val="22"/>
            <w:szCs w:val="22"/>
          </w:rPr>
          <w:t>www.werk.be</w:t>
        </w:r>
      </w:hyperlink>
      <w:r w:rsidR="00A02AAA" w:rsidRPr="00127983">
        <w:rPr>
          <w:sz w:val="22"/>
          <w:szCs w:val="22"/>
        </w:rPr>
        <w:t xml:space="preserve">. De uitgaven voor 2012 zijn nog niet beschikbaar. </w:t>
      </w:r>
      <w:r w:rsidRPr="00127983">
        <w:rPr>
          <w:sz w:val="22"/>
          <w:szCs w:val="22"/>
        </w:rPr>
        <w:t>Deze uitgaven zijn ook voorzien in de Vlaamse begroting</w:t>
      </w:r>
    </w:p>
    <w:p w:rsidR="00342E5D" w:rsidRPr="00127983" w:rsidRDefault="008D4ECB" w:rsidP="00127983">
      <w:pPr>
        <w:pStyle w:val="StandaardSV"/>
        <w:tabs>
          <w:tab w:val="left" w:pos="426"/>
        </w:tabs>
        <w:spacing w:before="240"/>
        <w:ind w:left="426" w:right="491"/>
      </w:pPr>
      <w:r w:rsidRPr="00127983">
        <w:t xml:space="preserve">Voor de vergelijking van België met andere Europese landen verwijzen we naar het </w:t>
      </w:r>
      <w:proofErr w:type="spellStart"/>
      <w:r w:rsidRPr="00127983">
        <w:t>Eurostat</w:t>
      </w:r>
      <w:proofErr w:type="spellEnd"/>
      <w:r w:rsidRPr="00127983">
        <w:t xml:space="preserve">-rapport. Een vergelijking van Vlaanderen met de andere Gewesten en met een selectie van Europese landen is te vinden in De Klerck, W., L. Van Wichelen (2008) Hoe actief is het arbeidsmarktbeleid in Vlaanderen, België en Europa. </w:t>
      </w:r>
      <w:proofErr w:type="spellStart"/>
      <w:r w:rsidRPr="00127983">
        <w:t>Over-Werk</w:t>
      </w:r>
      <w:bookmarkStart w:id="0" w:name="_GoBack"/>
      <w:bookmarkEnd w:id="0"/>
      <w:proofErr w:type="spellEnd"/>
      <w:r w:rsidRPr="00127983">
        <w:t xml:space="preserve">, </w:t>
      </w:r>
      <w:proofErr w:type="spellStart"/>
      <w:r w:rsidRPr="00127983">
        <w:t>nr</w:t>
      </w:r>
      <w:proofErr w:type="spellEnd"/>
      <w:r w:rsidRPr="00127983">
        <w:t xml:space="preserve"> 3-4, </w:t>
      </w:r>
      <w:proofErr w:type="spellStart"/>
      <w:r w:rsidRPr="00127983">
        <w:t>pag</w:t>
      </w:r>
      <w:proofErr w:type="spellEnd"/>
      <w:r w:rsidRPr="00127983">
        <w:t xml:space="preserve"> 20-24. </w:t>
      </w:r>
    </w:p>
    <w:sectPr w:rsidR="00342E5D" w:rsidRPr="00127983" w:rsidSect="00EB1EE1">
      <w:type w:val="continuous"/>
      <w:pgSz w:w="11906" w:h="16838"/>
      <w:pgMar w:top="1417" w:right="926"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01058F4"/>
    <w:multiLevelType w:val="hybridMultilevel"/>
    <w:tmpl w:val="B2528D4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3073B9"/>
    <w:multiLevelType w:val="hybridMultilevel"/>
    <w:tmpl w:val="D152EE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A2E2B25"/>
    <w:multiLevelType w:val="hybridMultilevel"/>
    <w:tmpl w:val="A2C614F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3A7C6E66"/>
    <w:multiLevelType w:val="hybridMultilevel"/>
    <w:tmpl w:val="5478E9E2"/>
    <w:lvl w:ilvl="0" w:tplc="0FF0B476">
      <w:start w:val="1"/>
      <w:numFmt w:val="decimal"/>
      <w:lvlText w:val="%1."/>
      <w:lvlJc w:val="left"/>
      <w:pPr>
        <w:ind w:left="720" w:hanging="360"/>
      </w:pPr>
      <w:rPr>
        <w:rFonts w:asciiTheme="minorHAnsi" w:eastAsia="Times New Roman" w:hAnsiTheme="minorHAnsi" w:cstheme="min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C265B71"/>
    <w:multiLevelType w:val="hybridMultilevel"/>
    <w:tmpl w:val="297CC5D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67AC70C1"/>
    <w:multiLevelType w:val="hybridMultilevel"/>
    <w:tmpl w:val="A27AA454"/>
    <w:lvl w:ilvl="0" w:tplc="7572F8FC">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3"/>
  </w:num>
  <w:num w:numId="5">
    <w:abstractNumId w:val="12"/>
  </w:num>
  <w:num w:numId="6">
    <w:abstractNumId w:val="6"/>
  </w:num>
  <w:num w:numId="7">
    <w:abstractNumId w:val="5"/>
  </w:num>
  <w:num w:numId="8">
    <w:abstractNumId w:val="9"/>
  </w:num>
  <w:num w:numId="9">
    <w:abstractNumId w:val="4"/>
  </w:num>
  <w:num w:numId="10">
    <w:abstractNumId w:val="13"/>
  </w:num>
  <w:num w:numId="11">
    <w:abstractNumId w:val="7"/>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0A2B32"/>
    <w:rsid w:val="00127983"/>
    <w:rsid w:val="00132BD7"/>
    <w:rsid w:val="001418EC"/>
    <w:rsid w:val="00165725"/>
    <w:rsid w:val="001A5B8A"/>
    <w:rsid w:val="002173F0"/>
    <w:rsid w:val="00232BC7"/>
    <w:rsid w:val="002775A9"/>
    <w:rsid w:val="00291A76"/>
    <w:rsid w:val="002C779D"/>
    <w:rsid w:val="00300049"/>
    <w:rsid w:val="00321752"/>
    <w:rsid w:val="00342E5D"/>
    <w:rsid w:val="00410225"/>
    <w:rsid w:val="00415488"/>
    <w:rsid w:val="004350C4"/>
    <w:rsid w:val="00462E13"/>
    <w:rsid w:val="00463D2B"/>
    <w:rsid w:val="00482870"/>
    <w:rsid w:val="00484404"/>
    <w:rsid w:val="00492D21"/>
    <w:rsid w:val="00496B5B"/>
    <w:rsid w:val="004B1659"/>
    <w:rsid w:val="004C4D78"/>
    <w:rsid w:val="005628FF"/>
    <w:rsid w:val="00572E3E"/>
    <w:rsid w:val="005F2C80"/>
    <w:rsid w:val="00632122"/>
    <w:rsid w:val="0064100C"/>
    <w:rsid w:val="00656FB5"/>
    <w:rsid w:val="006632DE"/>
    <w:rsid w:val="0068216A"/>
    <w:rsid w:val="006918D8"/>
    <w:rsid w:val="00696243"/>
    <w:rsid w:val="006A4CA8"/>
    <w:rsid w:val="006B7FCC"/>
    <w:rsid w:val="006D3CE8"/>
    <w:rsid w:val="006D4450"/>
    <w:rsid w:val="006F477D"/>
    <w:rsid w:val="00707498"/>
    <w:rsid w:val="00710414"/>
    <w:rsid w:val="00713F54"/>
    <w:rsid w:val="00734269"/>
    <w:rsid w:val="00734576"/>
    <w:rsid w:val="00734FDE"/>
    <w:rsid w:val="00753CC6"/>
    <w:rsid w:val="007613B5"/>
    <w:rsid w:val="00782382"/>
    <w:rsid w:val="008567AE"/>
    <w:rsid w:val="008906D6"/>
    <w:rsid w:val="008B5E67"/>
    <w:rsid w:val="008D4ECB"/>
    <w:rsid w:val="008E60A9"/>
    <w:rsid w:val="008F18E6"/>
    <w:rsid w:val="00936C96"/>
    <w:rsid w:val="009373D7"/>
    <w:rsid w:val="00971245"/>
    <w:rsid w:val="009A3970"/>
    <w:rsid w:val="009C0FF4"/>
    <w:rsid w:val="009D55B0"/>
    <w:rsid w:val="009D7514"/>
    <w:rsid w:val="00A02AAA"/>
    <w:rsid w:val="00A27757"/>
    <w:rsid w:val="00A50725"/>
    <w:rsid w:val="00A75778"/>
    <w:rsid w:val="00A76C9C"/>
    <w:rsid w:val="00AA4E03"/>
    <w:rsid w:val="00AB563F"/>
    <w:rsid w:val="00B27878"/>
    <w:rsid w:val="00B33C6C"/>
    <w:rsid w:val="00B373A0"/>
    <w:rsid w:val="00B97686"/>
    <w:rsid w:val="00BD1E2A"/>
    <w:rsid w:val="00BE4E09"/>
    <w:rsid w:val="00C910F8"/>
    <w:rsid w:val="00CA4E55"/>
    <w:rsid w:val="00CB3A85"/>
    <w:rsid w:val="00D0429D"/>
    <w:rsid w:val="00D06542"/>
    <w:rsid w:val="00D15FE9"/>
    <w:rsid w:val="00D169B0"/>
    <w:rsid w:val="00D6129C"/>
    <w:rsid w:val="00DF0323"/>
    <w:rsid w:val="00DF0EAA"/>
    <w:rsid w:val="00E13E2E"/>
    <w:rsid w:val="00E37C52"/>
    <w:rsid w:val="00E7231E"/>
    <w:rsid w:val="00EB1EE1"/>
    <w:rsid w:val="00EC7346"/>
    <w:rsid w:val="00ED0183"/>
    <w:rsid w:val="00EE0092"/>
    <w:rsid w:val="00F6262A"/>
    <w:rsid w:val="00F95777"/>
    <w:rsid w:val="00FD2B0C"/>
    <w:rsid w:val="00FE3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A02AAA"/>
    <w:pPr>
      <w:ind w:left="720"/>
      <w:contextualSpacing/>
    </w:pPr>
  </w:style>
  <w:style w:type="character" w:styleId="Hyperlink">
    <w:name w:val="Hyperlink"/>
    <w:rsid w:val="00A02A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A02AAA"/>
    <w:pPr>
      <w:ind w:left="720"/>
      <w:contextualSpacing/>
    </w:pPr>
  </w:style>
  <w:style w:type="character" w:styleId="Hyperlink">
    <w:name w:val="Hyperlink"/>
    <w:rsid w:val="00A02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werk.b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317C8C"/>
    <w:rsid w:val="003D53FC"/>
    <w:rsid w:val="00483851"/>
    <w:rsid w:val="00535D1C"/>
    <w:rsid w:val="005F7776"/>
    <w:rsid w:val="0060158A"/>
    <w:rsid w:val="006A2164"/>
    <w:rsid w:val="006F6864"/>
    <w:rsid w:val="00723526"/>
    <w:rsid w:val="00755DDF"/>
    <w:rsid w:val="007A3F77"/>
    <w:rsid w:val="00840383"/>
    <w:rsid w:val="00857F16"/>
    <w:rsid w:val="00896769"/>
    <w:rsid w:val="00955364"/>
    <w:rsid w:val="00A86254"/>
    <w:rsid w:val="00B91F8D"/>
    <w:rsid w:val="00C57AC2"/>
    <w:rsid w:val="00DC43AF"/>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266 Financiering VDAB   -   Evolutie</Titel_x0020_vraag>
    <Vraagnummer xmlns="7a2e3783-fe9a-4a2f-bbf4-debb4ac58a5c">266</Vraagnummer>
    <DatumVraag xmlns="7a2e3783-fe9a-4a2f-bbf4-debb4ac58a5c">2013-01-15T23:00:00+00:00</DatumVraag>
    <DocumentSetDescription xmlns="http://schemas.microsoft.com/sharepoint/v3" xsi:nil="true"/>
    <Antwoord_x0020_vereist xmlns="7a2e3783-fe9a-4a2f-bbf4-debb4ac58a5c">2013-02-03T23:00:00+00:00</Antwoord_x0020_vereist>
    <la8087f2a9424c2586e7f3a9f367c2ee xmlns="7a2e3783-fe9a-4a2f-bbf4-debb4ac58a5c">
      <Terms xmlns="http://schemas.microsoft.com/office/infopath/2007/PartnerControls"/>
    </la8087f2a9424c2586e7f3a9f367c2ee>
    <Onderwerp_x0020_vraag xmlns="7a2e3783-fe9a-4a2f-bbf4-debb4ac58a5c">Financiering VDAB   -   Evolutie</Onderwerp_x0020_vraag>
    <TaxCatchAll xmlns="7a2e3783-fe9a-4a2f-bbf4-debb4ac58a5c"/>
    <Antwoordnummer xmlns="7a2e3783-fe9a-4a2f-bbf4-debb4ac58a5c">266</Antwoordnummer>
    <Extra_x0020_Behandelaars xmlns="7a2e3783-fe9a-4a2f-bbf4-debb4ac58a5c">
      <UserInfo>
        <DisplayName>Boey, Raf</DisplayName>
        <AccountId>126</AccountId>
        <AccountType/>
      </UserInfo>
    </Extra_x0020_Behandelaars>
    <Type_x0020_Document xmlns="7a2e3783-fe9a-4a2f-bbf4-debb4ac58a5c">
      <Value>Ontwerp van antwoord</Value>
      <Value>Parlementaire vragen</Value>
    </Type_x0020_Document>
    <Parlementair xmlns="7a2e3783-fe9a-4a2f-bbf4-debb4ac58a5c">bart van malderen</Parlementair>
    <Doorloopstatus xmlns="7a2e3783-fe9a-4a2f-bbf4-debb4ac58a5c">Beantwoord</Doorloopstatus>
    <Behandelaar xmlns="7a2e3783-fe9a-4a2f-bbf4-debb4ac58a5c">
      <UserInfo>
        <DisplayName>Windels, Emly</DisplayName>
        <AccountId>198</AccountId>
        <AccountType/>
      </UserInfo>
    </Behandelaar>
    <Vraag_x0020_beantwoord xmlns="7a2e3783-fe9a-4a2f-bbf4-debb4ac58a5c">2013-02-04T08:08:39+00:00</Vraag_x0020_beantwoord>
    <TypeVraag xmlns="7a2e3783-fe9a-4a2f-bbf4-debb4ac58a5c">Schriftelijke Vraag</TypeVraag>
    <MinisterDomein xmlns="7a2e3783-fe9a-4a2f-bbf4-debb4ac58a5c">Werk</MinisterDomein>
    <DocSetId xmlns="ad923ab5-f988-4e82-b3fb-7226e10f9616">262</DocSetId>
    <Minister xmlns="ec82e040-88e9-4975-bc13-a42fab7bb9ce">1</Minister>
    <PVAfdeling xmlns="7a2e3783-fe9a-4a2f-bbf4-debb4ac58a5c">Werkgelegenheidsbeleid</PVAfdeling>
    <PVTeam xmlns="7a2e3783-fe9a-4a2f-bbf4-debb4ac58a5c">Monitoring en Ondersteuning</PVTeam>
    <Historiek xmlns="7a2e3783-fe9a-4a2f-bbf4-debb4ac58a5c">Vraag aangemaakt door ALFA\backelle;16/01/2013 15:37:39;Vandenbossche, Jozef werd als behandelaar aangeduid;16/01/2013 15:49:31;De behandeling werd door Vandenbossche, Jozef geweigerd;16/01/2013 16:08:03;Windels, Emly werd als behandelaar aangeduid;16/01/2013 16:10:20;De behandeling werd door Windels, Emly geaccepteerd;18/01/2013 11:26:11;Behandeling werd afgerond door Windels, Emly;04/02/2013 08:49:52;Het antwoord werd goedgekeurd;04/02/2013 09:08:39;</Historiek>
    <MinisterAlleDomeinen xmlns="7a2e3783-fe9a-4a2f-bbf4-debb4ac58a5c">Financiën, Begroting, Werk, Ruimtelijke Ordening en Sport</MinisterAlleDomeinen>
    <Extern_x0020_Agentschap xmlns="ad923ab5-f988-4e82-b3fb-7226e10f9616">1</Extern_x0020_Agentschap>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ed6840437db0d4efc656493ea58811ef">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206cc9eb33b325e3fff7e8b827dda1d9"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purl.org/dc/terms/"/>
    <ds:schemaRef ds:uri="http://schemas.microsoft.com/office/2006/documentManagement/types"/>
    <ds:schemaRef ds:uri="http://purl.org/dc/elements/1.1/"/>
    <ds:schemaRef ds:uri="http://www.w3.org/XML/1998/namespace"/>
    <ds:schemaRef ds:uri="http://purl.org/dc/dcmitype/"/>
    <ds:schemaRef ds:uri="7a2e3783-fe9a-4a2f-bbf4-debb4ac58a5c"/>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ec82e040-88e9-4975-bc13-a42fab7bb9ce"/>
    <ds:schemaRef ds:uri="ad923ab5-f988-4e82-b3fb-7226e10f9616"/>
  </ds:schemaRefs>
</ds:datastoreItem>
</file>

<file path=customXml/itemProps4.xml><?xml version="1.0" encoding="utf-8"?>
<ds:datastoreItem xmlns:ds="http://schemas.openxmlformats.org/officeDocument/2006/customXml" ds:itemID="{5F51A24C-A280-437D-9B72-BFBE9A6EA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4430</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Financiering VDAB</vt:lpstr>
      <vt:lpstr/>
    </vt:vector>
  </TitlesOfParts>
  <Company>MVG</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Financiering VDAB</dc:title>
  <dc:creator>Tommy Vanhee</dc:creator>
  <cp:lastModifiedBy>Vlaams Parlement</cp:lastModifiedBy>
  <cp:revision>2</cp:revision>
  <cp:lastPrinted>2013-02-14T13:07:00Z</cp:lastPrinted>
  <dcterms:created xsi:type="dcterms:W3CDTF">2013-02-14T13:07:00Z</dcterms:created>
  <dcterms:modified xsi:type="dcterms:W3CDTF">2013-02-14T13:07:00Z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cdabd824-b5db-45a4-8ef5-ec1d14f9474d</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2013-02-04T08:10:52Z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