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086D3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bookmarkStart w:id="1" w:name="_GoBack"/>
      <w:r w:rsidR="00B233AB">
        <w:rPr>
          <w:szCs w:val="22"/>
        </w:rPr>
        <w:t>p</w:t>
      </w:r>
      <w:r w:rsidR="001C767D">
        <w:rPr>
          <w:noProof/>
          <w:szCs w:val="22"/>
        </w:rPr>
        <w:t>hilippe muyters</w:t>
      </w:r>
      <w:bookmarkEnd w:id="1"/>
      <w:r>
        <w:rPr>
          <w:szCs w:val="22"/>
        </w:rPr>
        <w:fldChar w:fldCharType="end"/>
      </w:r>
      <w:bookmarkEnd w:id="0"/>
    </w:p>
    <w:bookmarkStart w:id="2" w:name="Text2"/>
    <w:p w:rsidR="000976E9" w:rsidRPr="00015BF7" w:rsidRDefault="00086D3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00086D3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086D39" w:rsidRPr="00326A58">
        <w:rPr>
          <w:b w:val="0"/>
        </w:rPr>
      </w:r>
      <w:r w:rsidR="00086D39" w:rsidRPr="00326A58">
        <w:rPr>
          <w:b w:val="0"/>
        </w:rPr>
        <w:fldChar w:fldCharType="separate"/>
      </w:r>
      <w:r w:rsidR="00CD7634">
        <w:rPr>
          <w:b w:val="0"/>
        </w:rPr>
        <w:t>250</w:t>
      </w:r>
      <w:r w:rsidR="00086D39"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086D3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086D39">
        <w:rPr>
          <w:b w:val="0"/>
        </w:rPr>
      </w:r>
      <w:r w:rsidR="00086D39">
        <w:rPr>
          <w:b w:val="0"/>
        </w:rPr>
        <w:fldChar w:fldCharType="separate"/>
      </w:r>
      <w:r w:rsidR="00995AEC">
        <w:rPr>
          <w:b w:val="0"/>
        </w:rPr>
        <w:t>9</w:t>
      </w:r>
      <w:r w:rsidR="00086D39">
        <w:rPr>
          <w:b w:val="0"/>
        </w:rPr>
        <w:fldChar w:fldCharType="end"/>
      </w:r>
      <w:bookmarkEnd w:id="4"/>
      <w:r w:rsidRPr="00326A58">
        <w:rPr>
          <w:b w:val="0"/>
        </w:rPr>
        <w:t xml:space="preserve"> </w:t>
      </w:r>
      <w:bookmarkStart w:id="5" w:name="Dropdown2"/>
      <w:r w:rsidR="00086D39">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086D39">
        <w:rPr>
          <w:b w:val="0"/>
        </w:rPr>
      </w:r>
      <w:r w:rsidR="00086D39">
        <w:rPr>
          <w:b w:val="0"/>
        </w:rPr>
        <w:fldChar w:fldCharType="end"/>
      </w:r>
      <w:bookmarkEnd w:id="5"/>
      <w:r w:rsidRPr="00326A58">
        <w:rPr>
          <w:b w:val="0"/>
        </w:rPr>
        <w:t xml:space="preserve"> </w:t>
      </w:r>
      <w:bookmarkStart w:id="6" w:name="Dropdown3"/>
      <w:r w:rsidR="00086D39">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086D39">
        <w:rPr>
          <w:b w:val="0"/>
        </w:rPr>
      </w:r>
      <w:r w:rsidR="00086D39">
        <w:rPr>
          <w:b w:val="0"/>
        </w:rPr>
        <w:fldChar w:fldCharType="end"/>
      </w:r>
      <w:bookmarkEnd w:id="6"/>
    </w:p>
    <w:p w:rsidR="000976E9" w:rsidRDefault="000976E9" w:rsidP="000976E9">
      <w:pPr>
        <w:rPr>
          <w:szCs w:val="22"/>
        </w:rPr>
      </w:pPr>
      <w:r>
        <w:rPr>
          <w:szCs w:val="22"/>
        </w:rPr>
        <w:t xml:space="preserve">van </w:t>
      </w:r>
      <w:r w:rsidR="00086D3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086D39" w:rsidRPr="009D7043">
        <w:rPr>
          <w:rStyle w:val="AntwoordNaamMinisterChar"/>
        </w:rPr>
      </w:r>
      <w:r w:rsidR="00086D39" w:rsidRPr="009D7043">
        <w:rPr>
          <w:rStyle w:val="AntwoordNaamMinisterChar"/>
        </w:rPr>
        <w:fldChar w:fldCharType="separate"/>
      </w:r>
      <w:r w:rsidR="008B6435">
        <w:rPr>
          <w:rStyle w:val="AntwoordNaamMinisterChar"/>
        </w:rPr>
        <w:t>katrien schryvers</w:t>
      </w:r>
      <w:r w:rsidR="00086D3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CD7634" w:rsidRPr="00553D23" w:rsidRDefault="00CD7634" w:rsidP="00995AEC">
      <w:pPr>
        <w:ind w:left="426" w:hanging="426"/>
        <w:jc w:val="both"/>
        <w:rPr>
          <w:szCs w:val="22"/>
        </w:rPr>
      </w:pPr>
      <w:r w:rsidRPr="00553D23">
        <w:rPr>
          <w:szCs w:val="22"/>
        </w:rPr>
        <w:lastRenderedPageBreak/>
        <w:t xml:space="preserve">1. </w:t>
      </w:r>
      <w:r w:rsidR="00995AEC">
        <w:rPr>
          <w:szCs w:val="22"/>
        </w:rPr>
        <w:tab/>
      </w:r>
      <w:r w:rsidR="00934615" w:rsidRPr="00553D23">
        <w:rPr>
          <w:szCs w:val="22"/>
        </w:rPr>
        <w:t xml:space="preserve">Hieronder kan de </w:t>
      </w:r>
      <w:r w:rsidR="005114C3" w:rsidRPr="00553D23">
        <w:rPr>
          <w:szCs w:val="22"/>
        </w:rPr>
        <w:t xml:space="preserve">Vlaamse </w:t>
      </w:r>
      <w:r w:rsidR="00934615" w:rsidRPr="00553D23">
        <w:rPr>
          <w:szCs w:val="22"/>
        </w:rPr>
        <w:t xml:space="preserve">volksvertegenwoordiger de door Vlaanderen in 2012 ontvangen successierechten terugvinden. </w:t>
      </w:r>
      <w:r w:rsidR="00553D23">
        <w:rPr>
          <w:szCs w:val="22"/>
        </w:rPr>
        <w:t xml:space="preserve">De hieronder vermelde bedragen zijn de  bedragen zoals doorgestort door de FOD Financiën. </w:t>
      </w:r>
      <w:r w:rsidR="00934615" w:rsidRPr="00553D23">
        <w:rPr>
          <w:szCs w:val="22"/>
        </w:rPr>
        <w:t xml:space="preserve"> De FOD Financiën houdt deze gegevens niet bij overeenkomstig de door de volksvertegenwoordiger gevraagde categorieën.</w:t>
      </w:r>
    </w:p>
    <w:p w:rsidR="00934615" w:rsidRPr="00553D23" w:rsidRDefault="00934615" w:rsidP="00F612F5">
      <w:pPr>
        <w:jc w:val="both"/>
        <w:rPr>
          <w:szCs w:val="22"/>
        </w:rPr>
      </w:pPr>
    </w:p>
    <w:tbl>
      <w:tblPr>
        <w:tblW w:w="8279" w:type="dxa"/>
        <w:tblInd w:w="496" w:type="dxa"/>
        <w:tblCellMar>
          <w:left w:w="70" w:type="dxa"/>
          <w:right w:w="70" w:type="dxa"/>
        </w:tblCellMar>
        <w:tblLook w:val="04A0" w:firstRow="1" w:lastRow="0" w:firstColumn="1" w:lastColumn="0" w:noHBand="0" w:noVBand="1"/>
      </w:tblPr>
      <w:tblGrid>
        <w:gridCol w:w="3280"/>
        <w:gridCol w:w="4999"/>
      </w:tblGrid>
      <w:tr w:rsidR="00934615" w:rsidRPr="00553D23" w:rsidTr="00995AEC">
        <w:trPr>
          <w:trHeight w:val="536"/>
        </w:trPr>
        <w:tc>
          <w:tcPr>
            <w:tcW w:w="827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95AEC" w:rsidRDefault="00934615" w:rsidP="00995AEC">
            <w:pPr>
              <w:jc w:val="center"/>
              <w:rPr>
                <w:b/>
                <w:bCs/>
                <w:szCs w:val="22"/>
                <w:lang w:val="nl-BE" w:eastAsia="nl-BE"/>
              </w:rPr>
            </w:pPr>
            <w:r w:rsidRPr="00553D23">
              <w:rPr>
                <w:b/>
                <w:bCs/>
                <w:szCs w:val="22"/>
                <w:lang w:val="nl-BE" w:eastAsia="nl-BE"/>
              </w:rPr>
              <w:t xml:space="preserve">Doorgestorte successierechten van </w:t>
            </w:r>
            <w:proofErr w:type="spellStart"/>
            <w:r w:rsidRPr="00553D23">
              <w:rPr>
                <w:b/>
                <w:bCs/>
                <w:szCs w:val="22"/>
                <w:lang w:val="nl-BE" w:eastAsia="nl-BE"/>
              </w:rPr>
              <w:t>rijksinwoners</w:t>
            </w:r>
            <w:proofErr w:type="spellEnd"/>
            <w:r w:rsidRPr="00553D23">
              <w:rPr>
                <w:b/>
                <w:bCs/>
                <w:szCs w:val="22"/>
                <w:lang w:val="nl-BE" w:eastAsia="nl-BE"/>
              </w:rPr>
              <w:t xml:space="preserve"> en recht van overgang </w:t>
            </w:r>
          </w:p>
          <w:p w:rsidR="00934615" w:rsidRPr="00553D23" w:rsidRDefault="00934615" w:rsidP="00995AEC">
            <w:pPr>
              <w:jc w:val="center"/>
              <w:rPr>
                <w:b/>
                <w:bCs/>
                <w:szCs w:val="22"/>
                <w:lang w:val="nl-BE" w:eastAsia="nl-BE"/>
              </w:rPr>
            </w:pPr>
            <w:r w:rsidRPr="00553D23">
              <w:rPr>
                <w:b/>
                <w:bCs/>
                <w:szCs w:val="22"/>
                <w:lang w:val="nl-BE" w:eastAsia="nl-BE"/>
              </w:rPr>
              <w:t>bij overlijden van niet-inwoners</w:t>
            </w:r>
            <w:r w:rsidR="008979C7">
              <w:rPr>
                <w:b/>
                <w:bCs/>
                <w:szCs w:val="22"/>
                <w:lang w:val="nl-BE" w:eastAsia="nl-BE"/>
              </w:rPr>
              <w:t xml:space="preserve"> 2012</w:t>
            </w:r>
            <w:r w:rsidRPr="00553D23">
              <w:rPr>
                <w:b/>
                <w:bCs/>
                <w:szCs w:val="22"/>
                <w:lang w:val="nl-BE" w:eastAsia="nl-BE"/>
              </w:rPr>
              <w:t xml:space="preserve"> </w:t>
            </w:r>
            <w:r w:rsidR="008979C7">
              <w:rPr>
                <w:b/>
                <w:bCs/>
                <w:szCs w:val="22"/>
                <w:lang w:val="nl-BE" w:eastAsia="nl-BE"/>
              </w:rPr>
              <w:t>(</w:t>
            </w:r>
            <w:r w:rsidR="00011E27">
              <w:rPr>
                <w:b/>
                <w:bCs/>
                <w:szCs w:val="22"/>
                <w:lang w:val="nl-BE" w:eastAsia="nl-BE"/>
              </w:rPr>
              <w:t>in euro</w:t>
            </w:r>
            <w:r w:rsidR="008979C7">
              <w:rPr>
                <w:b/>
                <w:bCs/>
                <w:szCs w:val="22"/>
                <w:lang w:val="nl-BE" w:eastAsia="nl-BE"/>
              </w:rPr>
              <w:t>)</w:t>
            </w:r>
          </w:p>
        </w:tc>
      </w:tr>
      <w:tr w:rsidR="00934615" w:rsidRPr="00553D23" w:rsidTr="00995AE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34615" w:rsidRPr="00553D23" w:rsidRDefault="00934615" w:rsidP="00934615">
            <w:pPr>
              <w:rPr>
                <w:color w:val="000000"/>
                <w:szCs w:val="22"/>
                <w:lang w:val="nl-BE" w:eastAsia="nl-BE"/>
              </w:rPr>
            </w:pPr>
            <w:r w:rsidRPr="00553D23">
              <w:rPr>
                <w:color w:val="000000"/>
                <w:szCs w:val="22"/>
                <w:lang w:val="nl-BE" w:eastAsia="nl-BE"/>
              </w:rPr>
              <w:t>Rechten</w:t>
            </w:r>
          </w:p>
        </w:tc>
        <w:tc>
          <w:tcPr>
            <w:tcW w:w="4999" w:type="dxa"/>
            <w:tcBorders>
              <w:top w:val="nil"/>
              <w:left w:val="nil"/>
              <w:bottom w:val="single" w:sz="4" w:space="0" w:color="auto"/>
              <w:right w:val="single" w:sz="4" w:space="0" w:color="auto"/>
            </w:tcBorders>
            <w:shd w:val="clear" w:color="auto" w:fill="auto"/>
            <w:noWrap/>
            <w:vAlign w:val="center"/>
            <w:hideMark/>
          </w:tcPr>
          <w:p w:rsidR="00934615" w:rsidRPr="00553D23" w:rsidRDefault="008979C7" w:rsidP="00011E27">
            <w:pPr>
              <w:jc w:val="right"/>
              <w:rPr>
                <w:color w:val="000000"/>
                <w:szCs w:val="22"/>
                <w:lang w:val="nl-BE" w:eastAsia="nl-BE"/>
              </w:rPr>
            </w:pPr>
            <w:r w:rsidRPr="008979C7">
              <w:rPr>
                <w:color w:val="000000"/>
                <w:szCs w:val="22"/>
                <w:lang w:val="nl-BE" w:eastAsia="nl-BE"/>
              </w:rPr>
              <w:t>1.300.231.841,44</w:t>
            </w:r>
          </w:p>
        </w:tc>
      </w:tr>
      <w:tr w:rsidR="00934615" w:rsidRPr="00553D23" w:rsidTr="00995AE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34615" w:rsidRPr="00553D23" w:rsidRDefault="00934615" w:rsidP="00934615">
            <w:pPr>
              <w:rPr>
                <w:color w:val="000000"/>
                <w:szCs w:val="22"/>
                <w:lang w:val="nl-BE" w:eastAsia="nl-BE"/>
              </w:rPr>
            </w:pPr>
            <w:r w:rsidRPr="00553D23">
              <w:rPr>
                <w:color w:val="000000"/>
                <w:szCs w:val="22"/>
                <w:lang w:val="nl-BE" w:eastAsia="nl-BE"/>
              </w:rPr>
              <w:t>Interesten</w:t>
            </w:r>
          </w:p>
        </w:tc>
        <w:tc>
          <w:tcPr>
            <w:tcW w:w="4999" w:type="dxa"/>
            <w:tcBorders>
              <w:top w:val="nil"/>
              <w:left w:val="nil"/>
              <w:bottom w:val="single" w:sz="4" w:space="0" w:color="auto"/>
              <w:right w:val="single" w:sz="4" w:space="0" w:color="auto"/>
            </w:tcBorders>
            <w:shd w:val="clear" w:color="auto" w:fill="auto"/>
            <w:noWrap/>
            <w:vAlign w:val="center"/>
            <w:hideMark/>
          </w:tcPr>
          <w:p w:rsidR="00934615" w:rsidRPr="00553D23" w:rsidRDefault="008979C7" w:rsidP="00011E27">
            <w:pPr>
              <w:jc w:val="right"/>
              <w:rPr>
                <w:color w:val="000000"/>
                <w:szCs w:val="22"/>
                <w:lang w:val="nl-BE" w:eastAsia="nl-BE"/>
              </w:rPr>
            </w:pPr>
            <w:r w:rsidRPr="008979C7">
              <w:rPr>
                <w:color w:val="000000"/>
                <w:szCs w:val="22"/>
                <w:lang w:val="nl-BE" w:eastAsia="nl-BE"/>
              </w:rPr>
              <w:t>10.058.502,12</w:t>
            </w:r>
          </w:p>
        </w:tc>
      </w:tr>
      <w:tr w:rsidR="00934615" w:rsidRPr="00553D23" w:rsidTr="00995AE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34615" w:rsidRPr="00553D23" w:rsidRDefault="00934615" w:rsidP="00934615">
            <w:pPr>
              <w:rPr>
                <w:color w:val="000000"/>
                <w:szCs w:val="22"/>
                <w:lang w:val="nl-BE" w:eastAsia="nl-BE"/>
              </w:rPr>
            </w:pPr>
            <w:r w:rsidRPr="00553D23">
              <w:rPr>
                <w:color w:val="000000"/>
                <w:szCs w:val="22"/>
                <w:lang w:val="nl-BE" w:eastAsia="nl-BE"/>
              </w:rPr>
              <w:t>Fiscale boeten</w:t>
            </w:r>
          </w:p>
        </w:tc>
        <w:tc>
          <w:tcPr>
            <w:tcW w:w="4999" w:type="dxa"/>
            <w:tcBorders>
              <w:top w:val="nil"/>
              <w:left w:val="nil"/>
              <w:bottom w:val="single" w:sz="4" w:space="0" w:color="auto"/>
              <w:right w:val="single" w:sz="4" w:space="0" w:color="auto"/>
            </w:tcBorders>
            <w:shd w:val="clear" w:color="auto" w:fill="auto"/>
            <w:noWrap/>
            <w:vAlign w:val="center"/>
            <w:hideMark/>
          </w:tcPr>
          <w:p w:rsidR="00934615" w:rsidRPr="00553D23" w:rsidRDefault="008979C7" w:rsidP="00011E27">
            <w:pPr>
              <w:jc w:val="right"/>
              <w:rPr>
                <w:color w:val="000000"/>
                <w:szCs w:val="22"/>
                <w:lang w:val="nl-BE" w:eastAsia="nl-BE"/>
              </w:rPr>
            </w:pPr>
            <w:r w:rsidRPr="008979C7">
              <w:rPr>
                <w:color w:val="000000"/>
                <w:szCs w:val="22"/>
                <w:lang w:val="nl-BE" w:eastAsia="nl-BE"/>
              </w:rPr>
              <w:t>4.572.390,16</w:t>
            </w:r>
          </w:p>
        </w:tc>
      </w:tr>
      <w:tr w:rsidR="00934615" w:rsidRPr="00553D23" w:rsidTr="00995AE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34615" w:rsidRPr="00553D23" w:rsidRDefault="00934615" w:rsidP="00934615">
            <w:pPr>
              <w:rPr>
                <w:color w:val="000000"/>
                <w:szCs w:val="22"/>
                <w:lang w:val="nl-BE" w:eastAsia="nl-BE"/>
              </w:rPr>
            </w:pPr>
            <w:r w:rsidRPr="00553D23">
              <w:rPr>
                <w:color w:val="000000"/>
                <w:szCs w:val="22"/>
                <w:lang w:val="nl-BE" w:eastAsia="nl-BE"/>
              </w:rPr>
              <w:t>Fiscale regularisatiemaatregelen</w:t>
            </w:r>
          </w:p>
        </w:tc>
        <w:tc>
          <w:tcPr>
            <w:tcW w:w="4999" w:type="dxa"/>
            <w:tcBorders>
              <w:top w:val="nil"/>
              <w:left w:val="nil"/>
              <w:bottom w:val="single" w:sz="4" w:space="0" w:color="auto"/>
              <w:right w:val="single" w:sz="4" w:space="0" w:color="auto"/>
            </w:tcBorders>
            <w:shd w:val="clear" w:color="auto" w:fill="auto"/>
            <w:noWrap/>
            <w:vAlign w:val="center"/>
            <w:hideMark/>
          </w:tcPr>
          <w:p w:rsidR="00934615" w:rsidRPr="00553D23" w:rsidRDefault="008979C7" w:rsidP="00011E27">
            <w:pPr>
              <w:jc w:val="right"/>
              <w:rPr>
                <w:color w:val="000000"/>
                <w:szCs w:val="22"/>
                <w:lang w:val="nl-BE" w:eastAsia="nl-BE"/>
              </w:rPr>
            </w:pPr>
            <w:r w:rsidRPr="008979C7">
              <w:rPr>
                <w:color w:val="000000"/>
                <w:szCs w:val="22"/>
                <w:lang w:val="nl-BE" w:eastAsia="nl-BE"/>
              </w:rPr>
              <w:t>5.222.372,89</w:t>
            </w:r>
          </w:p>
        </w:tc>
      </w:tr>
      <w:tr w:rsidR="00934615" w:rsidRPr="00553D23" w:rsidTr="00995AEC">
        <w:trPr>
          <w:trHeight w:val="300"/>
        </w:trPr>
        <w:tc>
          <w:tcPr>
            <w:tcW w:w="3280" w:type="dxa"/>
            <w:tcBorders>
              <w:top w:val="nil"/>
              <w:left w:val="single" w:sz="4" w:space="0" w:color="auto"/>
              <w:bottom w:val="single" w:sz="4" w:space="0" w:color="auto"/>
              <w:right w:val="single" w:sz="4" w:space="0" w:color="auto"/>
            </w:tcBorders>
            <w:shd w:val="clear" w:color="auto" w:fill="auto"/>
            <w:noWrap/>
            <w:vAlign w:val="bottom"/>
            <w:hideMark/>
          </w:tcPr>
          <w:p w:rsidR="00934615" w:rsidRPr="00553D23" w:rsidRDefault="00553D23" w:rsidP="00934615">
            <w:pPr>
              <w:rPr>
                <w:b/>
                <w:bCs/>
                <w:color w:val="000000"/>
                <w:szCs w:val="22"/>
                <w:lang w:val="nl-BE" w:eastAsia="nl-BE"/>
              </w:rPr>
            </w:pPr>
            <w:r>
              <w:rPr>
                <w:b/>
                <w:bCs/>
                <w:color w:val="000000"/>
                <w:szCs w:val="22"/>
                <w:lang w:val="nl-BE" w:eastAsia="nl-BE"/>
              </w:rPr>
              <w:t>T</w:t>
            </w:r>
            <w:r w:rsidR="00934615" w:rsidRPr="00553D23">
              <w:rPr>
                <w:b/>
                <w:bCs/>
                <w:color w:val="000000"/>
                <w:szCs w:val="22"/>
                <w:lang w:val="nl-BE" w:eastAsia="nl-BE"/>
              </w:rPr>
              <w:t>otaal</w:t>
            </w:r>
          </w:p>
        </w:tc>
        <w:tc>
          <w:tcPr>
            <w:tcW w:w="4999" w:type="dxa"/>
            <w:tcBorders>
              <w:top w:val="nil"/>
              <w:left w:val="nil"/>
              <w:bottom w:val="single" w:sz="4" w:space="0" w:color="auto"/>
              <w:right w:val="single" w:sz="4" w:space="0" w:color="auto"/>
            </w:tcBorders>
            <w:shd w:val="clear" w:color="auto" w:fill="auto"/>
            <w:noWrap/>
            <w:vAlign w:val="center"/>
            <w:hideMark/>
          </w:tcPr>
          <w:p w:rsidR="00934615" w:rsidRPr="00553D23" w:rsidRDefault="008979C7" w:rsidP="00011E27">
            <w:pPr>
              <w:jc w:val="right"/>
              <w:rPr>
                <w:b/>
                <w:bCs/>
                <w:color w:val="000000"/>
                <w:szCs w:val="22"/>
                <w:lang w:val="nl-BE" w:eastAsia="nl-BE"/>
              </w:rPr>
            </w:pPr>
            <w:r w:rsidRPr="008979C7">
              <w:rPr>
                <w:b/>
                <w:bCs/>
                <w:color w:val="000000"/>
                <w:szCs w:val="22"/>
                <w:lang w:val="nl-BE" w:eastAsia="nl-BE"/>
              </w:rPr>
              <w:t>1.320.085.106,61</w:t>
            </w:r>
          </w:p>
        </w:tc>
      </w:tr>
    </w:tbl>
    <w:p w:rsidR="005114C3" w:rsidRPr="00553D23" w:rsidRDefault="005114C3" w:rsidP="00F612F5">
      <w:pPr>
        <w:jc w:val="both"/>
        <w:rPr>
          <w:szCs w:val="22"/>
        </w:rPr>
      </w:pPr>
    </w:p>
    <w:p w:rsidR="005114C3" w:rsidRPr="00553D23" w:rsidRDefault="005114C3" w:rsidP="00995AEC">
      <w:pPr>
        <w:ind w:left="426"/>
        <w:jc w:val="both"/>
        <w:rPr>
          <w:iCs/>
          <w:szCs w:val="22"/>
        </w:rPr>
      </w:pPr>
      <w:r w:rsidRPr="00553D23">
        <w:rPr>
          <w:iCs/>
          <w:szCs w:val="22"/>
        </w:rPr>
        <w:t>De door de Vlaamse volksvertegenwoordiger gevraagde opsplitsing tussen categorieën van erfgenamen kan wel aangeleverd worden voor wat betreft de te betalen successierechten.</w:t>
      </w:r>
    </w:p>
    <w:p w:rsidR="005114C3" w:rsidRPr="00553D23" w:rsidRDefault="005114C3" w:rsidP="005114C3">
      <w:pPr>
        <w:jc w:val="both"/>
        <w:rPr>
          <w:iCs/>
          <w:szCs w:val="22"/>
        </w:rPr>
      </w:pPr>
    </w:p>
    <w:tbl>
      <w:tblPr>
        <w:tblW w:w="723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0"/>
        <w:gridCol w:w="1701"/>
        <w:gridCol w:w="1701"/>
      </w:tblGrid>
      <w:tr w:rsidR="005114C3" w:rsidRPr="00553D23" w:rsidTr="00995AEC">
        <w:trPr>
          <w:trHeight w:val="506"/>
        </w:trPr>
        <w:tc>
          <w:tcPr>
            <w:tcW w:w="3830" w:type="dxa"/>
            <w:tcBorders>
              <w:top w:val="single" w:sz="4" w:space="0" w:color="auto"/>
              <w:left w:val="single" w:sz="4" w:space="0" w:color="auto"/>
              <w:bottom w:val="single" w:sz="4" w:space="0" w:color="auto"/>
              <w:right w:val="single" w:sz="4" w:space="0" w:color="auto"/>
            </w:tcBorders>
            <w:hideMark/>
          </w:tcPr>
          <w:p w:rsidR="005114C3" w:rsidRPr="00553D23" w:rsidRDefault="005114C3">
            <w:pPr>
              <w:ind w:left="540" w:hanging="540"/>
              <w:rPr>
                <w:b/>
                <w:iCs/>
                <w:szCs w:val="22"/>
              </w:rPr>
            </w:pPr>
            <w:r w:rsidRPr="00553D23">
              <w:rPr>
                <w:b/>
                <w:iCs/>
                <w:szCs w:val="22"/>
              </w:rPr>
              <w:t>Te betalen successierechten in euro</w:t>
            </w:r>
          </w:p>
        </w:tc>
        <w:tc>
          <w:tcPr>
            <w:tcW w:w="1701" w:type="dxa"/>
            <w:tcBorders>
              <w:top w:val="single" w:sz="4" w:space="0" w:color="auto"/>
              <w:left w:val="single" w:sz="4" w:space="0" w:color="auto"/>
              <w:bottom w:val="single" w:sz="4" w:space="0" w:color="auto"/>
              <w:right w:val="single" w:sz="4" w:space="0" w:color="auto"/>
            </w:tcBorders>
            <w:hideMark/>
          </w:tcPr>
          <w:p w:rsidR="005114C3" w:rsidRPr="00553D23" w:rsidRDefault="005114C3">
            <w:pPr>
              <w:ind w:left="540" w:hanging="540"/>
              <w:jc w:val="center"/>
              <w:rPr>
                <w:b/>
                <w:iCs/>
                <w:szCs w:val="22"/>
              </w:rPr>
            </w:pPr>
            <w:r w:rsidRPr="00553D23">
              <w:rPr>
                <w:b/>
                <w:iCs/>
                <w:szCs w:val="22"/>
              </w:rPr>
              <w:t>2011</w:t>
            </w:r>
          </w:p>
        </w:tc>
        <w:tc>
          <w:tcPr>
            <w:tcW w:w="1701" w:type="dxa"/>
            <w:tcBorders>
              <w:top w:val="single" w:sz="4" w:space="0" w:color="auto"/>
              <w:left w:val="single" w:sz="4" w:space="0" w:color="auto"/>
              <w:bottom w:val="single" w:sz="4" w:space="0" w:color="auto"/>
              <w:right w:val="single" w:sz="4" w:space="0" w:color="auto"/>
            </w:tcBorders>
          </w:tcPr>
          <w:p w:rsidR="005114C3" w:rsidRPr="00553D23" w:rsidRDefault="005114C3">
            <w:pPr>
              <w:ind w:left="540" w:hanging="540"/>
              <w:jc w:val="center"/>
              <w:rPr>
                <w:b/>
                <w:iCs/>
                <w:szCs w:val="22"/>
              </w:rPr>
            </w:pPr>
            <w:r w:rsidRPr="00553D23">
              <w:rPr>
                <w:b/>
                <w:iCs/>
                <w:szCs w:val="22"/>
              </w:rPr>
              <w:t>2012</w:t>
            </w:r>
          </w:p>
        </w:tc>
      </w:tr>
      <w:tr w:rsidR="005114C3" w:rsidRPr="00553D23" w:rsidTr="00995AEC">
        <w:trPr>
          <w:trHeight w:val="506"/>
        </w:trPr>
        <w:tc>
          <w:tcPr>
            <w:tcW w:w="3830" w:type="dxa"/>
            <w:tcBorders>
              <w:top w:val="single" w:sz="4" w:space="0" w:color="auto"/>
              <w:left w:val="single" w:sz="4" w:space="0" w:color="auto"/>
              <w:bottom w:val="single" w:sz="4" w:space="0" w:color="auto"/>
              <w:right w:val="single" w:sz="4" w:space="0" w:color="auto"/>
            </w:tcBorders>
            <w:hideMark/>
          </w:tcPr>
          <w:p w:rsidR="005114C3" w:rsidRPr="00553D23" w:rsidRDefault="005114C3">
            <w:pPr>
              <w:ind w:left="540" w:hanging="540"/>
              <w:rPr>
                <w:b/>
                <w:iCs/>
                <w:szCs w:val="22"/>
              </w:rPr>
            </w:pPr>
            <w:r w:rsidRPr="00553D23">
              <w:rPr>
                <w:b/>
                <w:iCs/>
                <w:szCs w:val="22"/>
              </w:rPr>
              <w:t xml:space="preserve">Categorie rechte lijn, echtgenoten en </w:t>
            </w:r>
          </w:p>
          <w:p w:rsidR="005114C3" w:rsidRPr="00553D23" w:rsidRDefault="005114C3">
            <w:pPr>
              <w:ind w:left="540" w:hanging="540"/>
              <w:rPr>
                <w:b/>
                <w:iCs/>
                <w:szCs w:val="22"/>
              </w:rPr>
            </w:pPr>
            <w:r w:rsidRPr="00553D23">
              <w:rPr>
                <w:b/>
                <w:iCs/>
                <w:szCs w:val="22"/>
              </w:rPr>
              <w:t>samenwonenden</w:t>
            </w:r>
          </w:p>
        </w:tc>
        <w:tc>
          <w:tcPr>
            <w:tcW w:w="1701" w:type="dxa"/>
            <w:tcBorders>
              <w:top w:val="single" w:sz="4" w:space="0" w:color="auto"/>
              <w:left w:val="single" w:sz="4" w:space="0" w:color="auto"/>
              <w:bottom w:val="single" w:sz="4" w:space="0" w:color="auto"/>
              <w:right w:val="single" w:sz="4" w:space="0" w:color="auto"/>
            </w:tcBorders>
            <w:hideMark/>
          </w:tcPr>
          <w:p w:rsidR="005114C3" w:rsidRPr="00553D23" w:rsidRDefault="005114C3">
            <w:pPr>
              <w:ind w:left="540" w:hanging="540"/>
              <w:jc w:val="right"/>
              <w:rPr>
                <w:iCs/>
                <w:szCs w:val="22"/>
              </w:rPr>
            </w:pPr>
            <w:r w:rsidRPr="00553D23">
              <w:rPr>
                <w:iCs/>
                <w:szCs w:val="22"/>
              </w:rPr>
              <w:t>531.919.949,80</w:t>
            </w:r>
          </w:p>
        </w:tc>
        <w:tc>
          <w:tcPr>
            <w:tcW w:w="1701" w:type="dxa"/>
            <w:tcBorders>
              <w:top w:val="single" w:sz="4" w:space="0" w:color="auto"/>
              <w:left w:val="single" w:sz="4" w:space="0" w:color="auto"/>
              <w:bottom w:val="single" w:sz="4" w:space="0" w:color="auto"/>
              <w:right w:val="single" w:sz="4" w:space="0" w:color="auto"/>
            </w:tcBorders>
          </w:tcPr>
          <w:p w:rsidR="005114C3" w:rsidRPr="00553D23" w:rsidRDefault="005114C3" w:rsidP="00A61470">
            <w:pPr>
              <w:ind w:left="540" w:hanging="540"/>
              <w:jc w:val="right"/>
              <w:rPr>
                <w:iCs/>
                <w:szCs w:val="22"/>
              </w:rPr>
            </w:pPr>
            <w:r w:rsidRPr="00553D23">
              <w:rPr>
                <w:iCs/>
                <w:szCs w:val="22"/>
              </w:rPr>
              <w:t>607.348.188,81</w:t>
            </w:r>
          </w:p>
        </w:tc>
      </w:tr>
      <w:tr w:rsidR="005114C3" w:rsidRPr="00553D23" w:rsidTr="00995AEC">
        <w:trPr>
          <w:trHeight w:val="506"/>
        </w:trPr>
        <w:tc>
          <w:tcPr>
            <w:tcW w:w="3830" w:type="dxa"/>
            <w:tcBorders>
              <w:top w:val="single" w:sz="4" w:space="0" w:color="auto"/>
              <w:left w:val="single" w:sz="4" w:space="0" w:color="auto"/>
              <w:bottom w:val="single" w:sz="4" w:space="0" w:color="auto"/>
              <w:right w:val="single" w:sz="4" w:space="0" w:color="auto"/>
            </w:tcBorders>
            <w:hideMark/>
          </w:tcPr>
          <w:p w:rsidR="005114C3" w:rsidRPr="00553D23" w:rsidRDefault="005114C3">
            <w:pPr>
              <w:ind w:left="540" w:hanging="540"/>
              <w:rPr>
                <w:b/>
                <w:iCs/>
                <w:szCs w:val="22"/>
              </w:rPr>
            </w:pPr>
            <w:r w:rsidRPr="00553D23">
              <w:rPr>
                <w:b/>
                <w:iCs/>
                <w:szCs w:val="22"/>
              </w:rPr>
              <w:t>Categorie broers en zussen</w:t>
            </w:r>
          </w:p>
        </w:tc>
        <w:tc>
          <w:tcPr>
            <w:tcW w:w="1701" w:type="dxa"/>
            <w:tcBorders>
              <w:top w:val="single" w:sz="4" w:space="0" w:color="auto"/>
              <w:left w:val="single" w:sz="4" w:space="0" w:color="auto"/>
              <w:bottom w:val="single" w:sz="4" w:space="0" w:color="auto"/>
              <w:right w:val="single" w:sz="4" w:space="0" w:color="auto"/>
            </w:tcBorders>
            <w:hideMark/>
          </w:tcPr>
          <w:p w:rsidR="005114C3" w:rsidRPr="00553D23" w:rsidRDefault="005114C3">
            <w:pPr>
              <w:ind w:left="540" w:hanging="540"/>
              <w:jc w:val="right"/>
              <w:rPr>
                <w:iCs/>
                <w:szCs w:val="22"/>
              </w:rPr>
            </w:pPr>
            <w:r w:rsidRPr="00553D23">
              <w:rPr>
                <w:iCs/>
                <w:szCs w:val="22"/>
              </w:rPr>
              <w:t>193.870.137,60</w:t>
            </w:r>
          </w:p>
        </w:tc>
        <w:tc>
          <w:tcPr>
            <w:tcW w:w="1701" w:type="dxa"/>
            <w:tcBorders>
              <w:top w:val="single" w:sz="4" w:space="0" w:color="auto"/>
              <w:left w:val="single" w:sz="4" w:space="0" w:color="auto"/>
              <w:bottom w:val="single" w:sz="4" w:space="0" w:color="auto"/>
              <w:right w:val="single" w:sz="4" w:space="0" w:color="auto"/>
            </w:tcBorders>
          </w:tcPr>
          <w:p w:rsidR="005114C3" w:rsidRPr="00553D23" w:rsidRDefault="005114C3" w:rsidP="00A61470">
            <w:pPr>
              <w:ind w:left="540" w:hanging="540"/>
              <w:jc w:val="right"/>
              <w:rPr>
                <w:iCs/>
                <w:szCs w:val="22"/>
              </w:rPr>
            </w:pPr>
            <w:r w:rsidRPr="00553D23">
              <w:rPr>
                <w:iCs/>
                <w:szCs w:val="22"/>
              </w:rPr>
              <w:t>228.855.224,29</w:t>
            </w:r>
          </w:p>
        </w:tc>
      </w:tr>
      <w:tr w:rsidR="005114C3" w:rsidRPr="00553D23" w:rsidTr="00995AEC">
        <w:trPr>
          <w:trHeight w:val="506"/>
        </w:trPr>
        <w:tc>
          <w:tcPr>
            <w:tcW w:w="3830" w:type="dxa"/>
            <w:tcBorders>
              <w:top w:val="single" w:sz="4" w:space="0" w:color="auto"/>
              <w:left w:val="single" w:sz="4" w:space="0" w:color="auto"/>
              <w:bottom w:val="single" w:sz="4" w:space="0" w:color="auto"/>
              <w:right w:val="single" w:sz="4" w:space="0" w:color="auto"/>
            </w:tcBorders>
            <w:hideMark/>
          </w:tcPr>
          <w:p w:rsidR="005114C3" w:rsidRPr="00553D23" w:rsidRDefault="005114C3">
            <w:pPr>
              <w:ind w:left="540" w:hanging="540"/>
              <w:rPr>
                <w:b/>
                <w:iCs/>
                <w:szCs w:val="22"/>
              </w:rPr>
            </w:pPr>
            <w:r w:rsidRPr="00553D23">
              <w:rPr>
                <w:b/>
                <w:iCs/>
                <w:szCs w:val="22"/>
              </w:rPr>
              <w:t>Categorie andere personen</w:t>
            </w:r>
          </w:p>
        </w:tc>
        <w:tc>
          <w:tcPr>
            <w:tcW w:w="1701" w:type="dxa"/>
            <w:tcBorders>
              <w:top w:val="single" w:sz="4" w:space="0" w:color="auto"/>
              <w:left w:val="single" w:sz="4" w:space="0" w:color="auto"/>
              <w:bottom w:val="single" w:sz="4" w:space="0" w:color="auto"/>
              <w:right w:val="single" w:sz="4" w:space="0" w:color="auto"/>
            </w:tcBorders>
            <w:hideMark/>
          </w:tcPr>
          <w:p w:rsidR="005114C3" w:rsidRPr="00553D23" w:rsidRDefault="005114C3">
            <w:pPr>
              <w:ind w:left="540" w:hanging="540"/>
              <w:jc w:val="right"/>
              <w:rPr>
                <w:iCs/>
                <w:szCs w:val="22"/>
              </w:rPr>
            </w:pPr>
            <w:r w:rsidRPr="00553D23">
              <w:rPr>
                <w:iCs/>
                <w:szCs w:val="22"/>
              </w:rPr>
              <w:t>404.729.852,86</w:t>
            </w:r>
          </w:p>
        </w:tc>
        <w:tc>
          <w:tcPr>
            <w:tcW w:w="1701" w:type="dxa"/>
            <w:tcBorders>
              <w:top w:val="single" w:sz="4" w:space="0" w:color="auto"/>
              <w:left w:val="single" w:sz="4" w:space="0" w:color="auto"/>
              <w:bottom w:val="single" w:sz="4" w:space="0" w:color="auto"/>
              <w:right w:val="single" w:sz="4" w:space="0" w:color="auto"/>
            </w:tcBorders>
          </w:tcPr>
          <w:p w:rsidR="005114C3" w:rsidRPr="00553D23" w:rsidRDefault="005114C3" w:rsidP="00A61470">
            <w:pPr>
              <w:ind w:left="540" w:hanging="540"/>
              <w:jc w:val="right"/>
              <w:rPr>
                <w:iCs/>
                <w:szCs w:val="22"/>
              </w:rPr>
            </w:pPr>
            <w:r w:rsidRPr="00553D23">
              <w:rPr>
                <w:iCs/>
                <w:szCs w:val="22"/>
              </w:rPr>
              <w:t>544.967.032,47</w:t>
            </w:r>
          </w:p>
        </w:tc>
      </w:tr>
    </w:tbl>
    <w:p w:rsidR="00E5743D" w:rsidRPr="00553D23" w:rsidRDefault="00E5743D" w:rsidP="00F612F5">
      <w:pPr>
        <w:jc w:val="both"/>
        <w:rPr>
          <w:szCs w:val="22"/>
        </w:rPr>
      </w:pPr>
    </w:p>
    <w:p w:rsidR="00011E27" w:rsidRDefault="00553D23" w:rsidP="00995AEC">
      <w:pPr>
        <w:ind w:left="426"/>
        <w:jc w:val="both"/>
      </w:pPr>
      <w:r>
        <w:t xml:space="preserve">De stijging van de te betalen rechten </w:t>
      </w:r>
      <w:r w:rsidR="001C7F11">
        <w:t xml:space="preserve">en dus ook de ontvangsten </w:t>
      </w:r>
      <w:r>
        <w:t>zijn</w:t>
      </w:r>
      <w:r w:rsidR="001C7F11">
        <w:t xml:space="preserve"> grotendeels</w:t>
      </w:r>
      <w:r>
        <w:t xml:space="preserve"> te verklaren door een aantal </w:t>
      </w:r>
      <w:r w:rsidR="00011E27">
        <w:t>buitengewoon hoge fiscale ontvangsten, ten gevolge van</w:t>
      </w:r>
      <w:r w:rsidR="001C7F11">
        <w:t xml:space="preserve"> het openvallen van</w:t>
      </w:r>
      <w:r w:rsidR="00011E27">
        <w:t xml:space="preserve"> omvangrijke nalatenschappen (</w:t>
      </w:r>
      <w:r w:rsidR="001C7F11">
        <w:t xml:space="preserve">in totaal </w:t>
      </w:r>
      <w:r w:rsidR="00011E27">
        <w:t>ten bedrage van</w:t>
      </w:r>
      <w:r w:rsidR="00011E27" w:rsidRPr="00011E27">
        <w:t xml:space="preserve"> €</w:t>
      </w:r>
      <w:r w:rsidR="00011E27">
        <w:t xml:space="preserve"> </w:t>
      </w:r>
      <w:r w:rsidR="00011E27" w:rsidRPr="00011E27">
        <w:t xml:space="preserve">112.452.202,69  </w:t>
      </w:r>
      <w:r w:rsidR="00011E27">
        <w:t xml:space="preserve">in 2012 versus </w:t>
      </w:r>
      <w:r w:rsidR="00011E27" w:rsidRPr="00011E27">
        <w:t xml:space="preserve"> €</w:t>
      </w:r>
      <w:r w:rsidR="00995AEC">
        <w:t> </w:t>
      </w:r>
      <w:r w:rsidR="00011E27" w:rsidRPr="00011E27">
        <w:t xml:space="preserve">72.550.334,64  </w:t>
      </w:r>
      <w:r w:rsidR="00011E27">
        <w:t>in 2011).</w:t>
      </w:r>
      <w:r w:rsidR="001C7F11">
        <w:t xml:space="preserve"> Dit wordt tevens bevestigd door de FOD Financiën</w:t>
      </w:r>
      <w:r w:rsidR="007A1BD9">
        <w:t>.</w:t>
      </w:r>
      <w:r w:rsidR="00011E27">
        <w:t xml:space="preserve"> Om reden van privacy zijn hierover niet meer gegevens beschikbaar.</w:t>
      </w:r>
    </w:p>
    <w:p w:rsidR="00011E27" w:rsidRDefault="00011E27" w:rsidP="00F612F5">
      <w:pPr>
        <w:jc w:val="both"/>
      </w:pPr>
    </w:p>
    <w:p w:rsidR="007A1BD9" w:rsidRDefault="00011E27" w:rsidP="00995AEC">
      <w:pPr>
        <w:ind w:left="426" w:hanging="426"/>
        <w:jc w:val="both"/>
      </w:pPr>
      <w:r>
        <w:t xml:space="preserve">2. </w:t>
      </w:r>
      <w:r w:rsidR="00995AEC">
        <w:tab/>
      </w:r>
      <w:r w:rsidR="00F3009B">
        <w:t>Ik heb inderdaad navraag gedaan bij de FOD Financiën met betre</w:t>
      </w:r>
      <w:r w:rsidR="007A1BD9">
        <w:t>kking tot de gevraagde gegevens, dewelke mij het volgende bevestigde:</w:t>
      </w:r>
    </w:p>
    <w:p w:rsidR="007A1BD9" w:rsidRPr="007A1BD9" w:rsidRDefault="007A1BD9" w:rsidP="00995AEC">
      <w:pPr>
        <w:ind w:left="426"/>
        <w:jc w:val="both"/>
        <w:rPr>
          <w:i/>
        </w:rPr>
      </w:pPr>
      <w:r w:rsidRPr="007A1BD9">
        <w:rPr>
          <w:i/>
        </w:rPr>
        <w:t xml:space="preserve">“Na navraag bij de bevoegde dienst blijkt dat het hier gaat om gegevens die </w:t>
      </w:r>
      <w:r w:rsidRPr="007A1BD9">
        <w:rPr>
          <w:i/>
          <w:u w:val="single"/>
        </w:rPr>
        <w:t>NIET standaard beschikbaar</w:t>
      </w:r>
      <w:r w:rsidRPr="007A1BD9">
        <w:rPr>
          <w:i/>
        </w:rPr>
        <w:t xml:space="preserve"> zijn in de toepassing.</w:t>
      </w:r>
    </w:p>
    <w:p w:rsidR="007A1BD9" w:rsidRPr="007A1BD9" w:rsidRDefault="007A1BD9" w:rsidP="00995AEC">
      <w:pPr>
        <w:ind w:left="426" w:hanging="426"/>
        <w:jc w:val="both"/>
        <w:rPr>
          <w:i/>
        </w:rPr>
      </w:pPr>
    </w:p>
    <w:p w:rsidR="007A1BD9" w:rsidRPr="007A1BD9" w:rsidRDefault="007A1BD9" w:rsidP="00995AEC">
      <w:pPr>
        <w:ind w:left="426"/>
        <w:jc w:val="both"/>
        <w:rPr>
          <w:i/>
        </w:rPr>
      </w:pPr>
      <w:r w:rsidRPr="007A1BD9">
        <w:rPr>
          <w:i/>
        </w:rPr>
        <w:t>Gezien de beperkte personeelscapaciteit van deze dienst is deze genoodzaakt prioriteiten te stellen. Momenteel heeft het verzekeren van de continuïteit in de productieomgeving absolute voorrang, waaronder de stabilisering van de doorgevoerde omzetting naar een DB2 database en het ontwikkelen van nieuwe noodzakelijke toepassingen.</w:t>
      </w:r>
    </w:p>
    <w:p w:rsidR="00011E27" w:rsidRPr="007A1BD9" w:rsidRDefault="007A1BD9" w:rsidP="00995AEC">
      <w:pPr>
        <w:ind w:left="426"/>
        <w:jc w:val="both"/>
        <w:rPr>
          <w:i/>
        </w:rPr>
      </w:pPr>
      <w:r w:rsidRPr="007A1BD9">
        <w:rPr>
          <w:i/>
        </w:rPr>
        <w:t xml:space="preserve">Teneinde (gedeeltelijke) informatie te kunnen ophalen is extra programmering vereist; de bevoegde programmeurs hebben momenteel geen ruimte voor het uitvoeren en opvolgen van </w:t>
      </w:r>
      <w:proofErr w:type="spellStart"/>
      <w:r w:rsidRPr="007A1BD9">
        <w:rPr>
          <w:i/>
        </w:rPr>
        <w:t>queries</w:t>
      </w:r>
      <w:proofErr w:type="spellEnd"/>
      <w:r w:rsidRPr="007A1BD9">
        <w:rPr>
          <w:i/>
        </w:rPr>
        <w:t>.”</w:t>
      </w:r>
    </w:p>
    <w:p w:rsidR="00BF6B52" w:rsidRDefault="00BF6B52" w:rsidP="00F612F5">
      <w:pPr>
        <w:jc w:val="both"/>
      </w:pPr>
    </w:p>
    <w:p w:rsidR="00BF6B52" w:rsidRDefault="00BF6B52" w:rsidP="00995AEC">
      <w:pPr>
        <w:ind w:left="426"/>
        <w:jc w:val="both"/>
      </w:pPr>
      <w:r>
        <w:t>Dezelfde problematiek speelt ook op dit ogenblik nog, zodat de gegevens ook op dit ogenblik niet kunnen worden aangeleverd.</w:t>
      </w:r>
    </w:p>
    <w:p w:rsidR="007A1BD9" w:rsidRDefault="007A1BD9" w:rsidP="00F612F5">
      <w:pPr>
        <w:jc w:val="both"/>
      </w:pPr>
    </w:p>
    <w:p w:rsidR="00011E27" w:rsidRDefault="00011E27" w:rsidP="00995AEC">
      <w:pPr>
        <w:ind w:left="426" w:hanging="426"/>
        <w:jc w:val="both"/>
      </w:pPr>
      <w:r>
        <w:t xml:space="preserve">3. </w:t>
      </w:r>
      <w:r w:rsidR="00995AEC">
        <w:tab/>
      </w:r>
      <w:r>
        <w:t>Hieronder kan de Vlaamse volksvertegenwoordiger de beschikbare gegevens terugvinden.</w:t>
      </w:r>
      <w:r w:rsidR="00383DD9">
        <w:t xml:space="preserve"> De FOD Financiën houdt de gegevens voor erfgenamen in rechte lijn en samenwonenden </w:t>
      </w:r>
      <w:r w:rsidR="00B93BDC">
        <w:t xml:space="preserve">standaard </w:t>
      </w:r>
      <w:r w:rsidR="00383DD9">
        <w:t>niet afzonderlijk bij, reden waarom ze hieronder samen worden weergegeven</w:t>
      </w:r>
      <w:r w:rsidR="007B590A">
        <w:t xml:space="preserve"> (om redenen vermeld </w:t>
      </w:r>
      <w:r w:rsidR="00B93BDC">
        <w:t>in het</w:t>
      </w:r>
      <w:r w:rsidR="007B590A">
        <w:t xml:space="preserve"> </w:t>
      </w:r>
      <w:r w:rsidR="00B93BDC">
        <w:t>antwoord</w:t>
      </w:r>
      <w:r w:rsidR="007B590A">
        <w:t xml:space="preserve"> </w:t>
      </w:r>
      <w:r w:rsidR="00B93BDC">
        <w:t xml:space="preserve">op deelvraag </w:t>
      </w:r>
      <w:r w:rsidR="007B590A">
        <w:t>2 is het derhalve niet mogelijk om deze gegevens uit te splitsen)</w:t>
      </w:r>
      <w:r w:rsidR="00383DD9">
        <w:t xml:space="preserve">. De gegevens voor echtgenoten worden </w:t>
      </w:r>
      <w:r w:rsidR="00B93BDC">
        <w:t xml:space="preserve">standaard </w:t>
      </w:r>
      <w:r w:rsidR="00383DD9">
        <w:t>wel afzonderlijk bijgehouden.</w:t>
      </w:r>
    </w:p>
    <w:p w:rsidR="00383DD9" w:rsidRDefault="00383DD9" w:rsidP="00F612F5">
      <w:pPr>
        <w:jc w:val="both"/>
      </w:pPr>
    </w:p>
    <w:p w:rsidR="00995AEC" w:rsidRDefault="00995AEC" w:rsidP="00F612F5">
      <w:pPr>
        <w:jc w:val="both"/>
      </w:pPr>
    </w:p>
    <w:tbl>
      <w:tblPr>
        <w:tblStyle w:val="Tabelraster"/>
        <w:tblW w:w="0" w:type="auto"/>
        <w:tblInd w:w="534" w:type="dxa"/>
        <w:tblLook w:val="04A0" w:firstRow="1" w:lastRow="0" w:firstColumn="1" w:lastColumn="0" w:noHBand="0" w:noVBand="1"/>
      </w:tblPr>
      <w:tblGrid>
        <w:gridCol w:w="2943"/>
        <w:gridCol w:w="1481"/>
        <w:gridCol w:w="1481"/>
        <w:gridCol w:w="1481"/>
      </w:tblGrid>
      <w:tr w:rsidR="00383DD9" w:rsidRPr="00011E27" w:rsidTr="00995AEC">
        <w:trPr>
          <w:trHeight w:val="675"/>
        </w:trPr>
        <w:tc>
          <w:tcPr>
            <w:tcW w:w="2943" w:type="dxa"/>
            <w:noWrap/>
            <w:hideMark/>
          </w:tcPr>
          <w:p w:rsidR="00383DD9" w:rsidRPr="00011E27" w:rsidRDefault="00383DD9" w:rsidP="00383DD9">
            <w:pPr>
              <w:jc w:val="both"/>
            </w:pPr>
            <w:r>
              <w:rPr>
                <w:b/>
              </w:rPr>
              <w:t>Belastbare basis 2011 en 2012 i</w:t>
            </w:r>
            <w:r w:rsidRPr="00011E27">
              <w:rPr>
                <w:b/>
              </w:rPr>
              <w:t>n euro</w:t>
            </w:r>
          </w:p>
        </w:tc>
        <w:tc>
          <w:tcPr>
            <w:tcW w:w="1481" w:type="dxa"/>
          </w:tcPr>
          <w:p w:rsidR="00383DD9" w:rsidRPr="00011E27" w:rsidRDefault="00383DD9" w:rsidP="00011E27">
            <w:pPr>
              <w:jc w:val="both"/>
              <w:rPr>
                <w:b/>
              </w:rPr>
            </w:pPr>
          </w:p>
        </w:tc>
        <w:tc>
          <w:tcPr>
            <w:tcW w:w="1481" w:type="dxa"/>
            <w:hideMark/>
          </w:tcPr>
          <w:p w:rsidR="00383DD9" w:rsidRPr="00011E27" w:rsidRDefault="00383DD9" w:rsidP="00011E27">
            <w:pPr>
              <w:jc w:val="both"/>
              <w:rPr>
                <w:b/>
              </w:rPr>
            </w:pPr>
            <w:r w:rsidRPr="00011E27">
              <w:rPr>
                <w:b/>
              </w:rPr>
              <w:t xml:space="preserve">Onroerend </w:t>
            </w:r>
          </w:p>
        </w:tc>
        <w:tc>
          <w:tcPr>
            <w:tcW w:w="1481" w:type="dxa"/>
            <w:hideMark/>
          </w:tcPr>
          <w:p w:rsidR="00383DD9" w:rsidRPr="00011E27" w:rsidRDefault="00383DD9" w:rsidP="00011E27">
            <w:pPr>
              <w:jc w:val="both"/>
              <w:rPr>
                <w:b/>
              </w:rPr>
            </w:pPr>
            <w:r w:rsidRPr="00011E27">
              <w:rPr>
                <w:b/>
              </w:rPr>
              <w:t xml:space="preserve">Roerend </w:t>
            </w:r>
          </w:p>
        </w:tc>
      </w:tr>
      <w:tr w:rsidR="00383DD9" w:rsidRPr="00011E27" w:rsidTr="00995AEC">
        <w:trPr>
          <w:trHeight w:val="255"/>
        </w:trPr>
        <w:tc>
          <w:tcPr>
            <w:tcW w:w="2943" w:type="dxa"/>
            <w:vMerge w:val="restart"/>
            <w:hideMark/>
          </w:tcPr>
          <w:p w:rsidR="00383DD9" w:rsidRPr="00011E27" w:rsidRDefault="00383DD9" w:rsidP="00011E27">
            <w:pPr>
              <w:jc w:val="both"/>
            </w:pPr>
            <w:r w:rsidRPr="00011E27">
              <w:rPr>
                <w:b/>
              </w:rPr>
              <w:t>Descendenten, ascendenten en samenwonenden</w:t>
            </w:r>
          </w:p>
        </w:tc>
        <w:tc>
          <w:tcPr>
            <w:tcW w:w="1481" w:type="dxa"/>
          </w:tcPr>
          <w:p w:rsidR="00383DD9" w:rsidRPr="00383DD9" w:rsidRDefault="00383DD9" w:rsidP="00011E27">
            <w:pPr>
              <w:jc w:val="both"/>
              <w:rPr>
                <w:b/>
              </w:rPr>
            </w:pPr>
            <w:r w:rsidRPr="00383DD9">
              <w:rPr>
                <w:b/>
              </w:rPr>
              <w:t>2011</w:t>
            </w:r>
          </w:p>
        </w:tc>
        <w:tc>
          <w:tcPr>
            <w:tcW w:w="1481" w:type="dxa"/>
            <w:noWrap/>
            <w:hideMark/>
          </w:tcPr>
          <w:p w:rsidR="00383DD9" w:rsidRPr="00011E27" w:rsidRDefault="00383DD9" w:rsidP="006E0BB1">
            <w:pPr>
              <w:jc w:val="right"/>
            </w:pPr>
            <w:r w:rsidRPr="00011E27">
              <w:t>3.216.973.376</w:t>
            </w:r>
          </w:p>
        </w:tc>
        <w:tc>
          <w:tcPr>
            <w:tcW w:w="1481" w:type="dxa"/>
            <w:noWrap/>
          </w:tcPr>
          <w:p w:rsidR="00383DD9" w:rsidRPr="00011E27" w:rsidRDefault="00383DD9" w:rsidP="006E0BB1">
            <w:pPr>
              <w:jc w:val="right"/>
            </w:pPr>
            <w:r w:rsidRPr="00011E27">
              <w:t>2.698.610.373</w:t>
            </w:r>
          </w:p>
        </w:tc>
      </w:tr>
      <w:tr w:rsidR="00383DD9" w:rsidRPr="00011E27" w:rsidTr="00995AEC">
        <w:trPr>
          <w:trHeight w:val="255"/>
        </w:trPr>
        <w:tc>
          <w:tcPr>
            <w:tcW w:w="2943" w:type="dxa"/>
            <w:vMerge/>
          </w:tcPr>
          <w:p w:rsidR="00383DD9" w:rsidRPr="00011E27" w:rsidRDefault="00383DD9" w:rsidP="00011E27">
            <w:pPr>
              <w:jc w:val="both"/>
              <w:rPr>
                <w:b/>
              </w:rPr>
            </w:pPr>
          </w:p>
        </w:tc>
        <w:tc>
          <w:tcPr>
            <w:tcW w:w="1481" w:type="dxa"/>
          </w:tcPr>
          <w:p w:rsidR="00383DD9" w:rsidRPr="00383DD9" w:rsidRDefault="00383DD9" w:rsidP="00011E27">
            <w:pPr>
              <w:jc w:val="both"/>
              <w:rPr>
                <w:b/>
              </w:rPr>
            </w:pPr>
            <w:r w:rsidRPr="00383DD9">
              <w:rPr>
                <w:b/>
              </w:rPr>
              <w:t>2012</w:t>
            </w:r>
          </w:p>
        </w:tc>
        <w:tc>
          <w:tcPr>
            <w:tcW w:w="1481" w:type="dxa"/>
            <w:noWrap/>
          </w:tcPr>
          <w:p w:rsidR="00383DD9" w:rsidRPr="00011E27" w:rsidRDefault="00383DD9" w:rsidP="006E0BB1">
            <w:pPr>
              <w:jc w:val="right"/>
            </w:pPr>
            <w:r w:rsidRPr="00011E27">
              <w:t>3.728.982.912</w:t>
            </w:r>
          </w:p>
        </w:tc>
        <w:tc>
          <w:tcPr>
            <w:tcW w:w="1481" w:type="dxa"/>
            <w:noWrap/>
          </w:tcPr>
          <w:p w:rsidR="00383DD9" w:rsidRPr="00011E27" w:rsidRDefault="00383DD9" w:rsidP="006E0BB1">
            <w:pPr>
              <w:jc w:val="right"/>
            </w:pPr>
            <w:r w:rsidRPr="00011E27">
              <w:t>3.170.029.241</w:t>
            </w:r>
          </w:p>
        </w:tc>
      </w:tr>
      <w:tr w:rsidR="00383DD9" w:rsidRPr="00011E27" w:rsidTr="00995AEC">
        <w:trPr>
          <w:trHeight w:val="128"/>
        </w:trPr>
        <w:tc>
          <w:tcPr>
            <w:tcW w:w="2943" w:type="dxa"/>
            <w:vMerge w:val="restart"/>
            <w:hideMark/>
          </w:tcPr>
          <w:p w:rsidR="00383DD9" w:rsidRPr="00011E27" w:rsidRDefault="00383DD9" w:rsidP="00011E27">
            <w:pPr>
              <w:jc w:val="both"/>
              <w:rPr>
                <w:b/>
              </w:rPr>
            </w:pPr>
            <w:r w:rsidRPr="00011E27">
              <w:rPr>
                <w:b/>
              </w:rPr>
              <w:t>Echtgeno</w:t>
            </w:r>
            <w:r>
              <w:rPr>
                <w:b/>
              </w:rPr>
              <w:t>ten</w:t>
            </w:r>
          </w:p>
        </w:tc>
        <w:tc>
          <w:tcPr>
            <w:tcW w:w="1481" w:type="dxa"/>
          </w:tcPr>
          <w:p w:rsidR="00383DD9" w:rsidRPr="00383DD9" w:rsidRDefault="00383DD9" w:rsidP="00011E27">
            <w:pPr>
              <w:jc w:val="both"/>
              <w:rPr>
                <w:b/>
              </w:rPr>
            </w:pPr>
            <w:r w:rsidRPr="00383DD9">
              <w:rPr>
                <w:b/>
              </w:rPr>
              <w:t>2011</w:t>
            </w:r>
          </w:p>
        </w:tc>
        <w:tc>
          <w:tcPr>
            <w:tcW w:w="1481" w:type="dxa"/>
            <w:noWrap/>
          </w:tcPr>
          <w:p w:rsidR="00383DD9" w:rsidRPr="00011E27" w:rsidRDefault="00383DD9" w:rsidP="006E0BB1">
            <w:pPr>
              <w:jc w:val="right"/>
            </w:pPr>
            <w:r w:rsidRPr="00011E27">
              <w:t>288.243.218</w:t>
            </w:r>
          </w:p>
        </w:tc>
        <w:tc>
          <w:tcPr>
            <w:tcW w:w="1481" w:type="dxa"/>
            <w:noWrap/>
            <w:hideMark/>
          </w:tcPr>
          <w:p w:rsidR="00383DD9" w:rsidRPr="00011E27" w:rsidRDefault="00383DD9" w:rsidP="006E0BB1">
            <w:pPr>
              <w:jc w:val="right"/>
            </w:pPr>
            <w:r w:rsidRPr="00011E27">
              <w:t>1.052.476.218</w:t>
            </w:r>
          </w:p>
        </w:tc>
      </w:tr>
      <w:tr w:rsidR="00383DD9" w:rsidRPr="00011E27" w:rsidTr="00995AEC">
        <w:trPr>
          <w:trHeight w:val="127"/>
        </w:trPr>
        <w:tc>
          <w:tcPr>
            <w:tcW w:w="2943" w:type="dxa"/>
            <w:vMerge/>
          </w:tcPr>
          <w:p w:rsidR="00383DD9" w:rsidRPr="00011E27" w:rsidRDefault="00383DD9" w:rsidP="00011E27">
            <w:pPr>
              <w:jc w:val="both"/>
              <w:rPr>
                <w:b/>
              </w:rPr>
            </w:pPr>
          </w:p>
        </w:tc>
        <w:tc>
          <w:tcPr>
            <w:tcW w:w="1481" w:type="dxa"/>
          </w:tcPr>
          <w:p w:rsidR="00383DD9" w:rsidRPr="00383DD9" w:rsidRDefault="00383DD9" w:rsidP="00011E27">
            <w:pPr>
              <w:jc w:val="both"/>
              <w:rPr>
                <w:b/>
              </w:rPr>
            </w:pPr>
            <w:r w:rsidRPr="00383DD9">
              <w:rPr>
                <w:b/>
              </w:rPr>
              <w:t>2012</w:t>
            </w:r>
          </w:p>
        </w:tc>
        <w:tc>
          <w:tcPr>
            <w:tcW w:w="1481" w:type="dxa"/>
            <w:noWrap/>
          </w:tcPr>
          <w:p w:rsidR="00383DD9" w:rsidRPr="00011E27" w:rsidRDefault="00383DD9" w:rsidP="006E0BB1">
            <w:pPr>
              <w:jc w:val="right"/>
            </w:pPr>
            <w:r w:rsidRPr="00011E27">
              <w:t>335.599.600</w:t>
            </w:r>
          </w:p>
        </w:tc>
        <w:tc>
          <w:tcPr>
            <w:tcW w:w="1481" w:type="dxa"/>
            <w:noWrap/>
          </w:tcPr>
          <w:p w:rsidR="00383DD9" w:rsidRPr="00011E27" w:rsidRDefault="00383DD9" w:rsidP="006E0BB1">
            <w:pPr>
              <w:jc w:val="right"/>
            </w:pPr>
            <w:r w:rsidRPr="00011E27">
              <w:t>1.256.346.331</w:t>
            </w:r>
          </w:p>
        </w:tc>
      </w:tr>
    </w:tbl>
    <w:p w:rsidR="00011E27" w:rsidRDefault="00011E27" w:rsidP="00F612F5">
      <w:pPr>
        <w:jc w:val="both"/>
      </w:pPr>
    </w:p>
    <w:p w:rsidR="00011E27" w:rsidRPr="00011E27" w:rsidRDefault="00011E27" w:rsidP="00F612F5">
      <w:pPr>
        <w:jc w:val="both"/>
      </w:pPr>
    </w:p>
    <w:p w:rsidR="00011E27" w:rsidRDefault="00011E27" w:rsidP="00F612F5">
      <w:pPr>
        <w:jc w:val="both"/>
      </w:pPr>
    </w:p>
    <w:p w:rsidR="00A61470" w:rsidRDefault="00011E27" w:rsidP="00F612F5">
      <w:pPr>
        <w:jc w:val="both"/>
      </w:pPr>
      <w:r>
        <w:t xml:space="preserve"> </w:t>
      </w:r>
    </w:p>
    <w:sectPr w:rsidR="00A61470"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27" w:rsidRDefault="00011E27">
      <w:r>
        <w:separator/>
      </w:r>
    </w:p>
  </w:endnote>
  <w:endnote w:type="continuationSeparator" w:id="0">
    <w:p w:rsidR="00011E27" w:rsidRDefault="00011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27" w:rsidRDefault="00011E27">
      <w:r>
        <w:separator/>
      </w:r>
    </w:p>
  </w:footnote>
  <w:footnote w:type="continuationSeparator" w:id="0">
    <w:p w:rsidR="00011E27" w:rsidRDefault="00011E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5F1D"/>
    <w:multiLevelType w:val="hybridMultilevel"/>
    <w:tmpl w:val="F098A3EE"/>
    <w:lvl w:ilvl="0" w:tplc="3C923C5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3EB0218D"/>
    <w:multiLevelType w:val="hybridMultilevel"/>
    <w:tmpl w:val="2F2626BC"/>
    <w:lvl w:ilvl="0" w:tplc="5ABC77B0">
      <w:start w:val="9000"/>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45C12E00"/>
    <w:multiLevelType w:val="hybridMultilevel"/>
    <w:tmpl w:val="57D4C2F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5">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7FD90668"/>
    <w:multiLevelType w:val="hybridMultilevel"/>
    <w:tmpl w:val="562EAD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4"/>
  </w:num>
  <w:num w:numId="3">
    <w:abstractNumId w:val="5"/>
  </w:num>
  <w:num w:numId="4">
    <w:abstractNumId w:val="3"/>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z2tQJjFRwN6D6RQXOrw7/0/sSw=" w:salt="szBsy0o2ZJ9+y1fPrsTK1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1E27"/>
    <w:rsid w:val="00014048"/>
    <w:rsid w:val="00015A37"/>
    <w:rsid w:val="00027182"/>
    <w:rsid w:val="00040697"/>
    <w:rsid w:val="00042574"/>
    <w:rsid w:val="00052B95"/>
    <w:rsid w:val="00060CAF"/>
    <w:rsid w:val="00077CB6"/>
    <w:rsid w:val="00086D39"/>
    <w:rsid w:val="00092E90"/>
    <w:rsid w:val="00097324"/>
    <w:rsid w:val="000976E9"/>
    <w:rsid w:val="000C2BF2"/>
    <w:rsid w:val="000C4E8C"/>
    <w:rsid w:val="000D194A"/>
    <w:rsid w:val="000E647E"/>
    <w:rsid w:val="000F3532"/>
    <w:rsid w:val="00113D30"/>
    <w:rsid w:val="00115A86"/>
    <w:rsid w:val="00117812"/>
    <w:rsid w:val="001209E1"/>
    <w:rsid w:val="00124219"/>
    <w:rsid w:val="0016015A"/>
    <w:rsid w:val="00162ED2"/>
    <w:rsid w:val="0017233C"/>
    <w:rsid w:val="00175898"/>
    <w:rsid w:val="00175E05"/>
    <w:rsid w:val="0018437F"/>
    <w:rsid w:val="001C13BD"/>
    <w:rsid w:val="001C385B"/>
    <w:rsid w:val="001C6D2A"/>
    <w:rsid w:val="001C767D"/>
    <w:rsid w:val="001C7F11"/>
    <w:rsid w:val="001E3492"/>
    <w:rsid w:val="001E5B7F"/>
    <w:rsid w:val="00210C07"/>
    <w:rsid w:val="002200AB"/>
    <w:rsid w:val="0029398C"/>
    <w:rsid w:val="002A4920"/>
    <w:rsid w:val="002A7BA2"/>
    <w:rsid w:val="002B5D7E"/>
    <w:rsid w:val="002C155D"/>
    <w:rsid w:val="002C7574"/>
    <w:rsid w:val="002C7831"/>
    <w:rsid w:val="002D3C31"/>
    <w:rsid w:val="002E49D9"/>
    <w:rsid w:val="0031095D"/>
    <w:rsid w:val="00326A58"/>
    <w:rsid w:val="003568BA"/>
    <w:rsid w:val="003570E8"/>
    <w:rsid w:val="00357979"/>
    <w:rsid w:val="0036400B"/>
    <w:rsid w:val="00365143"/>
    <w:rsid w:val="00367343"/>
    <w:rsid w:val="003750AC"/>
    <w:rsid w:val="00383DD9"/>
    <w:rsid w:val="003852A4"/>
    <w:rsid w:val="003C33C2"/>
    <w:rsid w:val="003E4F99"/>
    <w:rsid w:val="00432AB7"/>
    <w:rsid w:val="00436455"/>
    <w:rsid w:val="004517C7"/>
    <w:rsid w:val="004809DA"/>
    <w:rsid w:val="004831ED"/>
    <w:rsid w:val="004B122D"/>
    <w:rsid w:val="004B2A99"/>
    <w:rsid w:val="004B2CE0"/>
    <w:rsid w:val="004C133F"/>
    <w:rsid w:val="004C1A8D"/>
    <w:rsid w:val="004C3D5F"/>
    <w:rsid w:val="004D30A6"/>
    <w:rsid w:val="004E548B"/>
    <w:rsid w:val="005114C3"/>
    <w:rsid w:val="005124C9"/>
    <w:rsid w:val="00520912"/>
    <w:rsid w:val="00542EC1"/>
    <w:rsid w:val="00553D23"/>
    <w:rsid w:val="00565A16"/>
    <w:rsid w:val="00586236"/>
    <w:rsid w:val="005A0D70"/>
    <w:rsid w:val="005B3DE7"/>
    <w:rsid w:val="005B50D5"/>
    <w:rsid w:val="005B757C"/>
    <w:rsid w:val="005D17E7"/>
    <w:rsid w:val="005E38CA"/>
    <w:rsid w:val="005F2FA3"/>
    <w:rsid w:val="005F3B71"/>
    <w:rsid w:val="00601D11"/>
    <w:rsid w:val="006114D8"/>
    <w:rsid w:val="00613AA2"/>
    <w:rsid w:val="0061604C"/>
    <w:rsid w:val="006260E2"/>
    <w:rsid w:val="006262C5"/>
    <w:rsid w:val="006375E3"/>
    <w:rsid w:val="00640171"/>
    <w:rsid w:val="00655F47"/>
    <w:rsid w:val="00686DC5"/>
    <w:rsid w:val="006B3E77"/>
    <w:rsid w:val="006B7E6F"/>
    <w:rsid w:val="006C5EEB"/>
    <w:rsid w:val="006D6C8D"/>
    <w:rsid w:val="006E0BB1"/>
    <w:rsid w:val="006E2F76"/>
    <w:rsid w:val="006F05A9"/>
    <w:rsid w:val="007103D2"/>
    <w:rsid w:val="0071248C"/>
    <w:rsid w:val="007252C7"/>
    <w:rsid w:val="00726080"/>
    <w:rsid w:val="007414D9"/>
    <w:rsid w:val="00741FB8"/>
    <w:rsid w:val="0074209A"/>
    <w:rsid w:val="00747203"/>
    <w:rsid w:val="007510D4"/>
    <w:rsid w:val="00755A34"/>
    <w:rsid w:val="00766C76"/>
    <w:rsid w:val="0078256A"/>
    <w:rsid w:val="00783648"/>
    <w:rsid w:val="007A1BD9"/>
    <w:rsid w:val="007A7F60"/>
    <w:rsid w:val="007B21BB"/>
    <w:rsid w:val="007B590A"/>
    <w:rsid w:val="007C7B7A"/>
    <w:rsid w:val="007D0E2A"/>
    <w:rsid w:val="007D2CE5"/>
    <w:rsid w:val="007D3128"/>
    <w:rsid w:val="007F4918"/>
    <w:rsid w:val="008112DC"/>
    <w:rsid w:val="008241FD"/>
    <w:rsid w:val="00826146"/>
    <w:rsid w:val="00830019"/>
    <w:rsid w:val="00843143"/>
    <w:rsid w:val="00851FDB"/>
    <w:rsid w:val="00857CB9"/>
    <w:rsid w:val="00862620"/>
    <w:rsid w:val="00873C65"/>
    <w:rsid w:val="008979C7"/>
    <w:rsid w:val="008B6435"/>
    <w:rsid w:val="008D5DB4"/>
    <w:rsid w:val="008E1445"/>
    <w:rsid w:val="008E675E"/>
    <w:rsid w:val="009058B7"/>
    <w:rsid w:val="00911969"/>
    <w:rsid w:val="009152A4"/>
    <w:rsid w:val="0092154E"/>
    <w:rsid w:val="00924130"/>
    <w:rsid w:val="00934615"/>
    <w:rsid w:val="00941C06"/>
    <w:rsid w:val="0094394A"/>
    <w:rsid w:val="00944B1F"/>
    <w:rsid w:val="00947E8A"/>
    <w:rsid w:val="00951CEE"/>
    <w:rsid w:val="00953DDC"/>
    <w:rsid w:val="00954DC8"/>
    <w:rsid w:val="009615C9"/>
    <w:rsid w:val="009663B8"/>
    <w:rsid w:val="00976D84"/>
    <w:rsid w:val="00983BC8"/>
    <w:rsid w:val="00990DDA"/>
    <w:rsid w:val="00992545"/>
    <w:rsid w:val="0099419F"/>
    <w:rsid w:val="00995AEC"/>
    <w:rsid w:val="00995BF9"/>
    <w:rsid w:val="009A0672"/>
    <w:rsid w:val="009A2069"/>
    <w:rsid w:val="009A25C8"/>
    <w:rsid w:val="009B0A93"/>
    <w:rsid w:val="009B7322"/>
    <w:rsid w:val="009C2AA0"/>
    <w:rsid w:val="009D3199"/>
    <w:rsid w:val="009D3EBF"/>
    <w:rsid w:val="009D6AD7"/>
    <w:rsid w:val="009D7043"/>
    <w:rsid w:val="009D763F"/>
    <w:rsid w:val="009F5B1B"/>
    <w:rsid w:val="00A04A74"/>
    <w:rsid w:val="00A075B3"/>
    <w:rsid w:val="00A10835"/>
    <w:rsid w:val="00A21360"/>
    <w:rsid w:val="00A4541F"/>
    <w:rsid w:val="00A61470"/>
    <w:rsid w:val="00A737E8"/>
    <w:rsid w:val="00A7489A"/>
    <w:rsid w:val="00A81356"/>
    <w:rsid w:val="00A8613F"/>
    <w:rsid w:val="00A868A7"/>
    <w:rsid w:val="00A9424B"/>
    <w:rsid w:val="00A947B3"/>
    <w:rsid w:val="00AB326F"/>
    <w:rsid w:val="00AB441C"/>
    <w:rsid w:val="00AB7BCE"/>
    <w:rsid w:val="00AC572C"/>
    <w:rsid w:val="00AD6E12"/>
    <w:rsid w:val="00AE58C0"/>
    <w:rsid w:val="00AF1FF0"/>
    <w:rsid w:val="00B02848"/>
    <w:rsid w:val="00B05DD7"/>
    <w:rsid w:val="00B233AB"/>
    <w:rsid w:val="00B45EB2"/>
    <w:rsid w:val="00B50B21"/>
    <w:rsid w:val="00B51A62"/>
    <w:rsid w:val="00B51D70"/>
    <w:rsid w:val="00B523F1"/>
    <w:rsid w:val="00B65213"/>
    <w:rsid w:val="00B65D8D"/>
    <w:rsid w:val="00B824F6"/>
    <w:rsid w:val="00B93BDC"/>
    <w:rsid w:val="00BC4515"/>
    <w:rsid w:val="00BD3CE4"/>
    <w:rsid w:val="00BD4FBF"/>
    <w:rsid w:val="00BD5061"/>
    <w:rsid w:val="00BE0C61"/>
    <w:rsid w:val="00BE3676"/>
    <w:rsid w:val="00BE425A"/>
    <w:rsid w:val="00BF0016"/>
    <w:rsid w:val="00BF6B52"/>
    <w:rsid w:val="00C12557"/>
    <w:rsid w:val="00C16D61"/>
    <w:rsid w:val="00C23819"/>
    <w:rsid w:val="00C41607"/>
    <w:rsid w:val="00C42D4A"/>
    <w:rsid w:val="00C51D62"/>
    <w:rsid w:val="00C763E1"/>
    <w:rsid w:val="00C94C4A"/>
    <w:rsid w:val="00CA45DB"/>
    <w:rsid w:val="00CC49B9"/>
    <w:rsid w:val="00CD7634"/>
    <w:rsid w:val="00CE1D4A"/>
    <w:rsid w:val="00CE6203"/>
    <w:rsid w:val="00CF525E"/>
    <w:rsid w:val="00CF6877"/>
    <w:rsid w:val="00D03C03"/>
    <w:rsid w:val="00D06C22"/>
    <w:rsid w:val="00D13702"/>
    <w:rsid w:val="00D20DEB"/>
    <w:rsid w:val="00D30EAF"/>
    <w:rsid w:val="00D40F12"/>
    <w:rsid w:val="00D41ABB"/>
    <w:rsid w:val="00D65ABD"/>
    <w:rsid w:val="00D71D99"/>
    <w:rsid w:val="00D754F2"/>
    <w:rsid w:val="00D84C17"/>
    <w:rsid w:val="00D861C5"/>
    <w:rsid w:val="00DA2B8D"/>
    <w:rsid w:val="00DA7430"/>
    <w:rsid w:val="00DB075D"/>
    <w:rsid w:val="00DB1718"/>
    <w:rsid w:val="00DB41C0"/>
    <w:rsid w:val="00DC15B4"/>
    <w:rsid w:val="00DC32B0"/>
    <w:rsid w:val="00DC4DB6"/>
    <w:rsid w:val="00DF25FE"/>
    <w:rsid w:val="00DF4E3D"/>
    <w:rsid w:val="00E000B9"/>
    <w:rsid w:val="00E13862"/>
    <w:rsid w:val="00E277D8"/>
    <w:rsid w:val="00E55200"/>
    <w:rsid w:val="00E5743D"/>
    <w:rsid w:val="00E57A20"/>
    <w:rsid w:val="00E663EC"/>
    <w:rsid w:val="00E74ADD"/>
    <w:rsid w:val="00E91B23"/>
    <w:rsid w:val="00EA0884"/>
    <w:rsid w:val="00EB1AA4"/>
    <w:rsid w:val="00EC798E"/>
    <w:rsid w:val="00ED6465"/>
    <w:rsid w:val="00EE566C"/>
    <w:rsid w:val="00EF620B"/>
    <w:rsid w:val="00F0285C"/>
    <w:rsid w:val="00F03898"/>
    <w:rsid w:val="00F06B12"/>
    <w:rsid w:val="00F3009B"/>
    <w:rsid w:val="00F36726"/>
    <w:rsid w:val="00F41B70"/>
    <w:rsid w:val="00F50C62"/>
    <w:rsid w:val="00F612F5"/>
    <w:rsid w:val="00F670F1"/>
    <w:rsid w:val="00F77692"/>
    <w:rsid w:val="00F8127E"/>
    <w:rsid w:val="00F909E9"/>
    <w:rsid w:val="00FA29D6"/>
    <w:rsid w:val="00FB0854"/>
    <w:rsid w:val="00FB44D7"/>
    <w:rsid w:val="00FC6735"/>
    <w:rsid w:val="00FD5BF4"/>
    <w:rsid w:val="00FD7F43"/>
    <w:rsid w:val="00FE2F02"/>
    <w:rsid w:val="00FE3797"/>
    <w:rsid w:val="00FE46C9"/>
    <w:rsid w:val="00FE5406"/>
    <w:rsid w:val="00FF6B43"/>
    <w:rsid w:val="00FF6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B6435"/>
    <w:pPr>
      <w:spacing w:after="200" w:line="276" w:lineRule="auto"/>
      <w:ind w:left="720"/>
      <w:contextualSpacing/>
    </w:pPr>
    <w:rPr>
      <w:rFonts w:asciiTheme="minorHAnsi" w:eastAsiaTheme="minorHAnsi" w:hAnsiTheme="minorHAnsi" w:cstheme="minorBidi"/>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B6435"/>
    <w:pPr>
      <w:spacing w:after="200" w:line="276" w:lineRule="auto"/>
      <w:ind w:left="720"/>
      <w:contextualSpacing/>
    </w:pPr>
    <w:rPr>
      <w:rFonts w:asciiTheme="minorHAnsi" w:eastAsiaTheme="minorHAnsi" w:hAnsiTheme="minorHAnsi" w:cstheme="minorBid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337">
      <w:bodyDiv w:val="1"/>
      <w:marLeft w:val="0"/>
      <w:marRight w:val="0"/>
      <w:marTop w:val="0"/>
      <w:marBottom w:val="0"/>
      <w:divBdr>
        <w:top w:val="none" w:sz="0" w:space="0" w:color="auto"/>
        <w:left w:val="none" w:sz="0" w:space="0" w:color="auto"/>
        <w:bottom w:val="none" w:sz="0" w:space="0" w:color="auto"/>
        <w:right w:val="none" w:sz="0" w:space="0" w:color="auto"/>
      </w:divBdr>
    </w:div>
    <w:div w:id="488252196">
      <w:bodyDiv w:val="1"/>
      <w:marLeft w:val="0"/>
      <w:marRight w:val="0"/>
      <w:marTop w:val="0"/>
      <w:marBottom w:val="0"/>
      <w:divBdr>
        <w:top w:val="none" w:sz="0" w:space="0" w:color="auto"/>
        <w:left w:val="none" w:sz="0" w:space="0" w:color="auto"/>
        <w:bottom w:val="none" w:sz="0" w:space="0" w:color="auto"/>
        <w:right w:val="none" w:sz="0" w:space="0" w:color="auto"/>
      </w:divBdr>
    </w:div>
    <w:div w:id="740443659">
      <w:bodyDiv w:val="1"/>
      <w:marLeft w:val="0"/>
      <w:marRight w:val="0"/>
      <w:marTop w:val="0"/>
      <w:marBottom w:val="0"/>
      <w:divBdr>
        <w:top w:val="none" w:sz="0" w:space="0" w:color="auto"/>
        <w:left w:val="none" w:sz="0" w:space="0" w:color="auto"/>
        <w:bottom w:val="none" w:sz="0" w:space="0" w:color="auto"/>
        <w:right w:val="none" w:sz="0" w:space="0" w:color="auto"/>
      </w:divBdr>
    </w:div>
    <w:div w:id="849101501">
      <w:bodyDiv w:val="1"/>
      <w:marLeft w:val="0"/>
      <w:marRight w:val="0"/>
      <w:marTop w:val="0"/>
      <w:marBottom w:val="0"/>
      <w:divBdr>
        <w:top w:val="none" w:sz="0" w:space="0" w:color="auto"/>
        <w:left w:val="none" w:sz="0" w:space="0" w:color="auto"/>
        <w:bottom w:val="none" w:sz="0" w:space="0" w:color="auto"/>
        <w:right w:val="none" w:sz="0" w:space="0" w:color="auto"/>
      </w:divBdr>
    </w:div>
    <w:div w:id="990671481">
      <w:bodyDiv w:val="1"/>
      <w:marLeft w:val="0"/>
      <w:marRight w:val="0"/>
      <w:marTop w:val="0"/>
      <w:marBottom w:val="0"/>
      <w:divBdr>
        <w:top w:val="none" w:sz="0" w:space="0" w:color="auto"/>
        <w:left w:val="none" w:sz="0" w:space="0" w:color="auto"/>
        <w:bottom w:val="none" w:sz="0" w:space="0" w:color="auto"/>
        <w:right w:val="none" w:sz="0" w:space="0" w:color="auto"/>
      </w:divBdr>
    </w:div>
    <w:div w:id="1101953012">
      <w:bodyDiv w:val="1"/>
      <w:marLeft w:val="0"/>
      <w:marRight w:val="0"/>
      <w:marTop w:val="0"/>
      <w:marBottom w:val="0"/>
      <w:divBdr>
        <w:top w:val="none" w:sz="0" w:space="0" w:color="auto"/>
        <w:left w:val="none" w:sz="0" w:space="0" w:color="auto"/>
        <w:bottom w:val="none" w:sz="0" w:space="0" w:color="auto"/>
        <w:right w:val="none" w:sz="0" w:space="0" w:color="auto"/>
      </w:divBdr>
    </w:div>
    <w:div w:id="1491555625">
      <w:bodyDiv w:val="1"/>
      <w:marLeft w:val="0"/>
      <w:marRight w:val="0"/>
      <w:marTop w:val="0"/>
      <w:marBottom w:val="0"/>
      <w:divBdr>
        <w:top w:val="none" w:sz="0" w:space="0" w:color="auto"/>
        <w:left w:val="none" w:sz="0" w:space="0" w:color="auto"/>
        <w:bottom w:val="none" w:sz="0" w:space="0" w:color="auto"/>
        <w:right w:val="none" w:sz="0" w:space="0" w:color="auto"/>
      </w:divBdr>
    </w:div>
    <w:div w:id="1529484190">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40133784">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892813236">
      <w:bodyDiv w:val="1"/>
      <w:marLeft w:val="0"/>
      <w:marRight w:val="0"/>
      <w:marTop w:val="0"/>
      <w:marBottom w:val="0"/>
      <w:divBdr>
        <w:top w:val="none" w:sz="0" w:space="0" w:color="auto"/>
        <w:left w:val="none" w:sz="0" w:space="0" w:color="auto"/>
        <w:bottom w:val="none" w:sz="0" w:space="0" w:color="auto"/>
        <w:right w:val="none" w:sz="0" w:space="0" w:color="auto"/>
      </w:divBdr>
    </w:div>
    <w:div w:id="198817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8EB8A-9195-4CE6-92C3-CEE6B02D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2</Pages>
  <Words>510</Words>
  <Characters>2806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2013-02-12T15:09:00Z</cp:lastPrinted>
  <dcterms:created xsi:type="dcterms:W3CDTF">2013-02-12T15:10:00Z</dcterms:created>
  <dcterms:modified xsi:type="dcterms:W3CDTF">2013-02-12T15:10:00Z</dcterms:modified>
</cp:coreProperties>
</file>