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C7" w:rsidRDefault="001F0937">
      <w:pPr>
        <w:rPr>
          <w:b/>
          <w:smallCaps/>
          <w:sz w:val="22"/>
        </w:rPr>
      </w:pPr>
      <w:r>
        <w:rPr>
          <w:b/>
          <w:smallCaps/>
          <w:sz w:val="22"/>
        </w:rPr>
        <w:t>ingrid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CA30A2" w:rsidRPr="00103D45" w:rsidRDefault="00CA30A2" w:rsidP="00CA30A2">
      <w:pPr>
        <w:rPr>
          <w:b/>
          <w:smallCaps/>
          <w:sz w:val="22"/>
          <w:szCs w:val="22"/>
        </w:rPr>
      </w:pPr>
      <w:r w:rsidRPr="00103D45">
        <w:rPr>
          <w:b/>
          <w:smallCaps/>
          <w:sz w:val="22"/>
          <w:szCs w:val="22"/>
        </w:rPr>
        <w:t>antwoord</w:t>
      </w:r>
    </w:p>
    <w:p w:rsidR="00CA30A2" w:rsidRPr="00103D45" w:rsidRDefault="00CA30A2" w:rsidP="00CA30A2">
      <w:pPr>
        <w:rPr>
          <w:sz w:val="22"/>
          <w:szCs w:val="22"/>
        </w:rPr>
      </w:pPr>
      <w:r w:rsidRPr="00103D45">
        <w:rPr>
          <w:sz w:val="22"/>
          <w:szCs w:val="22"/>
        </w:rPr>
        <w:t xml:space="preserve">op vraag nr. </w:t>
      </w:r>
      <w:r w:rsidR="00C0792F">
        <w:rPr>
          <w:sz w:val="22"/>
          <w:szCs w:val="22"/>
        </w:rPr>
        <w:t>154</w:t>
      </w:r>
      <w:r w:rsidRPr="00103D45">
        <w:rPr>
          <w:sz w:val="22"/>
          <w:szCs w:val="22"/>
        </w:rPr>
        <w:t xml:space="preserve"> van </w:t>
      </w:r>
      <w:r w:rsidR="00C0792F">
        <w:rPr>
          <w:sz w:val="22"/>
        </w:rPr>
        <w:t>11 januari 2013</w:t>
      </w:r>
    </w:p>
    <w:p w:rsidR="005431C7" w:rsidRDefault="00CA30A2" w:rsidP="00CA30A2">
      <w:pPr>
        <w:rPr>
          <w:sz w:val="22"/>
        </w:rPr>
      </w:pPr>
      <w:r w:rsidRPr="00103D45">
        <w:rPr>
          <w:sz w:val="22"/>
          <w:szCs w:val="22"/>
        </w:rPr>
        <w:t xml:space="preserve">van </w:t>
      </w:r>
      <w:r w:rsidR="00C0792F">
        <w:rPr>
          <w:b/>
          <w:smallCaps/>
        </w:rPr>
        <w:t>lydia peeters</w:t>
      </w:r>
    </w:p>
    <w:p w:rsidR="005431C7" w:rsidRDefault="005431C7" w:rsidP="009976C1">
      <w:pPr>
        <w:pBdr>
          <w:bottom w:val="single" w:sz="4" w:space="1" w:color="auto"/>
        </w:pBdr>
        <w:jc w:val="both"/>
        <w:rPr>
          <w:sz w:val="22"/>
        </w:rPr>
      </w:pPr>
    </w:p>
    <w:p w:rsidR="005431C7" w:rsidRPr="00FD3D60" w:rsidRDefault="005431C7" w:rsidP="009976C1">
      <w:pPr>
        <w:jc w:val="both"/>
        <w:rPr>
          <w:sz w:val="22"/>
          <w:szCs w:val="22"/>
        </w:rPr>
      </w:pPr>
    </w:p>
    <w:p w:rsidR="00C0792F" w:rsidRDefault="00C0792F" w:rsidP="00552539">
      <w:pPr>
        <w:pStyle w:val="StandaardSV"/>
      </w:pPr>
    </w:p>
    <w:p w:rsidR="00C0792F" w:rsidRPr="00B83226" w:rsidRDefault="00C0792F" w:rsidP="00552539">
      <w:pPr>
        <w:pStyle w:val="StandaardSV"/>
        <w:numPr>
          <w:ilvl w:val="0"/>
          <w:numId w:val="5"/>
        </w:numPr>
      </w:pPr>
      <w:r w:rsidRPr="00B83226">
        <w:t xml:space="preserve">Competentiepolen richten zich op </w:t>
      </w:r>
      <w:r>
        <w:t xml:space="preserve">geheel </w:t>
      </w:r>
      <w:r w:rsidRPr="00B83226">
        <w:t xml:space="preserve">Vlaanderen en voeren geen (sub)regionale activiteiten uit. Hierdoor is het niet mogelijk om een opsplitsing te maken in activiteiten per provincie. Bij de meeste activiteiten zijn ondernemingen uit verschillende provincies betrokken. </w:t>
      </w:r>
    </w:p>
    <w:p w:rsidR="00C0792F" w:rsidRPr="00B83226" w:rsidRDefault="00C0792F" w:rsidP="00552539">
      <w:pPr>
        <w:pStyle w:val="StandaardSV"/>
      </w:pPr>
    </w:p>
    <w:p w:rsidR="00C0792F" w:rsidRPr="00B83226" w:rsidRDefault="00C0792F" w:rsidP="00552539">
      <w:pPr>
        <w:pStyle w:val="Default"/>
        <w:ind w:left="360"/>
        <w:jc w:val="both"/>
        <w:rPr>
          <w:color w:val="auto"/>
          <w:sz w:val="22"/>
          <w:szCs w:val="20"/>
        </w:rPr>
      </w:pPr>
      <w:r w:rsidRPr="00B83226">
        <w:rPr>
          <w:color w:val="auto"/>
          <w:sz w:val="22"/>
          <w:szCs w:val="20"/>
        </w:rPr>
        <w:t xml:space="preserve">In de afgelopen </w:t>
      </w:r>
      <w:r>
        <w:rPr>
          <w:color w:val="auto"/>
          <w:sz w:val="22"/>
          <w:szCs w:val="20"/>
        </w:rPr>
        <w:t>periode zette Flanders’ Synergy vooral in</w:t>
      </w:r>
      <w:r w:rsidRPr="00B83226">
        <w:rPr>
          <w:color w:val="auto"/>
          <w:sz w:val="22"/>
          <w:szCs w:val="20"/>
        </w:rPr>
        <w:t xml:space="preserve"> op sensibiliserende activiteiten in samenwerking met partners (intermedia</w:t>
      </w:r>
      <w:r w:rsidR="00402BF9">
        <w:rPr>
          <w:color w:val="auto"/>
          <w:sz w:val="22"/>
          <w:szCs w:val="20"/>
        </w:rPr>
        <w:t>i</w:t>
      </w:r>
      <w:r w:rsidRPr="00B83226">
        <w:rPr>
          <w:color w:val="auto"/>
          <w:sz w:val="22"/>
          <w:szCs w:val="20"/>
        </w:rPr>
        <w:t xml:space="preserve">re organisaties en ledenorganisaties) en met private adviesverleners (die opgeleid werden door Flanders’ Synergy) voor de invoering van verandertrajecten bij ondernemingen. De competentiepool netwerkte met de universitaire wereld en andere kennisinstellingen en participeerde in onderzoek en/of ontwikkelde samen met hen instrumenten. </w:t>
      </w:r>
    </w:p>
    <w:p w:rsidR="00C0792F" w:rsidRPr="00B83226" w:rsidRDefault="00C0792F" w:rsidP="00552539">
      <w:pPr>
        <w:pStyle w:val="Default"/>
        <w:ind w:left="360"/>
        <w:jc w:val="both"/>
        <w:rPr>
          <w:color w:val="auto"/>
          <w:sz w:val="22"/>
          <w:szCs w:val="20"/>
        </w:rPr>
      </w:pPr>
    </w:p>
    <w:p w:rsidR="00C0792F" w:rsidRPr="00B83226" w:rsidRDefault="00C0792F" w:rsidP="00552539">
      <w:pPr>
        <w:pStyle w:val="Default"/>
        <w:ind w:left="360"/>
        <w:jc w:val="both"/>
        <w:rPr>
          <w:color w:val="auto"/>
          <w:sz w:val="22"/>
          <w:szCs w:val="20"/>
          <w:u w:val="single"/>
        </w:rPr>
      </w:pPr>
      <w:r w:rsidRPr="00B83226">
        <w:rPr>
          <w:color w:val="auto"/>
          <w:sz w:val="22"/>
          <w:szCs w:val="20"/>
          <w:u w:val="single"/>
        </w:rPr>
        <w:t>Informeren en sensibiliseren</w:t>
      </w:r>
    </w:p>
    <w:p w:rsidR="00C0792F" w:rsidRPr="00B83226" w:rsidRDefault="00C0792F" w:rsidP="00552539">
      <w:pPr>
        <w:pStyle w:val="Default"/>
        <w:numPr>
          <w:ilvl w:val="0"/>
          <w:numId w:val="3"/>
        </w:numPr>
        <w:ind w:left="720"/>
        <w:jc w:val="both"/>
        <w:rPr>
          <w:color w:val="auto"/>
          <w:sz w:val="22"/>
          <w:szCs w:val="20"/>
        </w:rPr>
      </w:pPr>
      <w:r w:rsidRPr="00B83226">
        <w:rPr>
          <w:color w:val="auto"/>
          <w:sz w:val="22"/>
          <w:szCs w:val="20"/>
        </w:rPr>
        <w:t>Er wordt samengewerkt met werkgeversorganisaties (VOKA, UNIZO, VERSO, Boerenbond en Onderwijskoepels), werknemersorganisaties (ABVV, ACV en ACLVB) en met de Vlaamse overheid via de Innovatiecentra, diversiteitsconsulenten en het Agentschap Ondernemen</w:t>
      </w:r>
      <w:r w:rsidR="00402BF9">
        <w:rPr>
          <w:color w:val="auto"/>
          <w:sz w:val="22"/>
          <w:szCs w:val="20"/>
        </w:rPr>
        <w:t>;</w:t>
      </w:r>
    </w:p>
    <w:p w:rsidR="00C0792F" w:rsidRPr="00B83226" w:rsidRDefault="00C0792F" w:rsidP="00552539">
      <w:pPr>
        <w:pStyle w:val="Default"/>
        <w:numPr>
          <w:ilvl w:val="0"/>
          <w:numId w:val="3"/>
        </w:numPr>
        <w:ind w:left="720"/>
        <w:jc w:val="both"/>
        <w:rPr>
          <w:color w:val="auto"/>
          <w:sz w:val="22"/>
          <w:szCs w:val="20"/>
        </w:rPr>
      </w:pPr>
      <w:r w:rsidRPr="00B83226">
        <w:rPr>
          <w:color w:val="auto"/>
          <w:sz w:val="22"/>
          <w:szCs w:val="20"/>
        </w:rPr>
        <w:t>In het kader van de brede sensibilisering werden ca. 20.000 deelnemers bereikt met diverse acties (waarvan ca. 9</w:t>
      </w:r>
      <w:r w:rsidR="00402BF9">
        <w:rPr>
          <w:color w:val="auto"/>
          <w:sz w:val="22"/>
          <w:szCs w:val="20"/>
        </w:rPr>
        <w:t>.</w:t>
      </w:r>
      <w:r w:rsidRPr="00B83226">
        <w:rPr>
          <w:color w:val="auto"/>
          <w:sz w:val="22"/>
          <w:szCs w:val="20"/>
        </w:rPr>
        <w:t xml:space="preserve">000 in 2012), meestal in samenwerking met intermediaire partners. Elk jaar is een congres georganiseerd. </w:t>
      </w:r>
    </w:p>
    <w:p w:rsidR="00C0792F" w:rsidRPr="00B83226" w:rsidRDefault="00C0792F" w:rsidP="00552539">
      <w:pPr>
        <w:pStyle w:val="Default"/>
        <w:ind w:left="360"/>
        <w:jc w:val="both"/>
        <w:rPr>
          <w:color w:val="auto"/>
          <w:sz w:val="22"/>
          <w:szCs w:val="20"/>
        </w:rPr>
      </w:pPr>
    </w:p>
    <w:p w:rsidR="00C0792F" w:rsidRPr="00B83226" w:rsidRDefault="00C0792F" w:rsidP="00552539">
      <w:pPr>
        <w:pStyle w:val="Default"/>
        <w:ind w:left="360"/>
        <w:jc w:val="both"/>
        <w:rPr>
          <w:color w:val="auto"/>
          <w:sz w:val="22"/>
          <w:szCs w:val="20"/>
          <w:u w:val="single"/>
        </w:rPr>
      </w:pPr>
      <w:r w:rsidRPr="00B83226">
        <w:rPr>
          <w:color w:val="auto"/>
          <w:sz w:val="22"/>
          <w:szCs w:val="20"/>
          <w:u w:val="single"/>
        </w:rPr>
        <w:t>Ledenwerving</w:t>
      </w:r>
    </w:p>
    <w:p w:rsidR="00C0792F" w:rsidRPr="00B83226" w:rsidRDefault="00C0792F" w:rsidP="00552539">
      <w:pPr>
        <w:pStyle w:val="Default"/>
        <w:numPr>
          <w:ilvl w:val="0"/>
          <w:numId w:val="4"/>
        </w:numPr>
        <w:ind w:left="720"/>
        <w:jc w:val="both"/>
        <w:rPr>
          <w:color w:val="auto"/>
          <w:sz w:val="22"/>
          <w:szCs w:val="20"/>
        </w:rPr>
      </w:pPr>
      <w:r w:rsidRPr="00B83226">
        <w:rPr>
          <w:color w:val="auto"/>
          <w:sz w:val="22"/>
          <w:szCs w:val="20"/>
        </w:rPr>
        <w:t xml:space="preserve">Inzake ledenwerving werden geen specifieke acties opgezet. </w:t>
      </w:r>
    </w:p>
    <w:p w:rsidR="00C0792F" w:rsidRPr="00B83226" w:rsidRDefault="00C0792F" w:rsidP="00552539">
      <w:pPr>
        <w:pStyle w:val="Default"/>
        <w:ind w:left="360"/>
        <w:jc w:val="both"/>
        <w:rPr>
          <w:color w:val="auto"/>
          <w:sz w:val="22"/>
          <w:szCs w:val="20"/>
        </w:rPr>
      </w:pPr>
    </w:p>
    <w:p w:rsidR="00C0792F" w:rsidRPr="00B83226" w:rsidRDefault="00C0792F" w:rsidP="00552539">
      <w:pPr>
        <w:pStyle w:val="Default"/>
        <w:ind w:left="360"/>
        <w:jc w:val="both"/>
        <w:rPr>
          <w:color w:val="auto"/>
          <w:sz w:val="22"/>
          <w:szCs w:val="20"/>
          <w:u w:val="single"/>
        </w:rPr>
      </w:pPr>
      <w:r w:rsidRPr="00B83226">
        <w:rPr>
          <w:color w:val="auto"/>
          <w:sz w:val="22"/>
          <w:szCs w:val="20"/>
          <w:u w:val="single"/>
        </w:rPr>
        <w:t>Opleidingen</w:t>
      </w:r>
    </w:p>
    <w:p w:rsidR="00C0792F" w:rsidRPr="00402BF9" w:rsidRDefault="00C0792F" w:rsidP="00552539">
      <w:pPr>
        <w:pStyle w:val="Default"/>
        <w:numPr>
          <w:ilvl w:val="0"/>
          <w:numId w:val="4"/>
        </w:numPr>
        <w:ind w:left="720"/>
        <w:jc w:val="both"/>
        <w:rPr>
          <w:color w:val="auto"/>
          <w:sz w:val="22"/>
          <w:szCs w:val="20"/>
        </w:rPr>
      </w:pPr>
      <w:r w:rsidRPr="00402BF9">
        <w:rPr>
          <w:color w:val="auto"/>
          <w:sz w:val="22"/>
          <w:szCs w:val="20"/>
        </w:rPr>
        <w:t xml:space="preserve">Flanders’ Synergy organiseerde een 7-tal opleidingssessies in de periode 2011-2012, waaronder twee initiatieopleidingen, 3 senioropleidingen en 2 </w:t>
      </w:r>
      <w:r w:rsidR="00402BF9">
        <w:rPr>
          <w:color w:val="auto"/>
          <w:sz w:val="22"/>
          <w:szCs w:val="20"/>
        </w:rPr>
        <w:t xml:space="preserve">pedagogische </w:t>
      </w:r>
      <w:r w:rsidRPr="00402BF9">
        <w:rPr>
          <w:color w:val="auto"/>
          <w:sz w:val="22"/>
          <w:szCs w:val="20"/>
        </w:rPr>
        <w:t xml:space="preserve">opleidingen, goed voor 99 deelnemers. </w:t>
      </w:r>
    </w:p>
    <w:p w:rsidR="00402BF9" w:rsidRDefault="00402BF9" w:rsidP="00552539">
      <w:pPr>
        <w:pStyle w:val="Default"/>
        <w:ind w:left="360"/>
        <w:jc w:val="both"/>
        <w:rPr>
          <w:color w:val="auto"/>
          <w:sz w:val="22"/>
          <w:szCs w:val="20"/>
          <w:u w:val="single"/>
          <w:lang w:val="nl-NL"/>
        </w:rPr>
      </w:pPr>
    </w:p>
    <w:p w:rsidR="00C0792F" w:rsidRPr="00B83226" w:rsidRDefault="00C0792F" w:rsidP="00552539">
      <w:pPr>
        <w:pStyle w:val="Default"/>
        <w:ind w:left="360"/>
        <w:jc w:val="both"/>
        <w:rPr>
          <w:color w:val="auto"/>
          <w:sz w:val="22"/>
          <w:szCs w:val="20"/>
          <w:u w:val="single"/>
        </w:rPr>
      </w:pPr>
      <w:r w:rsidRPr="00B83226">
        <w:rPr>
          <w:color w:val="auto"/>
          <w:sz w:val="22"/>
          <w:szCs w:val="20"/>
          <w:u w:val="single"/>
        </w:rPr>
        <w:t>Adviesverlening:</w:t>
      </w:r>
    </w:p>
    <w:p w:rsidR="00C0792F" w:rsidRPr="00B83226" w:rsidRDefault="00C0792F" w:rsidP="00552539">
      <w:pPr>
        <w:pStyle w:val="Default"/>
        <w:numPr>
          <w:ilvl w:val="0"/>
          <w:numId w:val="3"/>
        </w:numPr>
        <w:ind w:left="720"/>
        <w:jc w:val="both"/>
        <w:rPr>
          <w:color w:val="auto"/>
          <w:sz w:val="22"/>
          <w:szCs w:val="20"/>
        </w:rPr>
      </w:pPr>
      <w:r w:rsidRPr="00B83226">
        <w:rPr>
          <w:color w:val="auto"/>
          <w:sz w:val="22"/>
          <w:szCs w:val="20"/>
        </w:rPr>
        <w:t xml:space="preserve">Flanders’ Synergy organiseert regionale netwerken om leden hun ervaringen te laten uitwisselen. Er zijn een 4tal netwerken die jaarlijks een </w:t>
      </w:r>
      <w:r w:rsidR="00402BF9">
        <w:rPr>
          <w:color w:val="auto"/>
          <w:sz w:val="22"/>
          <w:szCs w:val="20"/>
        </w:rPr>
        <w:t>3</w:t>
      </w:r>
      <w:r w:rsidRPr="00B83226">
        <w:rPr>
          <w:color w:val="auto"/>
          <w:sz w:val="22"/>
          <w:szCs w:val="20"/>
        </w:rPr>
        <w:t xml:space="preserve">tal keer samenkomen (gemiddeld met 10 leden per sessie). Daarnaast zijn er praktijklabo’s voor organisaties die nog niet of weinig met het gedachtengoed van </w:t>
      </w:r>
      <w:r w:rsidR="00402BF9">
        <w:rPr>
          <w:color w:val="auto"/>
          <w:sz w:val="22"/>
          <w:szCs w:val="20"/>
        </w:rPr>
        <w:t>Innovatieve Arbeidsorganisatie (</w:t>
      </w:r>
      <w:r w:rsidRPr="00B83226">
        <w:rPr>
          <w:color w:val="auto"/>
          <w:sz w:val="22"/>
          <w:szCs w:val="20"/>
        </w:rPr>
        <w:t>IAO</w:t>
      </w:r>
      <w:r w:rsidR="00402BF9">
        <w:rPr>
          <w:color w:val="auto"/>
          <w:sz w:val="22"/>
          <w:szCs w:val="20"/>
        </w:rPr>
        <w:t>)</w:t>
      </w:r>
      <w:r w:rsidRPr="00B83226">
        <w:rPr>
          <w:color w:val="auto"/>
          <w:sz w:val="22"/>
          <w:szCs w:val="20"/>
        </w:rPr>
        <w:t xml:space="preserve"> in aanraking gekomen zijn. Deze dienstverlening is nog maar recent </w:t>
      </w:r>
      <w:r w:rsidR="00402BF9">
        <w:rPr>
          <w:color w:val="auto"/>
          <w:sz w:val="22"/>
          <w:szCs w:val="20"/>
        </w:rPr>
        <w:t xml:space="preserve">(in 2011) </w:t>
      </w:r>
      <w:r w:rsidRPr="00B83226">
        <w:rPr>
          <w:color w:val="auto"/>
          <w:sz w:val="22"/>
          <w:szCs w:val="20"/>
        </w:rPr>
        <w:t>van start gegaan en werd 12tal keer toegepast (gemiddeld met 8 leden per sessie). Naast deze netwerken voor ondernemingen is er ook een netwerk voor de private organisatieadviseurs om praktische ervaringen te toetsen met elkaar en met de wetenschappers</w:t>
      </w:r>
      <w:r w:rsidR="00402BF9">
        <w:rPr>
          <w:color w:val="auto"/>
          <w:sz w:val="22"/>
          <w:szCs w:val="20"/>
        </w:rPr>
        <w:t>;</w:t>
      </w:r>
    </w:p>
    <w:p w:rsidR="00C0792F" w:rsidRPr="00B83226" w:rsidRDefault="00C0792F" w:rsidP="00552539">
      <w:pPr>
        <w:pStyle w:val="Default"/>
        <w:numPr>
          <w:ilvl w:val="0"/>
          <w:numId w:val="3"/>
        </w:numPr>
        <w:ind w:left="720"/>
        <w:jc w:val="both"/>
        <w:rPr>
          <w:color w:val="auto"/>
          <w:sz w:val="22"/>
          <w:szCs w:val="20"/>
        </w:rPr>
      </w:pPr>
      <w:r w:rsidRPr="00B83226">
        <w:rPr>
          <w:color w:val="auto"/>
          <w:sz w:val="22"/>
          <w:szCs w:val="20"/>
        </w:rPr>
        <w:t xml:space="preserve">In de projectperiode tussen medio 2009 en eind 2012 werden </w:t>
      </w:r>
      <w:r>
        <w:rPr>
          <w:color w:val="auto"/>
          <w:sz w:val="22"/>
          <w:szCs w:val="20"/>
        </w:rPr>
        <w:t>120</w:t>
      </w:r>
      <w:r w:rsidRPr="00B83226">
        <w:rPr>
          <w:color w:val="auto"/>
          <w:sz w:val="22"/>
          <w:szCs w:val="20"/>
        </w:rPr>
        <w:t xml:space="preserve"> verandertrajecten gestart</w:t>
      </w:r>
      <w:r w:rsidR="00402BF9">
        <w:rPr>
          <w:color w:val="auto"/>
          <w:sz w:val="22"/>
          <w:szCs w:val="20"/>
        </w:rPr>
        <w:t>. H</w:t>
      </w:r>
      <w:r w:rsidRPr="00B83226">
        <w:rPr>
          <w:color w:val="auto"/>
          <w:sz w:val="22"/>
          <w:szCs w:val="20"/>
        </w:rPr>
        <w:t xml:space="preserve">iermee is de doelstelling voor de ganse projectperiode al behaald. Een aantal cases zijn uitgewerkt als </w:t>
      </w:r>
      <w:r w:rsidR="00402BF9">
        <w:rPr>
          <w:color w:val="auto"/>
          <w:sz w:val="22"/>
          <w:szCs w:val="20"/>
        </w:rPr>
        <w:t>“beste praktijk”</w:t>
      </w:r>
      <w:r w:rsidRPr="00B83226">
        <w:rPr>
          <w:color w:val="auto"/>
          <w:sz w:val="22"/>
          <w:szCs w:val="20"/>
        </w:rPr>
        <w:t xml:space="preserve"> voor verdere sensibilisering. In 2012 gingen 40 veranderingstrajecten van start.</w:t>
      </w:r>
      <w:r w:rsidRPr="00B83226">
        <w:rPr>
          <w:color w:val="FF0000"/>
          <w:sz w:val="22"/>
          <w:szCs w:val="20"/>
        </w:rPr>
        <w:t xml:space="preserve"> </w:t>
      </w:r>
      <w:r w:rsidRPr="00B83226">
        <w:rPr>
          <w:color w:val="auto"/>
          <w:sz w:val="22"/>
          <w:szCs w:val="20"/>
        </w:rPr>
        <w:t>Verander</w:t>
      </w:r>
      <w:r w:rsidR="00402BF9">
        <w:rPr>
          <w:color w:val="auto"/>
          <w:sz w:val="22"/>
          <w:szCs w:val="20"/>
        </w:rPr>
        <w:t>ings</w:t>
      </w:r>
      <w:r w:rsidRPr="00B83226">
        <w:rPr>
          <w:color w:val="auto"/>
          <w:sz w:val="22"/>
          <w:szCs w:val="20"/>
        </w:rPr>
        <w:t xml:space="preserve">trajecten worden uitgevoerd door ondernemingen die hiervoor (soms) beroep doen op een private organisatieadviseur. Er kan een subsidie gevraagd worden via de kmo-portefeuille. Voor ondernemingen die geen beroep kunnen doen </w:t>
      </w:r>
      <w:r w:rsidRPr="00B83226">
        <w:rPr>
          <w:color w:val="auto"/>
          <w:sz w:val="22"/>
          <w:szCs w:val="20"/>
        </w:rPr>
        <w:lastRenderedPageBreak/>
        <w:t xml:space="preserve">op de kmo-portefeuille wordt een gelijkwaardige cofinanciering vanuit Flanders’ Synergy voorzien. </w:t>
      </w:r>
    </w:p>
    <w:p w:rsidR="00C0792F" w:rsidRPr="00B83226" w:rsidRDefault="00C0792F" w:rsidP="00552539">
      <w:pPr>
        <w:pStyle w:val="Default"/>
        <w:ind w:left="360"/>
        <w:jc w:val="both"/>
        <w:rPr>
          <w:color w:val="auto"/>
          <w:sz w:val="22"/>
          <w:szCs w:val="20"/>
        </w:rPr>
      </w:pPr>
    </w:p>
    <w:p w:rsidR="00C0792F" w:rsidRPr="00C43FEB" w:rsidRDefault="00C0792F" w:rsidP="00552539">
      <w:pPr>
        <w:pStyle w:val="Default"/>
        <w:ind w:left="360"/>
        <w:jc w:val="both"/>
        <w:rPr>
          <w:color w:val="auto"/>
          <w:sz w:val="22"/>
          <w:szCs w:val="20"/>
          <w:u w:val="single"/>
        </w:rPr>
      </w:pPr>
      <w:r w:rsidRPr="00C43FEB">
        <w:rPr>
          <w:color w:val="auto"/>
          <w:sz w:val="22"/>
          <w:szCs w:val="20"/>
          <w:u w:val="single"/>
        </w:rPr>
        <w:t>Onderzoek</w:t>
      </w:r>
    </w:p>
    <w:p w:rsidR="00C0792F" w:rsidRDefault="00C0792F" w:rsidP="00552539">
      <w:pPr>
        <w:pStyle w:val="Default"/>
        <w:numPr>
          <w:ilvl w:val="0"/>
          <w:numId w:val="3"/>
        </w:numPr>
        <w:ind w:left="720"/>
        <w:jc w:val="both"/>
        <w:rPr>
          <w:color w:val="auto"/>
          <w:sz w:val="22"/>
          <w:szCs w:val="20"/>
        </w:rPr>
      </w:pPr>
      <w:r w:rsidRPr="00B83226">
        <w:rPr>
          <w:color w:val="auto"/>
          <w:sz w:val="22"/>
          <w:szCs w:val="20"/>
        </w:rPr>
        <w:t>De onderzoeksactiviteiten van Flanders’ Synergy spitsten zich toe op het (laten) ontwikkelen van instrumenten. Ontwikkelde meetinstrumenten zijn een werknemersbevraging om de kwaliteit van de arbeid in kaart te brengen bij nulmetingen en eindmetingen van verandertrajecten, een organisatiescan om een beeld te krijgen van de structuur en processen in een organisatie en een interventiemeting</w:t>
      </w:r>
      <w:r w:rsidR="00402BF9">
        <w:rPr>
          <w:color w:val="auto"/>
          <w:sz w:val="22"/>
          <w:szCs w:val="20"/>
        </w:rPr>
        <w:t xml:space="preserve"> </w:t>
      </w:r>
      <w:r w:rsidRPr="00B83226">
        <w:rPr>
          <w:color w:val="auto"/>
          <w:sz w:val="22"/>
          <w:szCs w:val="20"/>
        </w:rPr>
        <w:t>(vragenlijst), Tzatziki (via het model van Karasek praktisch MST vertalen) en een diversiteitstool</w:t>
      </w:r>
      <w:r w:rsidR="00402BF9">
        <w:rPr>
          <w:color w:val="auto"/>
          <w:sz w:val="22"/>
          <w:szCs w:val="20"/>
        </w:rPr>
        <w:t>;</w:t>
      </w:r>
      <w:r w:rsidRPr="00B83226">
        <w:rPr>
          <w:color w:val="auto"/>
          <w:sz w:val="22"/>
          <w:szCs w:val="20"/>
        </w:rPr>
        <w:t xml:space="preserve"> </w:t>
      </w:r>
    </w:p>
    <w:p w:rsidR="00C0792F" w:rsidRDefault="00C0792F" w:rsidP="00552539">
      <w:pPr>
        <w:pStyle w:val="Default"/>
        <w:numPr>
          <w:ilvl w:val="0"/>
          <w:numId w:val="3"/>
        </w:numPr>
        <w:ind w:left="720"/>
        <w:jc w:val="both"/>
        <w:rPr>
          <w:color w:val="auto"/>
          <w:sz w:val="22"/>
          <w:szCs w:val="20"/>
        </w:rPr>
      </w:pPr>
      <w:r w:rsidRPr="00B83226">
        <w:rPr>
          <w:color w:val="auto"/>
          <w:sz w:val="22"/>
          <w:szCs w:val="20"/>
        </w:rPr>
        <w:t>Flanders’ Synergy is betrokken bij wetenschappelijk onderzoek</w:t>
      </w:r>
      <w:r w:rsidR="00402BF9">
        <w:rPr>
          <w:color w:val="auto"/>
          <w:sz w:val="22"/>
          <w:szCs w:val="20"/>
        </w:rPr>
        <w:t>, o/a</w:t>
      </w:r>
      <w:r w:rsidRPr="00B83226">
        <w:rPr>
          <w:color w:val="auto"/>
          <w:sz w:val="22"/>
          <w:szCs w:val="20"/>
        </w:rPr>
        <w:t xml:space="preserve"> het VIGOR SBO</w:t>
      </w:r>
      <w:r w:rsidR="00402BF9">
        <w:rPr>
          <w:color w:val="auto"/>
          <w:sz w:val="22"/>
          <w:szCs w:val="20"/>
        </w:rPr>
        <w:t>-</w:t>
      </w:r>
      <w:r w:rsidRPr="00B83226">
        <w:rPr>
          <w:color w:val="auto"/>
          <w:sz w:val="22"/>
          <w:szCs w:val="20"/>
        </w:rPr>
        <w:t>project rond innovatiegedrag van werknemers.</w:t>
      </w:r>
    </w:p>
    <w:p w:rsidR="00C0792F" w:rsidRPr="000134E1" w:rsidRDefault="00C0792F" w:rsidP="00552539">
      <w:pPr>
        <w:pStyle w:val="Geenafstand"/>
        <w:jc w:val="both"/>
        <w:rPr>
          <w:sz w:val="22"/>
          <w:szCs w:val="22"/>
        </w:rPr>
      </w:pPr>
    </w:p>
    <w:p w:rsidR="00C0792F" w:rsidRPr="000134E1" w:rsidRDefault="00C0792F" w:rsidP="00552539">
      <w:pPr>
        <w:pStyle w:val="Geenafstand"/>
        <w:numPr>
          <w:ilvl w:val="0"/>
          <w:numId w:val="6"/>
        </w:numPr>
        <w:jc w:val="both"/>
        <w:rPr>
          <w:sz w:val="22"/>
          <w:szCs w:val="22"/>
        </w:rPr>
      </w:pPr>
      <w:r w:rsidRPr="000134E1">
        <w:rPr>
          <w:sz w:val="22"/>
          <w:szCs w:val="22"/>
        </w:rPr>
        <w:t>Flanders</w:t>
      </w:r>
      <w:r w:rsidR="00402BF9" w:rsidRPr="000134E1">
        <w:rPr>
          <w:sz w:val="22"/>
          <w:szCs w:val="22"/>
        </w:rPr>
        <w:t>’</w:t>
      </w:r>
      <w:r w:rsidRPr="000134E1">
        <w:rPr>
          <w:sz w:val="22"/>
          <w:szCs w:val="22"/>
        </w:rPr>
        <w:t xml:space="preserve"> Synergy telde 147 leden op 1 januari 2013.</w:t>
      </w:r>
    </w:p>
    <w:p w:rsidR="00C0792F" w:rsidRPr="000134E1" w:rsidRDefault="00C0792F" w:rsidP="00552539">
      <w:pPr>
        <w:pStyle w:val="Geenafstand"/>
        <w:jc w:val="both"/>
        <w:rPr>
          <w:sz w:val="22"/>
          <w:szCs w:val="22"/>
        </w:rPr>
      </w:pPr>
    </w:p>
    <w:p w:rsidR="00C0792F" w:rsidRPr="000134E1" w:rsidRDefault="00C0792F" w:rsidP="00552539">
      <w:pPr>
        <w:pStyle w:val="Geenafstand"/>
        <w:numPr>
          <w:ilvl w:val="0"/>
          <w:numId w:val="6"/>
        </w:numPr>
        <w:jc w:val="both"/>
        <w:rPr>
          <w:sz w:val="22"/>
          <w:szCs w:val="22"/>
        </w:rPr>
      </w:pPr>
      <w:r w:rsidRPr="000134E1">
        <w:rPr>
          <w:sz w:val="22"/>
          <w:szCs w:val="22"/>
        </w:rPr>
        <w:t>Zie</w:t>
      </w:r>
      <w:r w:rsidR="00402BF9" w:rsidRPr="000134E1">
        <w:rPr>
          <w:sz w:val="22"/>
          <w:szCs w:val="22"/>
        </w:rPr>
        <w:t xml:space="preserve"> het ontwerpantwoord op deelv</w:t>
      </w:r>
      <w:r w:rsidRPr="000134E1">
        <w:rPr>
          <w:sz w:val="22"/>
          <w:szCs w:val="22"/>
        </w:rPr>
        <w:t>raag 1</w:t>
      </w:r>
      <w:r w:rsidR="00402BF9" w:rsidRPr="000134E1">
        <w:rPr>
          <w:sz w:val="22"/>
          <w:szCs w:val="22"/>
        </w:rPr>
        <w:t>.</w:t>
      </w:r>
    </w:p>
    <w:p w:rsidR="00C0792F" w:rsidRPr="000134E1" w:rsidRDefault="00C0792F" w:rsidP="00552539">
      <w:pPr>
        <w:pStyle w:val="Geenafstand"/>
        <w:jc w:val="both"/>
        <w:rPr>
          <w:sz w:val="22"/>
          <w:szCs w:val="22"/>
        </w:rPr>
      </w:pPr>
    </w:p>
    <w:p w:rsidR="00C0792F" w:rsidRPr="000134E1" w:rsidRDefault="00C0792F" w:rsidP="00552539">
      <w:pPr>
        <w:pStyle w:val="Geenafstand"/>
        <w:numPr>
          <w:ilvl w:val="0"/>
          <w:numId w:val="6"/>
        </w:numPr>
        <w:jc w:val="both"/>
        <w:rPr>
          <w:sz w:val="22"/>
          <w:szCs w:val="22"/>
        </w:rPr>
      </w:pPr>
      <w:r w:rsidRPr="000134E1">
        <w:rPr>
          <w:sz w:val="22"/>
          <w:szCs w:val="22"/>
        </w:rPr>
        <w:t xml:space="preserve">Het cofinancieringspercentage bedroeg in 2011 ca. 30%. Voor 2012 is dit nog niet gekend. </w:t>
      </w:r>
    </w:p>
    <w:p w:rsidR="00C0792F" w:rsidRPr="000134E1" w:rsidRDefault="00C0792F" w:rsidP="00552539">
      <w:pPr>
        <w:pStyle w:val="Geenafstand"/>
        <w:jc w:val="both"/>
        <w:rPr>
          <w:sz w:val="22"/>
          <w:szCs w:val="22"/>
        </w:rPr>
      </w:pPr>
    </w:p>
    <w:p w:rsidR="00C0792F" w:rsidRPr="000134E1" w:rsidRDefault="00C0792F" w:rsidP="00552539">
      <w:pPr>
        <w:pStyle w:val="Geenafstand"/>
        <w:numPr>
          <w:ilvl w:val="0"/>
          <w:numId w:val="6"/>
        </w:numPr>
        <w:jc w:val="both"/>
        <w:rPr>
          <w:sz w:val="22"/>
          <w:szCs w:val="22"/>
        </w:rPr>
      </w:pPr>
      <w:r w:rsidRPr="000134E1">
        <w:rPr>
          <w:sz w:val="22"/>
          <w:szCs w:val="22"/>
        </w:rPr>
        <w:t xml:space="preserve">Flanders’ Synergy wil de </w:t>
      </w:r>
      <w:r w:rsidR="00402BF9" w:rsidRPr="000134E1">
        <w:rPr>
          <w:sz w:val="22"/>
          <w:szCs w:val="22"/>
        </w:rPr>
        <w:t>komende</w:t>
      </w:r>
      <w:r w:rsidRPr="000134E1">
        <w:rPr>
          <w:sz w:val="22"/>
          <w:szCs w:val="22"/>
        </w:rPr>
        <w:t xml:space="preserve"> 4 ja</w:t>
      </w:r>
      <w:r w:rsidR="00402BF9" w:rsidRPr="000134E1">
        <w:rPr>
          <w:sz w:val="22"/>
          <w:szCs w:val="22"/>
        </w:rPr>
        <w:t>ar</w:t>
      </w:r>
      <w:r w:rsidRPr="000134E1">
        <w:rPr>
          <w:sz w:val="22"/>
          <w:szCs w:val="22"/>
        </w:rPr>
        <w:t xml:space="preserve"> (2013-2016) een leidende rol blijven spelen op vlak van IAO en zo bijdragen aan de uitdaging voor organisaties in Vlaanderen om meer ouderen aan het werk te houden en tegelijkertijd een aantrekkelijke werkgever te laten zijn voor vier tot vijf verschillende generaties. De focus ligt hierbij op het verder sensibiliseren van ondernemingen in Vlaanderen, het ondersteunen van ondernemingen die een verandertraject starten en het verder opbouwen van kennis en nieuwe inzichten om de innovatieve arbeidsorganisaties beter af te stemmen op specifieke behoeften van deelsectoren. </w:t>
      </w:r>
    </w:p>
    <w:p w:rsidR="000134E1" w:rsidRDefault="000134E1" w:rsidP="00552539">
      <w:pPr>
        <w:pStyle w:val="Geenafstand"/>
        <w:ind w:left="360"/>
        <w:jc w:val="both"/>
        <w:rPr>
          <w:sz w:val="22"/>
          <w:szCs w:val="22"/>
        </w:rPr>
      </w:pPr>
    </w:p>
    <w:p w:rsidR="000134E1" w:rsidRDefault="00C0792F" w:rsidP="00552539">
      <w:pPr>
        <w:pStyle w:val="Geenafstand"/>
        <w:ind w:left="360"/>
        <w:jc w:val="both"/>
        <w:rPr>
          <w:sz w:val="22"/>
          <w:szCs w:val="22"/>
        </w:rPr>
      </w:pPr>
      <w:r w:rsidRPr="000134E1">
        <w:rPr>
          <w:sz w:val="22"/>
          <w:szCs w:val="22"/>
        </w:rPr>
        <w:t xml:space="preserve">De competentiepool richt zich op alle sectoren. Er wordt samengewerkt met onder meer ondernemersorganisaties en vakbonden alsook met initiatieven die gestart zijn vanuit het beleid, zoals </w:t>
      </w:r>
      <w:proofErr w:type="spellStart"/>
      <w:r w:rsidRPr="000134E1">
        <w:rPr>
          <w:sz w:val="22"/>
          <w:szCs w:val="22"/>
        </w:rPr>
        <w:t>Flanders</w:t>
      </w:r>
      <w:proofErr w:type="spellEnd"/>
      <w:r w:rsidR="00402BF9" w:rsidRPr="000134E1">
        <w:rPr>
          <w:sz w:val="22"/>
          <w:szCs w:val="22"/>
        </w:rPr>
        <w:t>’</w:t>
      </w:r>
      <w:r w:rsidRPr="000134E1">
        <w:rPr>
          <w:sz w:val="22"/>
          <w:szCs w:val="22"/>
        </w:rPr>
        <w:t xml:space="preserve"> Care</w:t>
      </w:r>
      <w:r w:rsidR="00BC45A5">
        <w:rPr>
          <w:sz w:val="22"/>
          <w:szCs w:val="22"/>
        </w:rPr>
        <w:t xml:space="preserve"> </w:t>
      </w:r>
      <w:r w:rsidRPr="000134E1">
        <w:rPr>
          <w:sz w:val="22"/>
          <w:szCs w:val="22"/>
        </w:rPr>
        <w:t xml:space="preserve">en het </w:t>
      </w:r>
      <w:r w:rsidR="00402BF9" w:rsidRPr="000134E1">
        <w:rPr>
          <w:sz w:val="22"/>
          <w:szCs w:val="22"/>
        </w:rPr>
        <w:t>N</w:t>
      </w:r>
      <w:r w:rsidRPr="000134E1">
        <w:rPr>
          <w:sz w:val="22"/>
          <w:szCs w:val="22"/>
        </w:rPr>
        <w:t xml:space="preserve">ieuw </w:t>
      </w:r>
      <w:r w:rsidR="00402BF9" w:rsidRPr="000134E1">
        <w:rPr>
          <w:sz w:val="22"/>
          <w:szCs w:val="22"/>
        </w:rPr>
        <w:t>I</w:t>
      </w:r>
      <w:r w:rsidRPr="000134E1">
        <w:rPr>
          <w:sz w:val="22"/>
          <w:szCs w:val="22"/>
        </w:rPr>
        <w:t xml:space="preserve">ndustrieel </w:t>
      </w:r>
      <w:r w:rsidR="00402BF9" w:rsidRPr="000134E1">
        <w:rPr>
          <w:sz w:val="22"/>
          <w:szCs w:val="22"/>
        </w:rPr>
        <w:t>B</w:t>
      </w:r>
      <w:r w:rsidRPr="000134E1">
        <w:rPr>
          <w:sz w:val="22"/>
          <w:szCs w:val="22"/>
        </w:rPr>
        <w:t>eleid</w:t>
      </w:r>
      <w:r w:rsidR="00402BF9" w:rsidRPr="000134E1">
        <w:rPr>
          <w:sz w:val="22"/>
          <w:szCs w:val="22"/>
        </w:rPr>
        <w:t xml:space="preserve"> (NIB).</w:t>
      </w:r>
    </w:p>
    <w:p w:rsidR="000134E1" w:rsidRDefault="000134E1" w:rsidP="00552539">
      <w:pPr>
        <w:pStyle w:val="Geenafstand"/>
        <w:ind w:left="360"/>
        <w:jc w:val="both"/>
        <w:rPr>
          <w:sz w:val="22"/>
          <w:szCs w:val="22"/>
        </w:rPr>
      </w:pPr>
    </w:p>
    <w:p w:rsidR="00C0792F" w:rsidRPr="000134E1" w:rsidRDefault="00C0792F" w:rsidP="00552539">
      <w:pPr>
        <w:pStyle w:val="Geenafstand"/>
        <w:ind w:left="360"/>
        <w:jc w:val="both"/>
        <w:rPr>
          <w:sz w:val="22"/>
          <w:szCs w:val="22"/>
        </w:rPr>
      </w:pPr>
      <w:r w:rsidRPr="000134E1">
        <w:rPr>
          <w:sz w:val="22"/>
          <w:szCs w:val="22"/>
        </w:rPr>
        <w:t>Om de doelstellingen te bereiken</w:t>
      </w:r>
      <w:r w:rsidR="00402BF9" w:rsidRPr="000134E1">
        <w:rPr>
          <w:sz w:val="22"/>
          <w:szCs w:val="22"/>
        </w:rPr>
        <w:t>,</w:t>
      </w:r>
      <w:r w:rsidRPr="000134E1">
        <w:rPr>
          <w:sz w:val="22"/>
          <w:szCs w:val="22"/>
        </w:rPr>
        <w:t xml:space="preserve"> is binnen de basiswerking een actieplan uitgewerkt. De activiteiten vallen uiteen in 4 grote blokken: (1) promotie van de bouwstenen van IAO via intermediairen en klassieke verspreidingskanalen, (2) ondersteunen van organisaties tijdens hun verandertrajecten via informatiesessies, opleidingen</w:t>
      </w:r>
      <w:r w:rsidR="00402BF9" w:rsidRPr="000134E1">
        <w:rPr>
          <w:sz w:val="22"/>
          <w:szCs w:val="22"/>
        </w:rPr>
        <w:t xml:space="preserve"> en</w:t>
      </w:r>
      <w:r w:rsidRPr="000134E1">
        <w:rPr>
          <w:sz w:val="22"/>
          <w:szCs w:val="22"/>
        </w:rPr>
        <w:t xml:space="preserve"> organisatie van netwerkactiviteiten om ervaringen uit te wisselen, (3) kenniscreatie via effectmetingen op basis van data van uitgevoerde trajecten, initiëren en opvolgen van projecten bij kennisinstellingen zoals SBO, doctoraten en thesissen en het initiëren van vraaggedreven collectieve projecten voor de projectwerking</w:t>
      </w:r>
      <w:r w:rsidR="000134E1">
        <w:rPr>
          <w:sz w:val="22"/>
          <w:szCs w:val="22"/>
        </w:rPr>
        <w:t>,</w:t>
      </w:r>
      <w:r w:rsidRPr="000134E1">
        <w:rPr>
          <w:sz w:val="22"/>
          <w:szCs w:val="22"/>
        </w:rPr>
        <w:t xml:space="preserve"> en (4) internationalisering via een internationaal netwerk van (kennis)partners en actieve participatie van Flanders</w:t>
      </w:r>
      <w:r w:rsidR="00402BF9" w:rsidRPr="000134E1">
        <w:rPr>
          <w:sz w:val="22"/>
          <w:szCs w:val="22"/>
        </w:rPr>
        <w:t>’</w:t>
      </w:r>
      <w:r w:rsidRPr="000134E1">
        <w:rPr>
          <w:sz w:val="22"/>
          <w:szCs w:val="22"/>
        </w:rPr>
        <w:t xml:space="preserve"> Synergy in Europese projecten. </w:t>
      </w:r>
    </w:p>
    <w:p w:rsidR="00402BF9" w:rsidRPr="000134E1" w:rsidRDefault="00402BF9" w:rsidP="00552539">
      <w:pPr>
        <w:pStyle w:val="Geenafstand"/>
        <w:ind w:left="360"/>
        <w:jc w:val="both"/>
        <w:rPr>
          <w:sz w:val="22"/>
          <w:szCs w:val="22"/>
        </w:rPr>
      </w:pPr>
    </w:p>
    <w:p w:rsidR="00C0792F" w:rsidRPr="000134E1" w:rsidRDefault="00C0792F" w:rsidP="00552539">
      <w:pPr>
        <w:pStyle w:val="Geenafstand"/>
        <w:ind w:left="360"/>
        <w:jc w:val="both"/>
        <w:rPr>
          <w:sz w:val="22"/>
          <w:szCs w:val="22"/>
        </w:rPr>
      </w:pPr>
      <w:r w:rsidRPr="000134E1">
        <w:rPr>
          <w:sz w:val="22"/>
          <w:szCs w:val="22"/>
        </w:rPr>
        <w:t>Voor de projectwerking werden centrale thema’s bepaald waar prioritair op wordt gewerkt: innovatieve patiëntgerichte zorgmodellen voor de thuiszorg/ouderenzorg, langer werken met goesting, transformatie van de industrie (Fabriek van de Toekomst), een adviesnet en nieuwe arbeidsorganisaties voor dienstverlening en kenniswerkers. Deze thema’s richten zich op specifieke doelgroepen van de competentiepool. De projecten zijn van collectieve aard en er wordt gezocht naar een goede balans tussen thematische innovatiestimulering, het ontwikkelen van instrumenten en het uitvoeren van toegepast onderzoek. Er is een intense interactie voorzien tussen deze projecten om nieuwe inzichten uit te wisselen.</w:t>
      </w:r>
    </w:p>
    <w:p w:rsidR="000134E1" w:rsidRDefault="000134E1" w:rsidP="00552539">
      <w:pPr>
        <w:pStyle w:val="Geenafstand"/>
        <w:jc w:val="both"/>
        <w:rPr>
          <w:sz w:val="22"/>
          <w:szCs w:val="22"/>
        </w:rPr>
      </w:pPr>
    </w:p>
    <w:p w:rsidR="00C0792F" w:rsidRPr="000134E1" w:rsidRDefault="00C0792F" w:rsidP="00552539">
      <w:pPr>
        <w:pStyle w:val="Geenafstand"/>
        <w:numPr>
          <w:ilvl w:val="0"/>
          <w:numId w:val="6"/>
        </w:numPr>
        <w:jc w:val="both"/>
        <w:rPr>
          <w:sz w:val="22"/>
          <w:szCs w:val="22"/>
        </w:rPr>
      </w:pPr>
      <w:r w:rsidRPr="000134E1">
        <w:rPr>
          <w:sz w:val="22"/>
          <w:szCs w:val="22"/>
        </w:rPr>
        <w:t>Flanders’ Synergy en de Sociale Innovatiefabriek richten zich beide op sociale innovatie. Hierbij is het wel de bedoeling dat Flanders’ Synergy de enige competentiepool is die zich richt op innovatieve arbeidsorganisaties. De Sociale Innovatiefabriek is veel ruimer georiënteerd en richt zich op alle mogelijke opportuniteiten om via innovaties sociaal ondernemerschap</w:t>
      </w:r>
      <w:r w:rsidR="00866233">
        <w:rPr>
          <w:sz w:val="22"/>
          <w:szCs w:val="22"/>
        </w:rPr>
        <w:t xml:space="preserve"> en brede ondersteunende sociale innovatie</w:t>
      </w:r>
      <w:r w:rsidRPr="000134E1">
        <w:rPr>
          <w:sz w:val="22"/>
          <w:szCs w:val="22"/>
        </w:rPr>
        <w:t xml:space="preserve"> te promoten in Vlaanderen. Uiteraard is het mogelijk dat ook bij </w:t>
      </w:r>
      <w:r w:rsidRPr="000134E1">
        <w:rPr>
          <w:sz w:val="22"/>
          <w:szCs w:val="22"/>
        </w:rPr>
        <w:lastRenderedPageBreak/>
        <w:t>die ondernemingen (net zoals bij alle andere ondernemingen in Vlaanderen) inzichten van innovatieve arbeidsorganisaties nodig zijn. In die gevallen kan verwacht worden dat de ondernemingen vanuit de Sociale Innovatiefabriek begeleid worden naar Flanders’ Synergy. In omgekeerde richting kan ook verwacht worden dat Flanders’ Synergy ondernemingen ontmoet die ook geïnteresseerd zijn in andere aspecten van sociale innovatie begeleid naar de Sociale Innovatiefabriek.</w:t>
      </w:r>
      <w:r w:rsidR="00866233">
        <w:rPr>
          <w:sz w:val="22"/>
          <w:szCs w:val="22"/>
        </w:rPr>
        <w:t xml:space="preserve"> Eens de </w:t>
      </w:r>
      <w:r w:rsidR="008C4537">
        <w:rPr>
          <w:sz w:val="22"/>
          <w:szCs w:val="22"/>
        </w:rPr>
        <w:t>S</w:t>
      </w:r>
      <w:r w:rsidR="00866233">
        <w:rPr>
          <w:sz w:val="22"/>
          <w:szCs w:val="22"/>
        </w:rPr>
        <w:t xml:space="preserve">ociale </w:t>
      </w:r>
      <w:r w:rsidR="008C4537">
        <w:rPr>
          <w:sz w:val="22"/>
          <w:szCs w:val="22"/>
        </w:rPr>
        <w:t>I</w:t>
      </w:r>
      <w:r w:rsidR="00866233">
        <w:rPr>
          <w:sz w:val="22"/>
          <w:szCs w:val="22"/>
        </w:rPr>
        <w:t xml:space="preserve">nnovatiefabriek opgestart is wordt een overleg met </w:t>
      </w:r>
      <w:proofErr w:type="spellStart"/>
      <w:r w:rsidR="00866233">
        <w:rPr>
          <w:sz w:val="22"/>
          <w:szCs w:val="22"/>
        </w:rPr>
        <w:t>Flanders</w:t>
      </w:r>
      <w:proofErr w:type="spellEnd"/>
      <w:r w:rsidR="00866233">
        <w:rPr>
          <w:sz w:val="22"/>
          <w:szCs w:val="22"/>
        </w:rPr>
        <w:t xml:space="preserve"> </w:t>
      </w:r>
      <w:proofErr w:type="spellStart"/>
      <w:r w:rsidR="00866233">
        <w:rPr>
          <w:sz w:val="22"/>
          <w:szCs w:val="22"/>
        </w:rPr>
        <w:t>Syner</w:t>
      </w:r>
      <w:r w:rsidR="008C4537">
        <w:rPr>
          <w:sz w:val="22"/>
          <w:szCs w:val="22"/>
        </w:rPr>
        <w:t>g</w:t>
      </w:r>
      <w:r w:rsidR="00866233">
        <w:rPr>
          <w:sz w:val="22"/>
          <w:szCs w:val="22"/>
        </w:rPr>
        <w:t>y</w:t>
      </w:r>
      <w:proofErr w:type="spellEnd"/>
      <w:r w:rsidR="00866233">
        <w:rPr>
          <w:sz w:val="22"/>
          <w:szCs w:val="22"/>
        </w:rPr>
        <w:t xml:space="preserve"> georganiseerd om verdere synergieën uit te wer</w:t>
      </w:r>
      <w:bookmarkStart w:id="0" w:name="_GoBack"/>
      <w:bookmarkEnd w:id="0"/>
      <w:r w:rsidR="00866233">
        <w:rPr>
          <w:sz w:val="22"/>
          <w:szCs w:val="22"/>
        </w:rPr>
        <w:t>ken</w:t>
      </w:r>
    </w:p>
    <w:p w:rsidR="006A324D" w:rsidRPr="00C0792F" w:rsidRDefault="006A324D" w:rsidP="009976C1">
      <w:pPr>
        <w:jc w:val="both"/>
        <w:rPr>
          <w:sz w:val="22"/>
          <w:szCs w:val="22"/>
          <w:lang w:val="nl-BE"/>
        </w:rPr>
      </w:pPr>
    </w:p>
    <w:sectPr w:rsidR="006A324D" w:rsidRPr="00C0792F" w:rsidSect="00C863B0">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622"/>
    <w:multiLevelType w:val="hybridMultilevel"/>
    <w:tmpl w:val="48C28B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A66B0F"/>
    <w:multiLevelType w:val="hybridMultilevel"/>
    <w:tmpl w:val="480A2EF0"/>
    <w:lvl w:ilvl="0" w:tplc="232804B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4A512C1"/>
    <w:multiLevelType w:val="hybridMultilevel"/>
    <w:tmpl w:val="6BDC3120"/>
    <w:lvl w:ilvl="0" w:tplc="4AE21534">
      <w:start w:val="2"/>
      <w:numFmt w:val="decimal"/>
      <w:lvlText w:val="%1."/>
      <w:lvlJc w:val="left"/>
      <w:pPr>
        <w:tabs>
          <w:tab w:val="num" w:pos="720"/>
        </w:tabs>
        <w:ind w:left="720" w:hanging="360"/>
      </w:pPr>
      <w:rPr>
        <w:rFonts w:hint="default"/>
      </w:rPr>
    </w:lvl>
    <w:lvl w:ilvl="1" w:tplc="D10A1070" w:tentative="1">
      <w:start w:val="1"/>
      <w:numFmt w:val="lowerLetter"/>
      <w:lvlText w:val="%2."/>
      <w:lvlJc w:val="left"/>
      <w:pPr>
        <w:tabs>
          <w:tab w:val="num" w:pos="1440"/>
        </w:tabs>
        <w:ind w:left="1440" w:hanging="360"/>
      </w:pPr>
    </w:lvl>
    <w:lvl w:ilvl="2" w:tplc="17C2EA28" w:tentative="1">
      <w:start w:val="1"/>
      <w:numFmt w:val="lowerRoman"/>
      <w:lvlText w:val="%3."/>
      <w:lvlJc w:val="right"/>
      <w:pPr>
        <w:tabs>
          <w:tab w:val="num" w:pos="2160"/>
        </w:tabs>
        <w:ind w:left="2160" w:hanging="180"/>
      </w:pPr>
    </w:lvl>
    <w:lvl w:ilvl="3" w:tplc="BB425E70" w:tentative="1">
      <w:start w:val="1"/>
      <w:numFmt w:val="decimal"/>
      <w:lvlText w:val="%4."/>
      <w:lvlJc w:val="left"/>
      <w:pPr>
        <w:tabs>
          <w:tab w:val="num" w:pos="2880"/>
        </w:tabs>
        <w:ind w:left="2880" w:hanging="360"/>
      </w:pPr>
    </w:lvl>
    <w:lvl w:ilvl="4" w:tplc="470A9CEC" w:tentative="1">
      <w:start w:val="1"/>
      <w:numFmt w:val="lowerLetter"/>
      <w:lvlText w:val="%5."/>
      <w:lvlJc w:val="left"/>
      <w:pPr>
        <w:tabs>
          <w:tab w:val="num" w:pos="3600"/>
        </w:tabs>
        <w:ind w:left="3600" w:hanging="360"/>
      </w:pPr>
    </w:lvl>
    <w:lvl w:ilvl="5" w:tplc="B9D47B1A" w:tentative="1">
      <w:start w:val="1"/>
      <w:numFmt w:val="lowerRoman"/>
      <w:lvlText w:val="%6."/>
      <w:lvlJc w:val="right"/>
      <w:pPr>
        <w:tabs>
          <w:tab w:val="num" w:pos="4320"/>
        </w:tabs>
        <w:ind w:left="4320" w:hanging="180"/>
      </w:pPr>
    </w:lvl>
    <w:lvl w:ilvl="6" w:tplc="FB301650" w:tentative="1">
      <w:start w:val="1"/>
      <w:numFmt w:val="decimal"/>
      <w:lvlText w:val="%7."/>
      <w:lvlJc w:val="left"/>
      <w:pPr>
        <w:tabs>
          <w:tab w:val="num" w:pos="5040"/>
        </w:tabs>
        <w:ind w:left="5040" w:hanging="360"/>
      </w:pPr>
    </w:lvl>
    <w:lvl w:ilvl="7" w:tplc="5CA23446" w:tentative="1">
      <w:start w:val="1"/>
      <w:numFmt w:val="lowerLetter"/>
      <w:lvlText w:val="%8."/>
      <w:lvlJc w:val="left"/>
      <w:pPr>
        <w:tabs>
          <w:tab w:val="num" w:pos="5760"/>
        </w:tabs>
        <w:ind w:left="5760" w:hanging="360"/>
      </w:pPr>
    </w:lvl>
    <w:lvl w:ilvl="8" w:tplc="E2BE4D76" w:tentative="1">
      <w:start w:val="1"/>
      <w:numFmt w:val="lowerRoman"/>
      <w:lvlText w:val="%9."/>
      <w:lvlJc w:val="right"/>
      <w:pPr>
        <w:tabs>
          <w:tab w:val="num" w:pos="6480"/>
        </w:tabs>
        <w:ind w:left="6480" w:hanging="180"/>
      </w:pPr>
    </w:lvl>
  </w:abstractNum>
  <w:abstractNum w:abstractNumId="3">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5B2287"/>
    <w:multiLevelType w:val="hybridMultilevel"/>
    <w:tmpl w:val="CBD440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70DB5014"/>
    <w:multiLevelType w:val="hybridMultilevel"/>
    <w:tmpl w:val="0C42BBCA"/>
    <w:lvl w:ilvl="0" w:tplc="5C3E0E1A">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trackRevisions/>
  <w:documentProtection w:edit="forms" w:enforcement="0"/>
  <w:defaultTabStop w:val="708"/>
  <w:hyphenationZone w:val="425"/>
  <w:noPunctuationKerning/>
  <w:characterSpacingControl w:val="doNotCompress"/>
  <w:compat/>
  <w:rsids>
    <w:rsidRoot w:val="009E2C40"/>
    <w:rsid w:val="000134E1"/>
    <w:rsid w:val="000D1FDD"/>
    <w:rsid w:val="0010158F"/>
    <w:rsid w:val="00103D45"/>
    <w:rsid w:val="001747B4"/>
    <w:rsid w:val="001F0937"/>
    <w:rsid w:val="002D091A"/>
    <w:rsid w:val="00402BF9"/>
    <w:rsid w:val="005431C7"/>
    <w:rsid w:val="00552539"/>
    <w:rsid w:val="006A324D"/>
    <w:rsid w:val="006F7264"/>
    <w:rsid w:val="007A666B"/>
    <w:rsid w:val="007B527F"/>
    <w:rsid w:val="00866233"/>
    <w:rsid w:val="008C4537"/>
    <w:rsid w:val="008F1C47"/>
    <w:rsid w:val="009976C1"/>
    <w:rsid w:val="009E2C40"/>
    <w:rsid w:val="00AB0AA4"/>
    <w:rsid w:val="00B02248"/>
    <w:rsid w:val="00B448FA"/>
    <w:rsid w:val="00B60443"/>
    <w:rsid w:val="00BC45A5"/>
    <w:rsid w:val="00C0792F"/>
    <w:rsid w:val="00C863B0"/>
    <w:rsid w:val="00CA30A2"/>
    <w:rsid w:val="00EE7EE4"/>
    <w:rsid w:val="00F075BF"/>
    <w:rsid w:val="00FD3D6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63B0"/>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C863B0"/>
    <w:pPr>
      <w:jc w:val="both"/>
    </w:pPr>
    <w:rPr>
      <w:sz w:val="22"/>
      <w:szCs w:val="20"/>
    </w:rPr>
  </w:style>
  <w:style w:type="paragraph" w:styleId="Ballontekst">
    <w:name w:val="Balloon Text"/>
    <w:basedOn w:val="Standaard"/>
    <w:semiHidden/>
    <w:rsid w:val="00C863B0"/>
    <w:rPr>
      <w:rFonts w:ascii="Tahoma" w:hAnsi="Tahoma" w:cs="Tahoma"/>
      <w:sz w:val="16"/>
      <w:szCs w:val="16"/>
    </w:rPr>
  </w:style>
  <w:style w:type="paragraph" w:styleId="Lijstalinea">
    <w:name w:val="List Paragraph"/>
    <w:basedOn w:val="Standaard"/>
    <w:uiPriority w:val="34"/>
    <w:qFormat/>
    <w:rsid w:val="00C0792F"/>
    <w:pPr>
      <w:spacing w:after="200" w:line="276" w:lineRule="auto"/>
      <w:ind w:left="720"/>
      <w:contextualSpacing/>
    </w:pPr>
    <w:rPr>
      <w:rFonts w:asciiTheme="minorHAnsi" w:eastAsiaTheme="minorEastAsia" w:hAnsiTheme="minorHAnsi" w:cstheme="minorBidi"/>
      <w:sz w:val="22"/>
      <w:szCs w:val="22"/>
      <w:lang w:val="nl-BE" w:eastAsia="nl-BE"/>
    </w:rPr>
  </w:style>
  <w:style w:type="paragraph" w:customStyle="1" w:styleId="Default">
    <w:name w:val="Default"/>
    <w:rsid w:val="00C0792F"/>
    <w:pPr>
      <w:autoSpaceDE w:val="0"/>
      <w:autoSpaceDN w:val="0"/>
      <w:adjustRightInd w:val="0"/>
    </w:pPr>
    <w:rPr>
      <w:rFonts w:eastAsia="Calibri"/>
      <w:color w:val="000000"/>
      <w:sz w:val="24"/>
      <w:szCs w:val="24"/>
    </w:rPr>
  </w:style>
  <w:style w:type="paragraph" w:styleId="Geenafstand">
    <w:name w:val="No Spacing"/>
    <w:uiPriority w:val="1"/>
    <w:qFormat/>
    <w:rsid w:val="000134E1"/>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C0792F"/>
    <w:pPr>
      <w:spacing w:after="200" w:line="276" w:lineRule="auto"/>
      <w:ind w:left="720"/>
      <w:contextualSpacing/>
    </w:pPr>
    <w:rPr>
      <w:rFonts w:asciiTheme="minorHAnsi" w:eastAsiaTheme="minorEastAsia" w:hAnsiTheme="minorHAnsi" w:cstheme="minorBidi"/>
      <w:sz w:val="22"/>
      <w:szCs w:val="22"/>
      <w:lang w:val="nl-BE" w:eastAsia="nl-BE"/>
    </w:rPr>
  </w:style>
  <w:style w:type="paragraph" w:customStyle="1" w:styleId="Default">
    <w:name w:val="Default"/>
    <w:rsid w:val="00C0792F"/>
    <w:pPr>
      <w:autoSpaceDE w:val="0"/>
      <w:autoSpaceDN w:val="0"/>
      <w:adjustRightInd w:val="0"/>
    </w:pPr>
    <w:rPr>
      <w:rFonts w:eastAsia="Calibri"/>
      <w:color w:val="000000"/>
      <w:sz w:val="24"/>
      <w:szCs w:val="24"/>
    </w:rPr>
  </w:style>
  <w:style w:type="paragraph" w:styleId="Geenafstand">
    <w:name w:val="No Spacing"/>
    <w:uiPriority w:val="1"/>
    <w:qFormat/>
    <w:rsid w:val="000134E1"/>
    <w:rPr>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503398515">
      <w:bodyDiv w:val="1"/>
      <w:marLeft w:val="0"/>
      <w:marRight w:val="0"/>
      <w:marTop w:val="0"/>
      <w:marBottom w:val="0"/>
      <w:divBdr>
        <w:top w:val="none" w:sz="0" w:space="0" w:color="auto"/>
        <w:left w:val="none" w:sz="0" w:space="0" w:color="auto"/>
        <w:bottom w:val="none" w:sz="0" w:space="0" w:color="auto"/>
        <w:right w:val="none" w:sz="0" w:space="0" w:color="auto"/>
      </w:divBdr>
    </w:div>
    <w:div w:id="2058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20EDW_PV\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A357-F00A-4E27-96B8-BFB8162A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Schriftelijke vraag - antwoord - bijlage 3.dot</Template>
  <TotalTime>2</TotalTime>
  <Pages>3</Pages>
  <Words>986</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auwelail</cp:lastModifiedBy>
  <cp:revision>4</cp:revision>
  <cp:lastPrinted>2007-12-14T07:15:00Z</cp:lastPrinted>
  <dcterms:created xsi:type="dcterms:W3CDTF">2013-02-05T13:43:00Z</dcterms:created>
  <dcterms:modified xsi:type="dcterms:W3CDTF">2013-02-07T14:34:00Z</dcterms:modified>
</cp:coreProperties>
</file>