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8505D5">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83FE7">
        <w:rPr>
          <w:b w:val="0"/>
        </w:rPr>
        <w:t>1</w:t>
      </w:r>
      <w:r w:rsidR="00F222FC">
        <w:rPr>
          <w:b w:val="0"/>
        </w:rPr>
        <w:t>8</w:t>
      </w:r>
      <w:r w:rsidR="002D3899">
        <w:rPr>
          <w:b w:val="0"/>
        </w:rPr>
        <w:t>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F222FC">
        <w:rPr>
          <w:b w:val="0"/>
        </w:rPr>
        <w:t>15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2D3899">
        <w:rPr>
          <w:rStyle w:val="AntwoordNaamMinisterChar"/>
        </w:rPr>
        <w:t>robrecht bethuyne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97ED1" w:rsidRDefault="00497ED1" w:rsidP="00FE1D11">
      <w:pPr>
        <w:numPr>
          <w:ilvl w:val="0"/>
          <w:numId w:val="18"/>
        </w:numPr>
        <w:ind w:left="360"/>
        <w:jc w:val="both"/>
        <w:rPr>
          <w:szCs w:val="22"/>
        </w:rPr>
      </w:pPr>
      <w:r>
        <w:rPr>
          <w:szCs w:val="22"/>
        </w:rPr>
        <w:lastRenderedPageBreak/>
        <w:t>De hieronder weergegeven cijfers betreffen steeds maandgemiddelden zoals ze door de POD Maatschappelijke Integratie zijn bezorgd aan de Studiedienst van de Vlaamse Regering. Voor 2012 werden maandgemiddelden genomen gebaseerd op de eerste 7 maanden van 2012.</w:t>
      </w:r>
    </w:p>
    <w:p w:rsidR="00497ED1" w:rsidRDefault="00497ED1" w:rsidP="00497ED1">
      <w:pPr>
        <w:ind w:left="360"/>
        <w:jc w:val="both"/>
        <w:rPr>
          <w:szCs w:val="22"/>
        </w:rPr>
      </w:pPr>
    </w:p>
    <w:p w:rsidR="002D3899" w:rsidRDefault="002D3899" w:rsidP="00497ED1">
      <w:pPr>
        <w:ind w:left="360"/>
        <w:jc w:val="both"/>
        <w:rPr>
          <w:szCs w:val="22"/>
        </w:rPr>
      </w:pPr>
      <w:r>
        <w:rPr>
          <w:szCs w:val="22"/>
        </w:rPr>
        <w:t xml:space="preserve">a) het aantal </w:t>
      </w:r>
      <w:proofErr w:type="spellStart"/>
      <w:r>
        <w:rPr>
          <w:szCs w:val="22"/>
        </w:rPr>
        <w:t>leefloners</w:t>
      </w:r>
      <w:proofErr w:type="spellEnd"/>
      <w:r>
        <w:rPr>
          <w:szCs w:val="22"/>
        </w:rPr>
        <w:t xml:space="preserve"> in Vlaanderen volgens gender:</w:t>
      </w:r>
    </w:p>
    <w:p w:rsidR="002D3899" w:rsidRDefault="002D3899" w:rsidP="002D3899">
      <w:pPr>
        <w:ind w:left="360"/>
        <w:jc w:val="both"/>
        <w:rPr>
          <w:szCs w:val="22"/>
        </w:rPr>
      </w:pPr>
    </w:p>
    <w:tbl>
      <w:tblPr>
        <w:tblW w:w="4480" w:type="dxa"/>
        <w:tblInd w:w="413" w:type="dxa"/>
        <w:tblBorders>
          <w:insideV w:val="single" w:sz="4" w:space="0" w:color="auto"/>
        </w:tblBorders>
        <w:tblCellMar>
          <w:left w:w="70" w:type="dxa"/>
          <w:right w:w="70" w:type="dxa"/>
        </w:tblCellMar>
        <w:tblLook w:val="04A0" w:firstRow="1" w:lastRow="0" w:firstColumn="1" w:lastColumn="0" w:noHBand="0" w:noVBand="1"/>
      </w:tblPr>
      <w:tblGrid>
        <w:gridCol w:w="1600"/>
        <w:gridCol w:w="960"/>
        <w:gridCol w:w="960"/>
        <w:gridCol w:w="960"/>
      </w:tblGrid>
      <w:tr w:rsidR="005A16E1" w:rsidRPr="005A16E1" w:rsidTr="005A16E1">
        <w:trPr>
          <w:trHeight w:val="300"/>
        </w:trPr>
        <w:tc>
          <w:tcPr>
            <w:tcW w:w="1600" w:type="dxa"/>
            <w:shd w:val="clear" w:color="auto" w:fill="auto"/>
            <w:hideMark/>
          </w:tcPr>
          <w:p w:rsidR="005A16E1" w:rsidRPr="005A16E1" w:rsidRDefault="005A16E1" w:rsidP="005A16E1">
            <w:pPr>
              <w:rPr>
                <w:b/>
                <w:bCs/>
                <w:color w:val="000000"/>
                <w:szCs w:val="22"/>
                <w:lang w:val="nl-BE" w:eastAsia="nl-BE"/>
              </w:rPr>
            </w:pP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2010</w:t>
            </w: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2011</w:t>
            </w: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2012</w:t>
            </w:r>
          </w:p>
        </w:tc>
      </w:tr>
      <w:tr w:rsidR="005A16E1" w:rsidRPr="005A16E1" w:rsidTr="005A16E1">
        <w:trPr>
          <w:trHeight w:val="300"/>
        </w:trPr>
        <w:tc>
          <w:tcPr>
            <w:tcW w:w="160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Mannen</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10.958</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10.123</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9.942</w:t>
            </w:r>
          </w:p>
        </w:tc>
      </w:tr>
      <w:tr w:rsidR="005A16E1" w:rsidRPr="005A16E1" w:rsidTr="005A16E1">
        <w:trPr>
          <w:trHeight w:val="300"/>
        </w:trPr>
        <w:tc>
          <w:tcPr>
            <w:tcW w:w="160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Vrouwen</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14.880</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13.981</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13.487</w:t>
            </w:r>
          </w:p>
        </w:tc>
      </w:tr>
    </w:tbl>
    <w:p w:rsidR="002D3899" w:rsidRDefault="002D3899" w:rsidP="002D3899">
      <w:pPr>
        <w:ind w:left="360"/>
        <w:jc w:val="both"/>
        <w:rPr>
          <w:szCs w:val="22"/>
        </w:rPr>
      </w:pPr>
    </w:p>
    <w:p w:rsidR="002D3899" w:rsidRDefault="002D3899" w:rsidP="002D3899">
      <w:pPr>
        <w:ind w:left="360"/>
        <w:jc w:val="both"/>
        <w:rPr>
          <w:szCs w:val="22"/>
        </w:rPr>
      </w:pPr>
      <w:r>
        <w:rPr>
          <w:szCs w:val="22"/>
        </w:rPr>
        <w:t xml:space="preserve">b) het aantal </w:t>
      </w:r>
      <w:proofErr w:type="spellStart"/>
      <w:r>
        <w:rPr>
          <w:szCs w:val="22"/>
        </w:rPr>
        <w:t>leefloners</w:t>
      </w:r>
      <w:proofErr w:type="spellEnd"/>
      <w:r>
        <w:rPr>
          <w:szCs w:val="22"/>
        </w:rPr>
        <w:t xml:space="preserve"> per leeftijdscategorie:</w:t>
      </w:r>
    </w:p>
    <w:p w:rsidR="002D3899" w:rsidRDefault="002D3899" w:rsidP="002D3899">
      <w:pPr>
        <w:ind w:left="360"/>
        <w:jc w:val="both"/>
        <w:rPr>
          <w:szCs w:val="22"/>
        </w:rPr>
      </w:pPr>
    </w:p>
    <w:tbl>
      <w:tblPr>
        <w:tblW w:w="6920" w:type="dxa"/>
        <w:tblInd w:w="533" w:type="dxa"/>
        <w:tblBorders>
          <w:insideV w:val="single" w:sz="4" w:space="0" w:color="auto"/>
        </w:tblBorders>
        <w:tblCellMar>
          <w:left w:w="70" w:type="dxa"/>
          <w:right w:w="70" w:type="dxa"/>
        </w:tblCellMar>
        <w:tblLook w:val="04A0" w:firstRow="1" w:lastRow="0" w:firstColumn="1" w:lastColumn="0" w:noHBand="0" w:noVBand="1"/>
      </w:tblPr>
      <w:tblGrid>
        <w:gridCol w:w="1600"/>
        <w:gridCol w:w="960"/>
        <w:gridCol w:w="960"/>
        <w:gridCol w:w="960"/>
        <w:gridCol w:w="1480"/>
        <w:gridCol w:w="960"/>
      </w:tblGrid>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p>
        </w:tc>
        <w:tc>
          <w:tcPr>
            <w:tcW w:w="960" w:type="dxa"/>
            <w:shd w:val="clear" w:color="auto" w:fill="auto"/>
            <w:hideMark/>
          </w:tcPr>
          <w:p w:rsidR="00497ED1" w:rsidRPr="00497ED1" w:rsidRDefault="00497ED1" w:rsidP="00497ED1">
            <w:pPr>
              <w:jc w:val="right"/>
              <w:rPr>
                <w:b/>
                <w:bCs/>
                <w:color w:val="000000"/>
                <w:szCs w:val="22"/>
                <w:lang w:val="nl-BE" w:eastAsia="nl-BE"/>
              </w:rPr>
            </w:pPr>
            <w:r w:rsidRPr="00497ED1">
              <w:rPr>
                <w:b/>
                <w:bCs/>
                <w:color w:val="000000"/>
                <w:szCs w:val="22"/>
                <w:lang w:val="nl-BE" w:eastAsia="nl-BE"/>
              </w:rPr>
              <w:t>2010</w:t>
            </w:r>
          </w:p>
        </w:tc>
        <w:tc>
          <w:tcPr>
            <w:tcW w:w="960" w:type="dxa"/>
            <w:shd w:val="clear" w:color="auto" w:fill="auto"/>
            <w:hideMark/>
          </w:tcPr>
          <w:p w:rsidR="00497ED1" w:rsidRPr="00497ED1" w:rsidRDefault="00497ED1" w:rsidP="00497ED1">
            <w:pPr>
              <w:jc w:val="right"/>
              <w:rPr>
                <w:b/>
                <w:bCs/>
                <w:color w:val="000000"/>
                <w:szCs w:val="22"/>
                <w:lang w:val="nl-BE" w:eastAsia="nl-BE"/>
              </w:rPr>
            </w:pPr>
            <w:r w:rsidRPr="00497ED1">
              <w:rPr>
                <w:b/>
                <w:bCs/>
                <w:color w:val="000000"/>
                <w:szCs w:val="22"/>
                <w:lang w:val="nl-BE" w:eastAsia="nl-BE"/>
              </w:rPr>
              <w:t>2011</w:t>
            </w:r>
          </w:p>
        </w:tc>
        <w:tc>
          <w:tcPr>
            <w:tcW w:w="960" w:type="dxa"/>
            <w:shd w:val="clear" w:color="auto" w:fill="auto"/>
            <w:noWrap/>
            <w:vAlign w:val="bottom"/>
            <w:hideMark/>
          </w:tcPr>
          <w:p w:rsidR="00497ED1" w:rsidRPr="00497ED1" w:rsidRDefault="00497ED1" w:rsidP="00497ED1">
            <w:pPr>
              <w:rPr>
                <w:b/>
                <w:bCs/>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hideMark/>
          </w:tcPr>
          <w:p w:rsidR="00497ED1" w:rsidRPr="00497ED1" w:rsidRDefault="00497ED1" w:rsidP="00497ED1">
            <w:pPr>
              <w:jc w:val="right"/>
              <w:rPr>
                <w:b/>
                <w:bCs/>
                <w:color w:val="000000"/>
                <w:szCs w:val="22"/>
                <w:lang w:val="nl-BE" w:eastAsia="nl-BE"/>
              </w:rPr>
            </w:pPr>
            <w:r w:rsidRPr="00497ED1">
              <w:rPr>
                <w:b/>
                <w:bCs/>
                <w:color w:val="000000"/>
                <w:szCs w:val="22"/>
                <w:lang w:val="nl-BE" w:eastAsia="nl-BE"/>
              </w:rPr>
              <w:t>2012</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0-17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107</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101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0-17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90</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18-19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2.440</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2.195</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18-24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6.462</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20-24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4.650</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4.314</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25-44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8.985</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25-29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3.033</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2.711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45-64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6.982</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30-34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2.519</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2.424</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65+</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912</w:t>
            </w: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35-39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2.153</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2.011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40-44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2.151</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2.051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45-49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1.980</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1.871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50-54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1.782</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1.690</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55-59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1.783</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1.672</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60-64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2.345</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2.211</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65-69 jaar</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419</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406</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r w:rsidR="00497ED1" w:rsidRPr="00497ED1" w:rsidTr="00497ED1">
        <w:trPr>
          <w:trHeight w:val="300"/>
        </w:trPr>
        <w:tc>
          <w:tcPr>
            <w:tcW w:w="1600" w:type="dxa"/>
            <w:shd w:val="clear" w:color="auto" w:fill="auto"/>
            <w:hideMark/>
          </w:tcPr>
          <w:p w:rsidR="00497ED1" w:rsidRPr="00497ED1" w:rsidRDefault="00497ED1" w:rsidP="00497ED1">
            <w:pPr>
              <w:rPr>
                <w:b/>
                <w:bCs/>
                <w:color w:val="000000"/>
                <w:szCs w:val="22"/>
                <w:lang w:val="nl-BE" w:eastAsia="nl-BE"/>
              </w:rPr>
            </w:pPr>
            <w:r w:rsidRPr="00497ED1">
              <w:rPr>
                <w:b/>
                <w:bCs/>
                <w:color w:val="000000"/>
                <w:szCs w:val="22"/>
                <w:lang w:val="nl-BE" w:eastAsia="nl-BE"/>
              </w:rPr>
              <w:t>70+</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521</w:t>
            </w:r>
          </w:p>
        </w:tc>
        <w:tc>
          <w:tcPr>
            <w:tcW w:w="960" w:type="dxa"/>
            <w:shd w:val="clear" w:color="auto" w:fill="auto"/>
            <w:hideMark/>
          </w:tcPr>
          <w:p w:rsidR="00497ED1" w:rsidRPr="00497ED1" w:rsidRDefault="00497ED1" w:rsidP="00497ED1">
            <w:pPr>
              <w:jc w:val="right"/>
              <w:rPr>
                <w:color w:val="000000"/>
                <w:szCs w:val="22"/>
                <w:lang w:val="nl-BE" w:eastAsia="nl-BE"/>
              </w:rPr>
            </w:pPr>
            <w:r w:rsidRPr="00497ED1">
              <w:rPr>
                <w:color w:val="000000"/>
                <w:szCs w:val="22"/>
                <w:lang w:val="nl-BE" w:eastAsia="nl-BE"/>
              </w:rPr>
              <w:t>486</w:t>
            </w:r>
          </w:p>
        </w:tc>
        <w:tc>
          <w:tcPr>
            <w:tcW w:w="960" w:type="dxa"/>
            <w:shd w:val="clear" w:color="auto" w:fill="auto"/>
            <w:noWrap/>
            <w:vAlign w:val="bottom"/>
            <w:hideMark/>
          </w:tcPr>
          <w:p w:rsidR="00497ED1" w:rsidRPr="00497ED1" w:rsidRDefault="00497ED1" w:rsidP="00497ED1">
            <w:pPr>
              <w:rPr>
                <w:color w:val="000000"/>
                <w:szCs w:val="22"/>
                <w:lang w:val="nl-BE" w:eastAsia="nl-BE"/>
              </w:rPr>
            </w:pPr>
          </w:p>
        </w:tc>
        <w:tc>
          <w:tcPr>
            <w:tcW w:w="1480" w:type="dxa"/>
            <w:shd w:val="clear" w:color="auto" w:fill="auto"/>
            <w:noWrap/>
            <w:vAlign w:val="bottom"/>
            <w:hideMark/>
          </w:tcPr>
          <w:p w:rsidR="00497ED1" w:rsidRPr="00497ED1" w:rsidRDefault="00497ED1" w:rsidP="00497ED1">
            <w:pPr>
              <w:rPr>
                <w:b/>
                <w:bCs/>
                <w:color w:val="000000"/>
                <w:szCs w:val="22"/>
                <w:lang w:val="nl-BE" w:eastAsia="nl-BE"/>
              </w:rPr>
            </w:pPr>
          </w:p>
        </w:tc>
        <w:tc>
          <w:tcPr>
            <w:tcW w:w="960" w:type="dxa"/>
            <w:shd w:val="clear" w:color="auto" w:fill="auto"/>
            <w:noWrap/>
            <w:vAlign w:val="bottom"/>
            <w:hideMark/>
          </w:tcPr>
          <w:p w:rsidR="00497ED1" w:rsidRPr="00497ED1" w:rsidRDefault="00497ED1" w:rsidP="00497ED1">
            <w:pPr>
              <w:rPr>
                <w:color w:val="000000"/>
                <w:szCs w:val="22"/>
                <w:lang w:val="nl-BE" w:eastAsia="nl-BE"/>
              </w:rPr>
            </w:pPr>
          </w:p>
        </w:tc>
      </w:tr>
    </w:tbl>
    <w:p w:rsidR="002D3899" w:rsidRPr="00497ED1" w:rsidRDefault="002D3899" w:rsidP="002D3899">
      <w:pPr>
        <w:ind w:left="360"/>
        <w:jc w:val="both"/>
        <w:rPr>
          <w:szCs w:val="22"/>
        </w:rPr>
      </w:pPr>
    </w:p>
    <w:p w:rsidR="002D3899" w:rsidRDefault="002D3899" w:rsidP="002D3899">
      <w:pPr>
        <w:ind w:left="360"/>
        <w:jc w:val="both"/>
        <w:rPr>
          <w:szCs w:val="22"/>
        </w:rPr>
      </w:pPr>
      <w:r>
        <w:rPr>
          <w:szCs w:val="22"/>
        </w:rPr>
        <w:t xml:space="preserve">c) het aantal </w:t>
      </w:r>
      <w:proofErr w:type="spellStart"/>
      <w:r>
        <w:rPr>
          <w:szCs w:val="22"/>
        </w:rPr>
        <w:t>leefloners</w:t>
      </w:r>
      <w:proofErr w:type="spellEnd"/>
      <w:r>
        <w:rPr>
          <w:szCs w:val="22"/>
        </w:rPr>
        <w:t xml:space="preserve"> per provincie:</w:t>
      </w:r>
    </w:p>
    <w:p w:rsidR="002E41D9" w:rsidRDefault="002E41D9" w:rsidP="002D3899">
      <w:pPr>
        <w:ind w:left="360"/>
        <w:jc w:val="both"/>
        <w:rPr>
          <w:szCs w:val="22"/>
        </w:rPr>
      </w:pPr>
    </w:p>
    <w:tbl>
      <w:tblPr>
        <w:tblW w:w="5340" w:type="dxa"/>
        <w:tblInd w:w="428" w:type="dxa"/>
        <w:tblBorders>
          <w:insideV w:val="single" w:sz="4" w:space="0" w:color="auto"/>
        </w:tblBorders>
        <w:tblCellMar>
          <w:left w:w="70" w:type="dxa"/>
          <w:right w:w="70" w:type="dxa"/>
        </w:tblCellMar>
        <w:tblLook w:val="04A0" w:firstRow="1" w:lastRow="0" w:firstColumn="1" w:lastColumn="0" w:noHBand="0" w:noVBand="1"/>
      </w:tblPr>
      <w:tblGrid>
        <w:gridCol w:w="2460"/>
        <w:gridCol w:w="960"/>
        <w:gridCol w:w="960"/>
        <w:gridCol w:w="960"/>
      </w:tblGrid>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2010</w:t>
            </w: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2011</w:t>
            </w:r>
          </w:p>
        </w:tc>
        <w:tc>
          <w:tcPr>
            <w:tcW w:w="960" w:type="dxa"/>
            <w:shd w:val="clear" w:color="auto" w:fill="auto"/>
            <w:hideMark/>
          </w:tcPr>
          <w:p w:rsidR="005A16E1" w:rsidRPr="005A16E1" w:rsidRDefault="005A16E1" w:rsidP="005A16E1">
            <w:pPr>
              <w:jc w:val="right"/>
              <w:rPr>
                <w:b/>
                <w:bCs/>
                <w:color w:val="000000"/>
                <w:szCs w:val="22"/>
                <w:lang w:val="nl-BE" w:eastAsia="nl-BE"/>
              </w:rPr>
            </w:pPr>
            <w:r w:rsidRPr="005A16E1">
              <w:rPr>
                <w:b/>
                <w:bCs/>
                <w:color w:val="000000"/>
                <w:szCs w:val="22"/>
                <w:lang w:val="nl-BE" w:eastAsia="nl-BE"/>
              </w:rPr>
              <w:t>2012</w:t>
            </w:r>
          </w:p>
        </w:tc>
      </w:tr>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 xml:space="preserve">Antwerpen </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8.304</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7.632</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7.521</w:t>
            </w:r>
          </w:p>
        </w:tc>
      </w:tr>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Limburg</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2.056</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1.957</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1.941</w:t>
            </w:r>
          </w:p>
        </w:tc>
      </w:tr>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Oost-Vlaanderen</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8.365</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7.761</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7.190</w:t>
            </w:r>
          </w:p>
        </w:tc>
      </w:tr>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Vlaams-Brabant</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3.151</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3.029</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3.006</w:t>
            </w:r>
          </w:p>
        </w:tc>
      </w:tr>
      <w:tr w:rsidR="005A16E1" w:rsidRPr="005A16E1" w:rsidTr="005A16E1">
        <w:trPr>
          <w:trHeight w:val="300"/>
        </w:trPr>
        <w:tc>
          <w:tcPr>
            <w:tcW w:w="2460" w:type="dxa"/>
            <w:shd w:val="clear" w:color="auto" w:fill="auto"/>
            <w:hideMark/>
          </w:tcPr>
          <w:p w:rsidR="005A16E1" w:rsidRPr="005A16E1" w:rsidRDefault="005A16E1" w:rsidP="005A16E1">
            <w:pPr>
              <w:rPr>
                <w:b/>
                <w:bCs/>
                <w:color w:val="000000"/>
                <w:szCs w:val="22"/>
                <w:lang w:val="nl-BE" w:eastAsia="nl-BE"/>
              </w:rPr>
            </w:pPr>
            <w:r w:rsidRPr="005A16E1">
              <w:rPr>
                <w:b/>
                <w:bCs/>
                <w:color w:val="000000"/>
                <w:szCs w:val="22"/>
                <w:lang w:val="nl-BE" w:eastAsia="nl-BE"/>
              </w:rPr>
              <w:t>West-Vlaanderen</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3.962</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3.725</w:t>
            </w:r>
          </w:p>
        </w:tc>
        <w:tc>
          <w:tcPr>
            <w:tcW w:w="960" w:type="dxa"/>
            <w:shd w:val="clear" w:color="auto" w:fill="auto"/>
            <w:hideMark/>
          </w:tcPr>
          <w:p w:rsidR="005A16E1" w:rsidRPr="005A16E1" w:rsidRDefault="005A16E1" w:rsidP="005A16E1">
            <w:pPr>
              <w:jc w:val="right"/>
              <w:rPr>
                <w:color w:val="000000"/>
                <w:szCs w:val="22"/>
                <w:lang w:val="nl-BE" w:eastAsia="nl-BE"/>
              </w:rPr>
            </w:pPr>
            <w:r w:rsidRPr="005A16E1">
              <w:rPr>
                <w:color w:val="000000"/>
                <w:szCs w:val="22"/>
                <w:lang w:val="nl-BE" w:eastAsia="nl-BE"/>
              </w:rPr>
              <w:t>3.772</w:t>
            </w:r>
          </w:p>
        </w:tc>
      </w:tr>
    </w:tbl>
    <w:p w:rsidR="002E41D9" w:rsidRDefault="002E41D9" w:rsidP="00FE1D11">
      <w:pPr>
        <w:ind w:left="360"/>
        <w:jc w:val="both"/>
        <w:rPr>
          <w:szCs w:val="22"/>
        </w:rPr>
      </w:pPr>
    </w:p>
    <w:p w:rsidR="00F222FC" w:rsidRPr="005A16E1" w:rsidRDefault="00D345DD" w:rsidP="00D345DD">
      <w:pPr>
        <w:pStyle w:val="Lijstalinea"/>
        <w:ind w:left="426" w:hanging="426"/>
        <w:jc w:val="both"/>
        <w:rPr>
          <w:szCs w:val="22"/>
        </w:rPr>
      </w:pPr>
      <w:r>
        <w:rPr>
          <w:szCs w:val="22"/>
        </w:rPr>
        <w:t>2-6.</w:t>
      </w:r>
      <w:r>
        <w:rPr>
          <w:szCs w:val="22"/>
        </w:rPr>
        <w:tab/>
      </w:r>
      <w:bookmarkStart w:id="6" w:name="_GoBack"/>
      <w:bookmarkEnd w:id="6"/>
      <w:r w:rsidR="005A16E1" w:rsidRPr="008505D5">
        <w:rPr>
          <w:szCs w:val="22"/>
        </w:rPr>
        <w:t>De door de volksvertegenwoordiger gevraagde cijfers zijn binnen de Vlaamse overheid niet beschikbaar. Mogelijks zijn deze gegevens wel beschikbaar bij de POD Maatschappelijke Integratie.</w:t>
      </w:r>
    </w:p>
    <w:sectPr w:rsidR="00F222FC" w:rsidRPr="005A16E1"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5B" w:rsidRDefault="00D8585B">
      <w:r>
        <w:separator/>
      </w:r>
    </w:p>
  </w:endnote>
  <w:endnote w:type="continuationSeparator" w:id="0">
    <w:p w:rsidR="00D8585B" w:rsidRDefault="00D8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5B" w:rsidRDefault="00D8585B">
      <w:r>
        <w:separator/>
      </w:r>
    </w:p>
  </w:footnote>
  <w:footnote w:type="continuationSeparator" w:id="0">
    <w:p w:rsidR="00D8585B" w:rsidRDefault="00D8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4420F33"/>
    <w:multiLevelType w:val="hybridMultilevel"/>
    <w:tmpl w:val="97B2252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F904A58"/>
    <w:multiLevelType w:val="hybridMultilevel"/>
    <w:tmpl w:val="83607D7C"/>
    <w:lvl w:ilvl="0" w:tplc="0813000F">
      <w:start w:val="5"/>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40462F0"/>
    <w:multiLevelType w:val="hybridMultilevel"/>
    <w:tmpl w:val="A36E51E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E7D6FC3"/>
    <w:multiLevelType w:val="hybridMultilevel"/>
    <w:tmpl w:val="4BDEDA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4"/>
  </w:num>
  <w:num w:numId="5">
    <w:abstractNumId w:val="17"/>
  </w:num>
  <w:num w:numId="6">
    <w:abstractNumId w:val="15"/>
  </w:num>
  <w:num w:numId="7">
    <w:abstractNumId w:val="0"/>
  </w:num>
  <w:num w:numId="8">
    <w:abstractNumId w:val="2"/>
  </w:num>
  <w:num w:numId="9">
    <w:abstractNumId w:val="14"/>
  </w:num>
  <w:num w:numId="10">
    <w:abstractNumId w:val="9"/>
  </w:num>
  <w:num w:numId="11">
    <w:abstractNumId w:val="12"/>
  </w:num>
  <w:num w:numId="12">
    <w:abstractNumId w:val="8"/>
  </w:num>
  <w:num w:numId="13">
    <w:abstractNumId w:val="6"/>
  </w:num>
  <w:num w:numId="14">
    <w:abstractNumId w:val="10"/>
  </w:num>
  <w:num w:numId="15">
    <w:abstractNumId w:val="7"/>
  </w:num>
  <w:num w:numId="16">
    <w:abstractNumId w:val="5"/>
  </w:num>
  <w:num w:numId="17">
    <w:abstractNumId w:val="1"/>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EC"/>
    <w:rsid w:val="00017A38"/>
    <w:rsid w:val="0002649B"/>
    <w:rsid w:val="000402DE"/>
    <w:rsid w:val="00050DEC"/>
    <w:rsid w:val="00084366"/>
    <w:rsid w:val="0009102B"/>
    <w:rsid w:val="000976E9"/>
    <w:rsid w:val="000B43B3"/>
    <w:rsid w:val="000C4E8C"/>
    <w:rsid w:val="000C7C6C"/>
    <w:rsid w:val="000F3532"/>
    <w:rsid w:val="000F5552"/>
    <w:rsid w:val="00101681"/>
    <w:rsid w:val="00115735"/>
    <w:rsid w:val="00126CC3"/>
    <w:rsid w:val="00174411"/>
    <w:rsid w:val="001867E7"/>
    <w:rsid w:val="001A654E"/>
    <w:rsid w:val="001C211C"/>
    <w:rsid w:val="00210C07"/>
    <w:rsid w:val="00250C88"/>
    <w:rsid w:val="0025145A"/>
    <w:rsid w:val="00263A8F"/>
    <w:rsid w:val="002648D4"/>
    <w:rsid w:val="002812CD"/>
    <w:rsid w:val="00283FE7"/>
    <w:rsid w:val="00291F05"/>
    <w:rsid w:val="002A27A5"/>
    <w:rsid w:val="002D3899"/>
    <w:rsid w:val="002E41D9"/>
    <w:rsid w:val="00316596"/>
    <w:rsid w:val="00326A58"/>
    <w:rsid w:val="00340BDC"/>
    <w:rsid w:val="00355B81"/>
    <w:rsid w:val="00394054"/>
    <w:rsid w:val="003B45FE"/>
    <w:rsid w:val="003D7B9E"/>
    <w:rsid w:val="003F5ED2"/>
    <w:rsid w:val="004037CA"/>
    <w:rsid w:val="00403E9A"/>
    <w:rsid w:val="00421318"/>
    <w:rsid w:val="00422BB7"/>
    <w:rsid w:val="004337D3"/>
    <w:rsid w:val="00451B61"/>
    <w:rsid w:val="004545D6"/>
    <w:rsid w:val="004777FD"/>
    <w:rsid w:val="00497ED1"/>
    <w:rsid w:val="004C554A"/>
    <w:rsid w:val="004D00C7"/>
    <w:rsid w:val="004E6F83"/>
    <w:rsid w:val="0050163F"/>
    <w:rsid w:val="00502A6F"/>
    <w:rsid w:val="00526536"/>
    <w:rsid w:val="00572762"/>
    <w:rsid w:val="005A16E1"/>
    <w:rsid w:val="005A5E23"/>
    <w:rsid w:val="005C4E46"/>
    <w:rsid w:val="005E1E9A"/>
    <w:rsid w:val="005E38CA"/>
    <w:rsid w:val="005E7572"/>
    <w:rsid w:val="005F09EF"/>
    <w:rsid w:val="006454B2"/>
    <w:rsid w:val="006563FB"/>
    <w:rsid w:val="006640D2"/>
    <w:rsid w:val="006717AF"/>
    <w:rsid w:val="0067306B"/>
    <w:rsid w:val="00683DC3"/>
    <w:rsid w:val="006B3EE5"/>
    <w:rsid w:val="006B7A39"/>
    <w:rsid w:val="006E223F"/>
    <w:rsid w:val="00703E55"/>
    <w:rsid w:val="0071248C"/>
    <w:rsid w:val="00715E0D"/>
    <w:rsid w:val="007252C7"/>
    <w:rsid w:val="00765FE2"/>
    <w:rsid w:val="00766407"/>
    <w:rsid w:val="007902C7"/>
    <w:rsid w:val="00796356"/>
    <w:rsid w:val="007A07CF"/>
    <w:rsid w:val="007C007C"/>
    <w:rsid w:val="007F0C63"/>
    <w:rsid w:val="007F6352"/>
    <w:rsid w:val="00800EE1"/>
    <w:rsid w:val="00822F1B"/>
    <w:rsid w:val="008356C7"/>
    <w:rsid w:val="00837915"/>
    <w:rsid w:val="008505D5"/>
    <w:rsid w:val="00864305"/>
    <w:rsid w:val="00884FA1"/>
    <w:rsid w:val="008860F8"/>
    <w:rsid w:val="00887F9E"/>
    <w:rsid w:val="008D5DB4"/>
    <w:rsid w:val="0090401E"/>
    <w:rsid w:val="00905982"/>
    <w:rsid w:val="00921BFC"/>
    <w:rsid w:val="009347E0"/>
    <w:rsid w:val="009455AD"/>
    <w:rsid w:val="00952C2D"/>
    <w:rsid w:val="00976F3C"/>
    <w:rsid w:val="00987BBD"/>
    <w:rsid w:val="009A11AA"/>
    <w:rsid w:val="009D7043"/>
    <w:rsid w:val="009F0511"/>
    <w:rsid w:val="00A04E1C"/>
    <w:rsid w:val="00A22807"/>
    <w:rsid w:val="00A2736D"/>
    <w:rsid w:val="00A64695"/>
    <w:rsid w:val="00A86C48"/>
    <w:rsid w:val="00AC19C1"/>
    <w:rsid w:val="00AC4E76"/>
    <w:rsid w:val="00AE721D"/>
    <w:rsid w:val="00AF6BEF"/>
    <w:rsid w:val="00B14702"/>
    <w:rsid w:val="00B246FE"/>
    <w:rsid w:val="00B45EB2"/>
    <w:rsid w:val="00B55E0E"/>
    <w:rsid w:val="00B915D2"/>
    <w:rsid w:val="00BE425A"/>
    <w:rsid w:val="00BF330F"/>
    <w:rsid w:val="00C00755"/>
    <w:rsid w:val="00C17BAF"/>
    <w:rsid w:val="00C26239"/>
    <w:rsid w:val="00C57362"/>
    <w:rsid w:val="00C70531"/>
    <w:rsid w:val="00C74131"/>
    <w:rsid w:val="00C7570D"/>
    <w:rsid w:val="00C77630"/>
    <w:rsid w:val="00C91441"/>
    <w:rsid w:val="00C92969"/>
    <w:rsid w:val="00C95EE0"/>
    <w:rsid w:val="00CA50F3"/>
    <w:rsid w:val="00CA6539"/>
    <w:rsid w:val="00CC532C"/>
    <w:rsid w:val="00CE4D99"/>
    <w:rsid w:val="00D04FBF"/>
    <w:rsid w:val="00D10499"/>
    <w:rsid w:val="00D249A8"/>
    <w:rsid w:val="00D345DD"/>
    <w:rsid w:val="00D549F3"/>
    <w:rsid w:val="00D65CEC"/>
    <w:rsid w:val="00D71D99"/>
    <w:rsid w:val="00D754F2"/>
    <w:rsid w:val="00D8585B"/>
    <w:rsid w:val="00D86F22"/>
    <w:rsid w:val="00DB41C0"/>
    <w:rsid w:val="00DC2940"/>
    <w:rsid w:val="00DC4DB6"/>
    <w:rsid w:val="00DD0684"/>
    <w:rsid w:val="00DF23EB"/>
    <w:rsid w:val="00E26FA5"/>
    <w:rsid w:val="00E55200"/>
    <w:rsid w:val="00E80CC0"/>
    <w:rsid w:val="00E85C8D"/>
    <w:rsid w:val="00E87350"/>
    <w:rsid w:val="00EA32C7"/>
    <w:rsid w:val="00EB4635"/>
    <w:rsid w:val="00EC59DD"/>
    <w:rsid w:val="00ED30BF"/>
    <w:rsid w:val="00ED4D74"/>
    <w:rsid w:val="00ED7E4D"/>
    <w:rsid w:val="00F222FC"/>
    <w:rsid w:val="00F262A3"/>
    <w:rsid w:val="00F608EE"/>
    <w:rsid w:val="00F826BA"/>
    <w:rsid w:val="00F85CC6"/>
    <w:rsid w:val="00FA29D6"/>
    <w:rsid w:val="00FD5BF4"/>
    <w:rsid w:val="00FE1D11"/>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502A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0F5552"/>
    <w:rPr>
      <w:vertAlign w:val="superscript"/>
    </w:rPr>
  </w:style>
  <w:style w:type="character" w:styleId="Hyperlink">
    <w:name w:val="Hyperlink"/>
    <w:basedOn w:val="Standaardalinea-lettertype"/>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customStyle="1" w:styleId="Char">
    <w:name w:val="Char"/>
    <w:basedOn w:val="Standaard"/>
    <w:rsid w:val="00403E9A"/>
    <w:pPr>
      <w:keepLines/>
      <w:pBdr>
        <w:top w:val="single" w:sz="4" w:space="1" w:color="auto"/>
      </w:pBdr>
      <w:spacing w:before="480"/>
      <w:jc w:val="both"/>
    </w:pPr>
    <w:rPr>
      <w:i/>
      <w:iCs/>
      <w:snapToGrid w:val="0"/>
      <w:sz w:val="24"/>
      <w:lang w:val="fr-FR" w:eastAsia="en-GB"/>
    </w:rPr>
  </w:style>
  <w:style w:type="paragraph" w:styleId="Lijstalinea">
    <w:name w:val="List Paragraph"/>
    <w:basedOn w:val="Standaard"/>
    <w:uiPriority w:val="34"/>
    <w:qFormat/>
    <w:rsid w:val="00502A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862">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494952996">
      <w:bodyDiv w:val="1"/>
      <w:marLeft w:val="0"/>
      <w:marRight w:val="0"/>
      <w:marTop w:val="0"/>
      <w:marBottom w:val="0"/>
      <w:divBdr>
        <w:top w:val="none" w:sz="0" w:space="0" w:color="auto"/>
        <w:left w:val="none" w:sz="0" w:space="0" w:color="auto"/>
        <w:bottom w:val="none" w:sz="0" w:space="0" w:color="auto"/>
        <w:right w:val="none" w:sz="0" w:space="0" w:color="auto"/>
      </w:divBdr>
    </w:div>
    <w:div w:id="1596478473">
      <w:bodyDiv w:val="1"/>
      <w:marLeft w:val="0"/>
      <w:marRight w:val="0"/>
      <w:marTop w:val="0"/>
      <w:marBottom w:val="0"/>
      <w:divBdr>
        <w:top w:val="none" w:sz="0" w:space="0" w:color="auto"/>
        <w:left w:val="none" w:sz="0" w:space="0" w:color="auto"/>
        <w:bottom w:val="none" w:sz="0" w:space="0" w:color="auto"/>
        <w:right w:val="none" w:sz="0" w:space="0" w:color="auto"/>
      </w:divBdr>
    </w:div>
    <w:div w:id="1624726752">
      <w:bodyDiv w:val="1"/>
      <w:marLeft w:val="0"/>
      <w:marRight w:val="0"/>
      <w:marTop w:val="0"/>
      <w:marBottom w:val="0"/>
      <w:divBdr>
        <w:top w:val="none" w:sz="0" w:space="0" w:color="auto"/>
        <w:left w:val="none" w:sz="0" w:space="0" w:color="auto"/>
        <w:bottom w:val="none" w:sz="0" w:space="0" w:color="auto"/>
        <w:right w:val="none" w:sz="0" w:space="0" w:color="auto"/>
      </w:divBdr>
    </w:div>
    <w:div w:id="1821968728">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64580297">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 w:id="20731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jablonen\Sjabloon%20antwoor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antwoord</Template>
  <TotalTime>1</TotalTime>
  <Pages>1</Pages>
  <Words>205</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Verleyda</dc:creator>
  <cp:lastModifiedBy>Nathalie De Keyzer</cp:lastModifiedBy>
  <cp:revision>3</cp:revision>
  <cp:lastPrinted>2013-01-31T12:20:00Z</cp:lastPrinted>
  <dcterms:created xsi:type="dcterms:W3CDTF">2013-01-31T12:47:00Z</dcterms:created>
  <dcterms:modified xsi:type="dcterms:W3CDTF">2013-02-05T14:05:00Z</dcterms:modified>
</cp:coreProperties>
</file>