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B" w:rsidRDefault="00AD191B" w:rsidP="00AD191B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AD191B" w:rsidRDefault="00AD191B" w:rsidP="00AD191B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AD191B" w:rsidRDefault="00AD191B" w:rsidP="00AD191B">
      <w:pPr>
        <w:pBdr>
          <w:bottom w:val="single" w:sz="4" w:space="1" w:color="auto"/>
        </w:pBdr>
        <w:rPr>
          <w:sz w:val="22"/>
        </w:rPr>
      </w:pPr>
    </w:p>
    <w:p w:rsidR="00AD191B" w:rsidRDefault="00AD191B" w:rsidP="00AD191B">
      <w:pPr>
        <w:rPr>
          <w:sz w:val="22"/>
        </w:rPr>
      </w:pPr>
    </w:p>
    <w:p w:rsidR="00AD191B" w:rsidRPr="00103D45" w:rsidRDefault="00AD191B" w:rsidP="00AD191B">
      <w:pPr>
        <w:rPr>
          <w:b/>
          <w:smallCaps/>
          <w:sz w:val="22"/>
          <w:szCs w:val="22"/>
        </w:rPr>
      </w:pPr>
      <w:r w:rsidRPr="00103D45">
        <w:rPr>
          <w:b/>
          <w:smallCaps/>
          <w:sz w:val="22"/>
          <w:szCs w:val="22"/>
        </w:rPr>
        <w:t>antwoord</w:t>
      </w:r>
    </w:p>
    <w:p w:rsidR="00AD191B" w:rsidRPr="00103D45" w:rsidRDefault="00AD191B" w:rsidP="00AD191B">
      <w:pPr>
        <w:rPr>
          <w:sz w:val="22"/>
          <w:szCs w:val="22"/>
        </w:rPr>
      </w:pPr>
      <w:r w:rsidRPr="00103D45">
        <w:rPr>
          <w:sz w:val="22"/>
          <w:szCs w:val="22"/>
        </w:rPr>
        <w:t xml:space="preserve">op vraag nr. </w:t>
      </w:r>
      <w:r>
        <w:rPr>
          <w:sz w:val="22"/>
        </w:rPr>
        <w:t>130</w:t>
      </w:r>
      <w:r w:rsidRPr="00103D45">
        <w:rPr>
          <w:sz w:val="22"/>
          <w:szCs w:val="22"/>
        </w:rPr>
        <w:t xml:space="preserve"> van </w:t>
      </w:r>
      <w:r>
        <w:rPr>
          <w:sz w:val="22"/>
        </w:rPr>
        <w:t>21 december 2012</w:t>
      </w:r>
    </w:p>
    <w:p w:rsidR="00AD191B" w:rsidRDefault="00AD191B" w:rsidP="00AD191B">
      <w:pPr>
        <w:rPr>
          <w:sz w:val="22"/>
        </w:rPr>
      </w:pPr>
      <w:r w:rsidRPr="00103D45">
        <w:rPr>
          <w:sz w:val="22"/>
          <w:szCs w:val="22"/>
        </w:rPr>
        <w:t xml:space="preserve">van </w:t>
      </w:r>
      <w:r>
        <w:rPr>
          <w:b/>
          <w:smallCaps/>
        </w:rPr>
        <w:t>lode vereeck</w:t>
      </w:r>
    </w:p>
    <w:p w:rsidR="00AD191B" w:rsidRDefault="00AD191B" w:rsidP="00AD191B">
      <w:pPr>
        <w:pBdr>
          <w:bottom w:val="single" w:sz="4" w:space="1" w:color="auto"/>
        </w:pBdr>
        <w:jc w:val="both"/>
        <w:rPr>
          <w:sz w:val="22"/>
        </w:rPr>
      </w:pPr>
    </w:p>
    <w:p w:rsidR="00AD191B" w:rsidRPr="00FD3D60" w:rsidRDefault="00AD191B" w:rsidP="00DF2E3F">
      <w:pPr>
        <w:rPr>
          <w:sz w:val="22"/>
          <w:szCs w:val="22"/>
        </w:rPr>
      </w:pPr>
    </w:p>
    <w:p w:rsidR="00AD191B" w:rsidRDefault="00AD191B" w:rsidP="00DF2E3F">
      <w:pPr>
        <w:pStyle w:val="StandaardSV"/>
        <w:jc w:val="left"/>
      </w:pPr>
    </w:p>
    <w:p w:rsidR="001C5D1A" w:rsidRDefault="00DC6053" w:rsidP="00417ACA">
      <w:pPr>
        <w:pStyle w:val="StandaardSV"/>
        <w:numPr>
          <w:ilvl w:val="0"/>
          <w:numId w:val="25"/>
        </w:numPr>
      </w:pPr>
      <w:r>
        <w:t>O</w:t>
      </w:r>
      <w:r w:rsidR="001C5D1A">
        <w:t>verzicht</w:t>
      </w:r>
      <w:r>
        <w:t xml:space="preserve"> van de begrote ontvangsten (hierbij </w:t>
      </w:r>
      <w:r w:rsidR="001C5D1A">
        <w:t xml:space="preserve">is </w:t>
      </w:r>
      <w:r w:rsidR="001C5D1A" w:rsidRPr="00BD7812">
        <w:t>nog geen rekening gehouden</w:t>
      </w:r>
      <w:r w:rsidR="001C5D1A">
        <w:t xml:space="preserve"> met mogelijke overschotten </w:t>
      </w:r>
      <w:r w:rsidR="00BD7812">
        <w:t xml:space="preserve">n.a.v. de afsluiting van het </w:t>
      </w:r>
      <w:r w:rsidR="001C5D1A">
        <w:t>begrotingsjaar 2012</w:t>
      </w:r>
      <w:r>
        <w:t>)</w:t>
      </w:r>
      <w:r w:rsidR="00AD191B">
        <w:t>:</w:t>
      </w:r>
    </w:p>
    <w:p w:rsidR="001C5D1A" w:rsidRDefault="001C5D1A" w:rsidP="00DF2E3F">
      <w:pPr>
        <w:pStyle w:val="StandaardSV"/>
        <w:jc w:val="lef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9"/>
        <w:gridCol w:w="2514"/>
      </w:tblGrid>
      <w:tr w:rsidR="00090C62" w:rsidRPr="00A36464" w:rsidTr="00E810E9">
        <w:trPr>
          <w:trHeight w:val="70"/>
        </w:trPr>
        <w:tc>
          <w:tcPr>
            <w:tcW w:w="6219" w:type="dxa"/>
          </w:tcPr>
          <w:p w:rsidR="00AD191B" w:rsidRDefault="00090C62" w:rsidP="00AD191B">
            <w:pPr>
              <w:ind w:right="284"/>
              <w:rPr>
                <w:i/>
                <w:color w:val="333331"/>
                <w:sz w:val="22"/>
                <w:szCs w:val="22"/>
                <w:lang w:eastAsia="nl-BE"/>
              </w:rPr>
            </w:pPr>
            <w:r w:rsidRPr="00A36464">
              <w:rPr>
                <w:i/>
                <w:color w:val="333331"/>
                <w:sz w:val="22"/>
                <w:szCs w:val="22"/>
                <w:lang w:eastAsia="nl-BE"/>
              </w:rPr>
              <w:t>Kredietlijnen op basis van de reguliere uitgavenbegroting</w:t>
            </w:r>
          </w:p>
          <w:p w:rsidR="00090C62" w:rsidRPr="00A36464" w:rsidRDefault="00AD191B" w:rsidP="00AD191B">
            <w:pPr>
              <w:ind w:right="284"/>
              <w:rPr>
                <w:color w:val="333331"/>
                <w:szCs w:val="22"/>
                <w:lang w:eastAsia="nl-BE"/>
              </w:rPr>
            </w:pPr>
            <w:r>
              <w:rPr>
                <w:i/>
                <w:color w:val="333331"/>
                <w:sz w:val="22"/>
                <w:szCs w:val="22"/>
                <w:lang w:eastAsia="nl-BE"/>
              </w:rPr>
              <w:t>(</w:t>
            </w:r>
            <w:r w:rsidR="00090C62">
              <w:rPr>
                <w:i/>
                <w:color w:val="333331"/>
                <w:sz w:val="22"/>
                <w:szCs w:val="22"/>
                <w:lang w:eastAsia="nl-BE"/>
              </w:rPr>
              <w:t>BO 2013</w:t>
            </w:r>
            <w:r>
              <w:rPr>
                <w:i/>
                <w:color w:val="333331"/>
                <w:sz w:val="22"/>
                <w:szCs w:val="22"/>
                <w:lang w:eastAsia="nl-BE"/>
              </w:rPr>
              <w:t>)</w:t>
            </w:r>
          </w:p>
        </w:tc>
        <w:tc>
          <w:tcPr>
            <w:tcW w:w="2514" w:type="dxa"/>
          </w:tcPr>
          <w:p w:rsidR="00AD191B" w:rsidRDefault="00090C62" w:rsidP="004E0E8C">
            <w:pPr>
              <w:ind w:right="-21"/>
              <w:jc w:val="right"/>
              <w:rPr>
                <w:i/>
                <w:color w:val="333331"/>
                <w:sz w:val="22"/>
                <w:szCs w:val="22"/>
                <w:lang w:eastAsia="nl-BE"/>
              </w:rPr>
            </w:pPr>
            <w:r w:rsidRPr="00A36464">
              <w:rPr>
                <w:i/>
                <w:color w:val="333331"/>
                <w:sz w:val="22"/>
                <w:szCs w:val="22"/>
                <w:lang w:eastAsia="nl-BE"/>
              </w:rPr>
              <w:t>Initieel bedrag</w:t>
            </w:r>
          </w:p>
          <w:p w:rsidR="00090C62" w:rsidRPr="00A36464" w:rsidRDefault="00DC6053" w:rsidP="004E0E8C">
            <w:pPr>
              <w:jc w:val="right"/>
              <w:rPr>
                <w:i/>
                <w:color w:val="333331"/>
                <w:szCs w:val="22"/>
                <w:lang w:eastAsia="nl-BE"/>
              </w:rPr>
            </w:pPr>
            <w:r>
              <w:rPr>
                <w:i/>
                <w:color w:val="333331"/>
                <w:sz w:val="22"/>
                <w:szCs w:val="22"/>
                <w:lang w:eastAsia="nl-BE"/>
              </w:rPr>
              <w:t>vereffeningskredieten</w:t>
            </w:r>
          </w:p>
        </w:tc>
      </w:tr>
      <w:tr w:rsidR="00090C62" w:rsidRPr="00A36464" w:rsidTr="00E810E9">
        <w:trPr>
          <w:trHeight w:val="525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Bedrijfssteun voor onderzoek en ontwikkeling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5473F9" w:rsidP="009E1859">
            <w:pPr>
              <w:pStyle w:val="Geenafstand"/>
              <w:numPr>
                <w:ilvl w:val="0"/>
                <w:numId w:val="29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 xml:space="preserve">subsidie-inkomsten </w:t>
            </w:r>
            <w:r w:rsidR="00AD191B" w:rsidRPr="009E1859">
              <w:rPr>
                <w:sz w:val="22"/>
                <w:szCs w:val="22"/>
                <w:lang w:eastAsia="nl-BE"/>
              </w:rPr>
              <w:t xml:space="preserve">via </w:t>
            </w:r>
            <w:r w:rsidR="00DF203D" w:rsidRPr="009E1859">
              <w:rPr>
                <w:sz w:val="22"/>
                <w:szCs w:val="22"/>
                <w:lang w:eastAsia="nl-BE"/>
              </w:rPr>
              <w:t xml:space="preserve">BA </w:t>
            </w:r>
            <w:r w:rsidR="00090C62" w:rsidRPr="009E1859">
              <w:rPr>
                <w:sz w:val="22"/>
                <w:szCs w:val="22"/>
                <w:lang w:eastAsia="nl-BE"/>
              </w:rPr>
              <w:t>EBO EF105 4141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29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terugstortingen (kredietaflossingen en terugbetalingen)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5473F9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141.684.000</w:t>
            </w:r>
          </w:p>
          <w:p w:rsidR="00090C62" w:rsidRPr="009E1859" w:rsidRDefault="00072888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 xml:space="preserve">766.000 </w:t>
            </w:r>
          </w:p>
        </w:tc>
      </w:tr>
      <w:tr w:rsidR="00090C62" w:rsidRPr="00A36464" w:rsidTr="00E810E9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Innovatieve acties vanwege de Vlaamse Regering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0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EF106 4141</w:t>
            </w:r>
          </w:p>
          <w:p w:rsidR="00090C62" w:rsidRPr="009E1859" w:rsidRDefault="00072888" w:rsidP="009E1859">
            <w:pPr>
              <w:pStyle w:val="Geenafstand"/>
              <w:numPr>
                <w:ilvl w:val="0"/>
                <w:numId w:val="30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terugstortingen (kredietaflossingen en terugbetalingen)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AD191B" w:rsidRPr="009E1859" w:rsidRDefault="00072888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54.665</w:t>
            </w:r>
            <w:r w:rsidR="005473F9" w:rsidRPr="009E1859">
              <w:rPr>
                <w:sz w:val="22"/>
                <w:szCs w:val="22"/>
                <w:lang w:eastAsia="nl-BE"/>
              </w:rPr>
              <w:t>.000</w:t>
            </w:r>
          </w:p>
          <w:p w:rsidR="00090C62" w:rsidRPr="009E1859" w:rsidRDefault="00072888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 xml:space="preserve">52.000 </w:t>
            </w:r>
          </w:p>
        </w:tc>
      </w:tr>
      <w:tr w:rsidR="00072888" w:rsidRPr="00A36464" w:rsidTr="00E810E9">
        <w:trPr>
          <w:trHeight w:val="70"/>
        </w:trPr>
        <w:tc>
          <w:tcPr>
            <w:tcW w:w="6219" w:type="dxa"/>
          </w:tcPr>
          <w:p w:rsidR="00072888" w:rsidRPr="009E1859" w:rsidRDefault="00072888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Lichte structuren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72888" w:rsidRPr="009E1859" w:rsidRDefault="00072888" w:rsidP="009E1859">
            <w:pPr>
              <w:pStyle w:val="Geenafstand"/>
              <w:numPr>
                <w:ilvl w:val="0"/>
                <w:numId w:val="31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EF122 4141</w:t>
            </w:r>
          </w:p>
        </w:tc>
        <w:tc>
          <w:tcPr>
            <w:tcW w:w="2514" w:type="dxa"/>
          </w:tcPr>
          <w:p w:rsidR="00072888" w:rsidRPr="009E1859" w:rsidRDefault="00072888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72888" w:rsidRPr="009E1859" w:rsidRDefault="00072888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8.040.000</w:t>
            </w:r>
          </w:p>
        </w:tc>
      </w:tr>
      <w:tr w:rsidR="00072888" w:rsidRPr="00A36464" w:rsidTr="00E810E9">
        <w:trPr>
          <w:trHeight w:val="70"/>
        </w:trPr>
        <w:tc>
          <w:tcPr>
            <w:tcW w:w="6219" w:type="dxa"/>
          </w:tcPr>
          <w:p w:rsidR="00072888" w:rsidRPr="009E1859" w:rsidRDefault="00072888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Hermes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72888" w:rsidRPr="009E1859" w:rsidRDefault="00072888" w:rsidP="00E810E9">
            <w:pPr>
              <w:pStyle w:val="Geenafstand"/>
              <w:numPr>
                <w:ilvl w:val="0"/>
                <w:numId w:val="31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terugstortingen H</w:t>
            </w:r>
            <w:r w:rsidR="00E810E9">
              <w:rPr>
                <w:sz w:val="22"/>
                <w:szCs w:val="22"/>
                <w:lang w:eastAsia="nl-BE"/>
              </w:rPr>
              <w:t>ermes</w:t>
            </w:r>
          </w:p>
        </w:tc>
        <w:tc>
          <w:tcPr>
            <w:tcW w:w="2514" w:type="dxa"/>
          </w:tcPr>
          <w:p w:rsidR="00072888" w:rsidRPr="009E1859" w:rsidRDefault="00072888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72888" w:rsidRPr="009E1859" w:rsidRDefault="00072888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4.214.877</w:t>
            </w:r>
          </w:p>
        </w:tc>
      </w:tr>
      <w:tr w:rsidR="00090C62" w:rsidRPr="00A36464" w:rsidTr="00E810E9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E-mediaprojecten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1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EF108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5473F9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8.906.</w:t>
            </w:r>
            <w:r w:rsidR="00090C62" w:rsidRPr="009E1859">
              <w:rPr>
                <w:sz w:val="22"/>
                <w:szCs w:val="22"/>
                <w:lang w:eastAsia="nl-BE"/>
              </w:rPr>
              <w:t>000</w:t>
            </w:r>
          </w:p>
        </w:tc>
      </w:tr>
      <w:tr w:rsidR="00090C62" w:rsidRPr="004E0E8C" w:rsidTr="00E810E9">
        <w:trPr>
          <w:trHeight w:val="70"/>
        </w:trPr>
        <w:tc>
          <w:tcPr>
            <w:tcW w:w="6219" w:type="dxa"/>
          </w:tcPr>
          <w:p w:rsidR="00090C62" w:rsidRPr="004E0E8C" w:rsidRDefault="00090C62" w:rsidP="004E0E8C">
            <w:pPr>
              <w:pStyle w:val="Geenafstand"/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>Werking</w:t>
            </w:r>
            <w:r w:rsidR="00AD191B" w:rsidRPr="004E0E8C">
              <w:rPr>
                <w:sz w:val="22"/>
                <w:szCs w:val="22"/>
              </w:rPr>
              <w:t>:</w:t>
            </w:r>
          </w:p>
          <w:p w:rsidR="00090C62" w:rsidRPr="004E0E8C" w:rsidRDefault="00090C62" w:rsidP="004E0E8C">
            <w:pPr>
              <w:pStyle w:val="Geenafstan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>subsidie-inkomsten via BA EBO EF107 4141</w:t>
            </w:r>
          </w:p>
          <w:p w:rsidR="00250BC1" w:rsidRPr="004E0E8C" w:rsidRDefault="00250BC1" w:rsidP="004E0E8C">
            <w:pPr>
              <w:pStyle w:val="Geenafstan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>overdracht budget indexprovisie</w:t>
            </w:r>
          </w:p>
          <w:p w:rsidR="00090C62" w:rsidRPr="004E0E8C" w:rsidRDefault="00090C62" w:rsidP="004E0E8C">
            <w:pPr>
              <w:pStyle w:val="Geenafstan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>ontvangsten uit Europees gesteunde acties</w:t>
            </w:r>
          </w:p>
          <w:p w:rsidR="00090C62" w:rsidRPr="004E0E8C" w:rsidRDefault="00090C62" w:rsidP="004E0E8C">
            <w:pPr>
              <w:pStyle w:val="Geenafstan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 xml:space="preserve">eigen ontvangsten </w:t>
            </w:r>
          </w:p>
        </w:tc>
        <w:tc>
          <w:tcPr>
            <w:tcW w:w="2514" w:type="dxa"/>
          </w:tcPr>
          <w:p w:rsidR="00090C62" w:rsidRPr="004E0E8C" w:rsidRDefault="00090C62" w:rsidP="004E0E8C">
            <w:pPr>
              <w:pStyle w:val="Geenafstand"/>
              <w:rPr>
                <w:sz w:val="22"/>
                <w:szCs w:val="22"/>
              </w:rPr>
            </w:pPr>
          </w:p>
          <w:p w:rsidR="00090C62" w:rsidRPr="004E0E8C" w:rsidRDefault="00090C62" w:rsidP="004E0E8C">
            <w:pPr>
              <w:pStyle w:val="Geenafstand"/>
              <w:jc w:val="right"/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>1</w:t>
            </w:r>
            <w:r w:rsidR="005473F9" w:rsidRPr="004E0E8C">
              <w:rPr>
                <w:sz w:val="22"/>
                <w:szCs w:val="22"/>
              </w:rPr>
              <w:t>1.757</w:t>
            </w:r>
            <w:r w:rsidRPr="004E0E8C">
              <w:rPr>
                <w:sz w:val="22"/>
                <w:szCs w:val="22"/>
              </w:rPr>
              <w:t>.000</w:t>
            </w:r>
          </w:p>
          <w:p w:rsidR="00090C62" w:rsidRPr="004E0E8C" w:rsidRDefault="00250BC1" w:rsidP="004E0E8C">
            <w:pPr>
              <w:pStyle w:val="Geenafstand"/>
              <w:jc w:val="right"/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>74.000</w:t>
            </w:r>
          </w:p>
          <w:p w:rsidR="00250BC1" w:rsidRPr="004E0E8C" w:rsidRDefault="00250BC1" w:rsidP="004E0E8C">
            <w:pPr>
              <w:pStyle w:val="Geenafstand"/>
              <w:jc w:val="right"/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>490.738</w:t>
            </w:r>
            <w:r w:rsidR="00090C62" w:rsidRPr="004E0E8C">
              <w:rPr>
                <w:sz w:val="22"/>
                <w:szCs w:val="22"/>
              </w:rPr>
              <w:t xml:space="preserve"> </w:t>
            </w:r>
          </w:p>
          <w:p w:rsidR="00090C62" w:rsidRPr="004E0E8C" w:rsidRDefault="002C14FB" w:rsidP="004E0E8C">
            <w:pPr>
              <w:pStyle w:val="Geenafstand"/>
              <w:jc w:val="right"/>
              <w:rPr>
                <w:sz w:val="22"/>
                <w:szCs w:val="22"/>
              </w:rPr>
            </w:pPr>
            <w:r w:rsidRPr="004E0E8C">
              <w:rPr>
                <w:sz w:val="22"/>
                <w:szCs w:val="22"/>
              </w:rPr>
              <w:t xml:space="preserve">137.000 </w:t>
            </w:r>
          </w:p>
        </w:tc>
      </w:tr>
      <w:tr w:rsidR="00090C62" w:rsidRPr="00A36464" w:rsidTr="004E0E8C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Vlaamse deelname aan Europese programma’s: VCP-werking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2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EC113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5473F9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411</w:t>
            </w:r>
            <w:r w:rsidR="00090C62" w:rsidRPr="009E1859">
              <w:rPr>
                <w:sz w:val="22"/>
                <w:szCs w:val="22"/>
                <w:lang w:eastAsia="nl-BE"/>
              </w:rPr>
              <w:t>.000</w:t>
            </w:r>
          </w:p>
        </w:tc>
      </w:tr>
      <w:tr w:rsidR="00090C62" w:rsidRPr="00A36464" w:rsidTr="004E0E8C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Studie- en expertiseopdrachten ten behoeve van het VIN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2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EF109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5473F9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686</w:t>
            </w:r>
            <w:r w:rsidR="00090C62" w:rsidRPr="009E1859">
              <w:rPr>
                <w:sz w:val="22"/>
                <w:szCs w:val="22"/>
                <w:lang w:eastAsia="nl-BE"/>
              </w:rPr>
              <w:t>.000</w:t>
            </w:r>
          </w:p>
        </w:tc>
      </w:tr>
      <w:tr w:rsidR="00090C62" w:rsidRPr="00A36464" w:rsidTr="004E0E8C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Specialisatie- en Baekelandbeurzen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2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EF112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3</w:t>
            </w:r>
            <w:r w:rsidR="005473F9" w:rsidRPr="009E1859">
              <w:rPr>
                <w:sz w:val="22"/>
                <w:szCs w:val="22"/>
                <w:lang w:eastAsia="nl-BE"/>
              </w:rPr>
              <w:t>6</w:t>
            </w:r>
            <w:r w:rsidRPr="009E1859">
              <w:rPr>
                <w:sz w:val="22"/>
                <w:szCs w:val="22"/>
                <w:lang w:eastAsia="nl-BE"/>
              </w:rPr>
              <w:t>.</w:t>
            </w:r>
            <w:r w:rsidR="005473F9" w:rsidRPr="009E1859">
              <w:rPr>
                <w:sz w:val="22"/>
                <w:szCs w:val="22"/>
                <w:lang w:eastAsia="nl-BE"/>
              </w:rPr>
              <w:t>468</w:t>
            </w:r>
            <w:r w:rsidRPr="009E1859">
              <w:rPr>
                <w:sz w:val="22"/>
                <w:szCs w:val="22"/>
                <w:lang w:eastAsia="nl-BE"/>
              </w:rPr>
              <w:t>.000</w:t>
            </w:r>
          </w:p>
        </w:tc>
      </w:tr>
      <w:tr w:rsidR="00090C62" w:rsidRPr="00A36464" w:rsidTr="004E0E8C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Landbouwkundig onderzoek (LO)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2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EE123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9.</w:t>
            </w:r>
            <w:r w:rsidR="005473F9" w:rsidRPr="009E1859">
              <w:rPr>
                <w:sz w:val="22"/>
                <w:szCs w:val="22"/>
                <w:lang w:eastAsia="nl-BE"/>
              </w:rPr>
              <w:t>907</w:t>
            </w:r>
            <w:r w:rsidRPr="009E1859">
              <w:rPr>
                <w:sz w:val="22"/>
                <w:szCs w:val="22"/>
                <w:lang w:eastAsia="nl-BE"/>
              </w:rPr>
              <w:t>.000</w:t>
            </w:r>
          </w:p>
        </w:tc>
      </w:tr>
      <w:tr w:rsidR="00090C62" w:rsidRPr="00A36464" w:rsidTr="004E0E8C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Technologie Transfer (TETRA)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2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EE120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5473F9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7</w:t>
            </w:r>
            <w:r w:rsidR="00090C62" w:rsidRPr="009E1859">
              <w:rPr>
                <w:sz w:val="22"/>
                <w:szCs w:val="22"/>
                <w:lang w:eastAsia="nl-BE"/>
              </w:rPr>
              <w:t>.</w:t>
            </w:r>
            <w:r w:rsidRPr="009E1859">
              <w:rPr>
                <w:sz w:val="22"/>
                <w:szCs w:val="22"/>
                <w:lang w:eastAsia="nl-BE"/>
              </w:rPr>
              <w:t>858</w:t>
            </w:r>
            <w:r w:rsidR="00090C62" w:rsidRPr="009E1859">
              <w:rPr>
                <w:sz w:val="22"/>
                <w:szCs w:val="22"/>
                <w:lang w:eastAsia="nl-BE"/>
              </w:rPr>
              <w:t>.000</w:t>
            </w:r>
          </w:p>
        </w:tc>
      </w:tr>
      <w:tr w:rsidR="00090C62" w:rsidRPr="00A36464" w:rsidTr="004E0E8C"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Strategisch Basisonderzoek (SBO)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2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EE121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3</w:t>
            </w:r>
            <w:r w:rsidR="005473F9" w:rsidRPr="009E1859">
              <w:rPr>
                <w:sz w:val="22"/>
                <w:szCs w:val="22"/>
                <w:lang w:eastAsia="nl-BE"/>
              </w:rPr>
              <w:t>8</w:t>
            </w:r>
            <w:r w:rsidRPr="009E1859">
              <w:rPr>
                <w:sz w:val="22"/>
                <w:szCs w:val="22"/>
                <w:lang w:eastAsia="nl-BE"/>
              </w:rPr>
              <w:t>.</w:t>
            </w:r>
            <w:r w:rsidR="005473F9" w:rsidRPr="009E1859">
              <w:rPr>
                <w:sz w:val="22"/>
                <w:szCs w:val="22"/>
                <w:lang w:eastAsia="nl-BE"/>
              </w:rPr>
              <w:t>434</w:t>
            </w:r>
            <w:r w:rsidRPr="009E1859">
              <w:rPr>
                <w:sz w:val="22"/>
                <w:szCs w:val="22"/>
                <w:lang w:eastAsia="nl-BE"/>
              </w:rPr>
              <w:t>.000</w:t>
            </w:r>
          </w:p>
        </w:tc>
      </w:tr>
      <w:tr w:rsidR="00090C62" w:rsidRPr="00A36464" w:rsidTr="004E0E8C"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Toegepast Biomedisch Onderzoek (TBM)</w:t>
            </w:r>
            <w:r w:rsidR="00AD191B" w:rsidRPr="009E1859">
              <w:rPr>
                <w:sz w:val="22"/>
                <w:szCs w:val="22"/>
                <w:lang w:eastAsia="nl-BE"/>
              </w:rPr>
              <w:t>:</w:t>
            </w:r>
          </w:p>
          <w:p w:rsidR="00090C62" w:rsidRPr="009E1859" w:rsidRDefault="00090C62" w:rsidP="009E1859">
            <w:pPr>
              <w:pStyle w:val="Geenafstand"/>
              <w:numPr>
                <w:ilvl w:val="0"/>
                <w:numId w:val="32"/>
              </w:numPr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subsidie-inkomsten via BA EBO EE118 4141</w:t>
            </w:r>
          </w:p>
        </w:tc>
        <w:tc>
          <w:tcPr>
            <w:tcW w:w="2514" w:type="dxa"/>
          </w:tcPr>
          <w:p w:rsidR="00090C62" w:rsidRPr="009E1859" w:rsidRDefault="00090C62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</w:p>
          <w:p w:rsidR="00090C62" w:rsidRPr="009E1859" w:rsidRDefault="005473F9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6</w:t>
            </w:r>
            <w:r w:rsidR="00090C62" w:rsidRPr="009E1859">
              <w:rPr>
                <w:sz w:val="22"/>
                <w:szCs w:val="22"/>
                <w:lang w:eastAsia="nl-BE"/>
              </w:rPr>
              <w:t>.</w:t>
            </w:r>
            <w:r w:rsidRPr="009E1859">
              <w:rPr>
                <w:sz w:val="22"/>
                <w:szCs w:val="22"/>
                <w:lang w:eastAsia="nl-BE"/>
              </w:rPr>
              <w:t>197</w:t>
            </w:r>
            <w:r w:rsidR="00090C62" w:rsidRPr="009E1859">
              <w:rPr>
                <w:sz w:val="22"/>
                <w:szCs w:val="22"/>
                <w:lang w:eastAsia="nl-BE"/>
              </w:rPr>
              <w:t>.000</w:t>
            </w:r>
          </w:p>
        </w:tc>
      </w:tr>
      <w:tr w:rsidR="00090C62" w:rsidRPr="00A36464" w:rsidTr="00E810E9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Overgedragen begrotingssaldo EU-gesteunde acties 20</w:t>
            </w:r>
            <w:r w:rsidR="00072888" w:rsidRPr="009E1859">
              <w:rPr>
                <w:sz w:val="22"/>
                <w:szCs w:val="22"/>
                <w:lang w:eastAsia="nl-BE"/>
              </w:rPr>
              <w:t>12</w:t>
            </w:r>
          </w:p>
        </w:tc>
        <w:tc>
          <w:tcPr>
            <w:tcW w:w="2514" w:type="dxa"/>
          </w:tcPr>
          <w:p w:rsidR="00090C62" w:rsidRPr="009E1859" w:rsidRDefault="00250BC1" w:rsidP="004E0E8C">
            <w:pPr>
              <w:pStyle w:val="Geenafstand"/>
              <w:jc w:val="right"/>
              <w:rPr>
                <w:sz w:val="22"/>
                <w:szCs w:val="22"/>
                <w:lang w:eastAsia="nl-BE"/>
              </w:rPr>
            </w:pPr>
            <w:r w:rsidRPr="009E1859">
              <w:rPr>
                <w:sz w:val="22"/>
                <w:szCs w:val="22"/>
                <w:lang w:eastAsia="nl-BE"/>
              </w:rPr>
              <w:t>112.497</w:t>
            </w:r>
            <w:r w:rsidR="00090C62" w:rsidRPr="009E1859">
              <w:rPr>
                <w:sz w:val="22"/>
                <w:szCs w:val="22"/>
                <w:lang w:eastAsia="nl-BE"/>
              </w:rPr>
              <w:t xml:space="preserve"> </w:t>
            </w:r>
          </w:p>
        </w:tc>
      </w:tr>
      <w:tr w:rsidR="00090C62" w:rsidRPr="00A36464" w:rsidTr="004E0E8C">
        <w:trPr>
          <w:trHeight w:val="70"/>
        </w:trPr>
        <w:tc>
          <w:tcPr>
            <w:tcW w:w="6219" w:type="dxa"/>
          </w:tcPr>
          <w:p w:rsidR="00090C62" w:rsidRPr="009E1859" w:rsidRDefault="00090C62" w:rsidP="009E1859">
            <w:pPr>
              <w:pStyle w:val="Geenafstand"/>
              <w:rPr>
                <w:b/>
                <w:sz w:val="22"/>
                <w:szCs w:val="22"/>
                <w:lang w:eastAsia="nl-BE"/>
              </w:rPr>
            </w:pPr>
            <w:r w:rsidRPr="009E1859">
              <w:rPr>
                <w:b/>
                <w:sz w:val="22"/>
                <w:szCs w:val="22"/>
                <w:lang w:eastAsia="nl-BE"/>
              </w:rPr>
              <w:t>TOTAAL</w:t>
            </w:r>
            <w:r w:rsidR="00BD7812" w:rsidRPr="009E1859">
              <w:rPr>
                <w:b/>
                <w:sz w:val="22"/>
                <w:szCs w:val="22"/>
                <w:lang w:eastAsia="nl-BE"/>
              </w:rPr>
              <w:t xml:space="preserve"> BEGROTE </w:t>
            </w:r>
            <w:r w:rsidR="00AD191B" w:rsidRPr="009E1859">
              <w:rPr>
                <w:b/>
                <w:sz w:val="22"/>
                <w:szCs w:val="22"/>
                <w:lang w:eastAsia="nl-BE"/>
              </w:rPr>
              <w:t>ONTVANGSTEN:</w:t>
            </w:r>
          </w:p>
        </w:tc>
        <w:tc>
          <w:tcPr>
            <w:tcW w:w="2514" w:type="dxa"/>
          </w:tcPr>
          <w:p w:rsidR="00090C62" w:rsidRPr="009E1859" w:rsidRDefault="00250BC1" w:rsidP="004E0E8C">
            <w:pPr>
              <w:pStyle w:val="Geenafstand"/>
              <w:jc w:val="right"/>
              <w:rPr>
                <w:b/>
                <w:sz w:val="22"/>
                <w:szCs w:val="22"/>
                <w:lang w:eastAsia="nl-BE"/>
              </w:rPr>
            </w:pPr>
            <w:r w:rsidRPr="009E1859">
              <w:rPr>
                <w:b/>
                <w:sz w:val="22"/>
                <w:szCs w:val="22"/>
                <w:lang w:eastAsia="nl-BE"/>
              </w:rPr>
              <w:t>330.860.112</w:t>
            </w:r>
          </w:p>
        </w:tc>
      </w:tr>
    </w:tbl>
    <w:p w:rsidR="00DF2E3F" w:rsidRDefault="00DF2E3F" w:rsidP="005F0CB9">
      <w:pPr>
        <w:pStyle w:val="StandaardSV"/>
      </w:pPr>
    </w:p>
    <w:p w:rsidR="00DF2E3F" w:rsidRDefault="00DF2E3F">
      <w:pPr>
        <w:rPr>
          <w:sz w:val="22"/>
        </w:rPr>
      </w:pPr>
      <w:r>
        <w:br w:type="page"/>
      </w:r>
    </w:p>
    <w:p w:rsidR="00BC0163" w:rsidRDefault="00BC0163" w:rsidP="00DF2E3F">
      <w:pPr>
        <w:pStyle w:val="StandaardSV"/>
        <w:numPr>
          <w:ilvl w:val="0"/>
          <w:numId w:val="25"/>
        </w:numPr>
        <w:jc w:val="left"/>
      </w:pPr>
      <w:r>
        <w:lastRenderedPageBreak/>
        <w:t>Overzicht van de begrote uitgaven voor steunverlening</w:t>
      </w:r>
      <w:r w:rsidR="00AD191B">
        <w:t>:</w:t>
      </w:r>
    </w:p>
    <w:p w:rsidR="005C0B65" w:rsidRPr="00A36464" w:rsidRDefault="005C0B65" w:rsidP="00DF2E3F">
      <w:pPr>
        <w:ind w:left="360" w:right="283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409"/>
      </w:tblGrid>
      <w:tr w:rsidR="005C0B65" w:rsidRPr="004E0E8C" w:rsidTr="004E0E8C">
        <w:tc>
          <w:tcPr>
            <w:tcW w:w="6237" w:type="dxa"/>
          </w:tcPr>
          <w:p w:rsidR="005C0B65" w:rsidRPr="004E0E8C" w:rsidRDefault="005C0B65" w:rsidP="00AD191B">
            <w:pPr>
              <w:rPr>
                <w:i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i/>
                <w:color w:val="333331"/>
                <w:sz w:val="22"/>
                <w:szCs w:val="22"/>
                <w:lang w:eastAsia="nl-BE"/>
              </w:rPr>
              <w:t>Programma’s en steunmaatregelen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i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i/>
                <w:color w:val="333331"/>
                <w:sz w:val="22"/>
                <w:szCs w:val="22"/>
                <w:lang w:eastAsia="nl-BE"/>
              </w:rPr>
              <w:t>Bedrag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Bedrijfsprogramma (O&amp;O, KMO, VIS, IM)</w:t>
            </w:r>
          </w:p>
        </w:tc>
        <w:tc>
          <w:tcPr>
            <w:tcW w:w="2409" w:type="dxa"/>
          </w:tcPr>
          <w:p w:rsidR="005C0B65" w:rsidRPr="004E0E8C" w:rsidRDefault="007A7D7A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142.270.000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Hermes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4.214.877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Leningen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Innovatieve acties Vlaamse Regering</w:t>
            </w:r>
          </w:p>
        </w:tc>
        <w:tc>
          <w:tcPr>
            <w:tcW w:w="2409" w:type="dxa"/>
          </w:tcPr>
          <w:p w:rsidR="005C0B65" w:rsidRPr="004E0E8C" w:rsidRDefault="00B66058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54.687</w:t>
            </w:r>
            <w:r w:rsidR="005C0B65" w:rsidRPr="004E0E8C">
              <w:rPr>
                <w:color w:val="333331"/>
                <w:sz w:val="22"/>
                <w:szCs w:val="22"/>
                <w:lang w:eastAsia="nl-BE"/>
              </w:rPr>
              <w:t xml:space="preserve">.000 </w:t>
            </w:r>
          </w:p>
        </w:tc>
      </w:tr>
      <w:tr w:rsidR="00B66058" w:rsidRPr="004E0E8C" w:rsidTr="004E0E8C">
        <w:tc>
          <w:tcPr>
            <w:tcW w:w="6237" w:type="dxa"/>
          </w:tcPr>
          <w:p w:rsidR="00B66058" w:rsidRPr="004E0E8C" w:rsidRDefault="00B66058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Lichte structuren</w:t>
            </w:r>
          </w:p>
        </w:tc>
        <w:tc>
          <w:tcPr>
            <w:tcW w:w="2409" w:type="dxa"/>
          </w:tcPr>
          <w:p w:rsidR="00B66058" w:rsidRPr="004E0E8C" w:rsidRDefault="00B66058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8.040.000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Technologie Transfer (TETRA)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7.8</w:t>
            </w:r>
            <w:r w:rsidR="007A7D7A" w:rsidRPr="004E0E8C">
              <w:rPr>
                <w:color w:val="333331"/>
                <w:sz w:val="22"/>
                <w:szCs w:val="22"/>
                <w:lang w:eastAsia="nl-BE"/>
              </w:rPr>
              <w:t>28</w:t>
            </w:r>
            <w:r w:rsidRPr="004E0E8C">
              <w:rPr>
                <w:color w:val="333331"/>
                <w:sz w:val="22"/>
                <w:szCs w:val="22"/>
                <w:lang w:eastAsia="nl-BE"/>
              </w:rPr>
              <w:t>.000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Landbouwkundig Onderzoek (LO)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9.</w:t>
            </w:r>
            <w:r w:rsidR="00B66058" w:rsidRPr="004E0E8C">
              <w:rPr>
                <w:color w:val="333331"/>
                <w:sz w:val="22"/>
                <w:szCs w:val="22"/>
                <w:lang w:eastAsia="nl-BE"/>
              </w:rPr>
              <w:t>882</w:t>
            </w:r>
            <w:r w:rsidRPr="004E0E8C">
              <w:rPr>
                <w:color w:val="333331"/>
                <w:sz w:val="22"/>
                <w:szCs w:val="22"/>
                <w:lang w:eastAsia="nl-BE"/>
              </w:rPr>
              <w:t>.000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Strategisch Basisonderzoek (SBO)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38.</w:t>
            </w:r>
            <w:r w:rsidR="00B66058" w:rsidRPr="004E0E8C">
              <w:rPr>
                <w:color w:val="333331"/>
                <w:sz w:val="22"/>
                <w:szCs w:val="22"/>
                <w:lang w:eastAsia="nl-BE"/>
              </w:rPr>
              <w:t>374</w:t>
            </w:r>
            <w:r w:rsidRPr="004E0E8C">
              <w:rPr>
                <w:color w:val="333331"/>
                <w:sz w:val="22"/>
                <w:szCs w:val="22"/>
                <w:lang w:eastAsia="nl-BE"/>
              </w:rPr>
              <w:t>.000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 xml:space="preserve">Toegepast Biomedisch Onderzoek 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6.1</w:t>
            </w:r>
            <w:r w:rsidR="00B66058" w:rsidRPr="004E0E8C">
              <w:rPr>
                <w:color w:val="333331"/>
                <w:sz w:val="22"/>
                <w:szCs w:val="22"/>
                <w:lang w:eastAsia="nl-BE"/>
              </w:rPr>
              <w:t>72</w:t>
            </w:r>
            <w:r w:rsidRPr="004E0E8C">
              <w:rPr>
                <w:color w:val="333331"/>
                <w:sz w:val="22"/>
                <w:szCs w:val="22"/>
                <w:lang w:eastAsia="nl-BE"/>
              </w:rPr>
              <w:t>.000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E-mediaprojecten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8.906.000</w:t>
            </w:r>
          </w:p>
        </w:tc>
      </w:tr>
      <w:tr w:rsidR="005C0B65" w:rsidRPr="004E0E8C" w:rsidTr="004E0E8C">
        <w:tc>
          <w:tcPr>
            <w:tcW w:w="6237" w:type="dxa"/>
          </w:tcPr>
          <w:p w:rsidR="005C0B65" w:rsidRPr="004E0E8C" w:rsidRDefault="005C0B65" w:rsidP="005C0B65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Specialisatiebeurzen &amp; Baekelandmandaten</w:t>
            </w:r>
          </w:p>
        </w:tc>
        <w:tc>
          <w:tcPr>
            <w:tcW w:w="2409" w:type="dxa"/>
          </w:tcPr>
          <w:p w:rsidR="005C0B65" w:rsidRPr="004E0E8C" w:rsidRDefault="005C0B65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35.738.640</w:t>
            </w:r>
          </w:p>
        </w:tc>
      </w:tr>
      <w:tr w:rsidR="005C0B65" w:rsidRPr="004E0E8C" w:rsidTr="004E0E8C">
        <w:trPr>
          <w:trHeight w:val="70"/>
        </w:trPr>
        <w:tc>
          <w:tcPr>
            <w:tcW w:w="6237" w:type="dxa"/>
          </w:tcPr>
          <w:p w:rsidR="005C0B65" w:rsidRPr="004E0E8C" w:rsidRDefault="005C0B65" w:rsidP="00AD191B">
            <w:pPr>
              <w:rPr>
                <w:b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b/>
                <w:color w:val="333331"/>
                <w:sz w:val="22"/>
                <w:szCs w:val="22"/>
                <w:lang w:eastAsia="nl-BE"/>
              </w:rPr>
              <w:t>TOTAAL:</w:t>
            </w:r>
          </w:p>
        </w:tc>
        <w:tc>
          <w:tcPr>
            <w:tcW w:w="2409" w:type="dxa"/>
          </w:tcPr>
          <w:p w:rsidR="00B66058" w:rsidRPr="004E0E8C" w:rsidRDefault="00637E58" w:rsidP="004E0E8C">
            <w:pPr>
              <w:jc w:val="right"/>
              <w:rPr>
                <w:b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b/>
                <w:color w:val="333331"/>
                <w:sz w:val="22"/>
                <w:szCs w:val="22"/>
                <w:lang w:eastAsia="nl-BE"/>
              </w:rPr>
              <w:t>316.112.517</w:t>
            </w:r>
          </w:p>
        </w:tc>
      </w:tr>
    </w:tbl>
    <w:p w:rsidR="005C0B65" w:rsidRDefault="005C0B65" w:rsidP="00DF2E3F">
      <w:pPr>
        <w:ind w:left="720" w:right="283"/>
        <w:rPr>
          <w:sz w:val="22"/>
          <w:szCs w:val="22"/>
          <w:lang w:eastAsia="nl-BE"/>
        </w:rPr>
      </w:pPr>
    </w:p>
    <w:p w:rsidR="00090C62" w:rsidRPr="005C0B65" w:rsidRDefault="00BC0163" w:rsidP="00DF2E3F">
      <w:pPr>
        <w:ind w:left="708" w:right="283" w:hanging="282"/>
        <w:rPr>
          <w:sz w:val="22"/>
          <w:szCs w:val="22"/>
          <w:lang w:eastAsia="nl-BE"/>
        </w:rPr>
      </w:pPr>
      <w:r>
        <w:rPr>
          <w:sz w:val="22"/>
          <w:szCs w:val="22"/>
          <w:lang w:eastAsia="nl-BE"/>
        </w:rPr>
        <w:t xml:space="preserve">Overzicht van </w:t>
      </w:r>
      <w:r w:rsidR="00090C62" w:rsidRPr="005C0B65">
        <w:rPr>
          <w:sz w:val="22"/>
          <w:szCs w:val="22"/>
          <w:lang w:eastAsia="nl-BE"/>
        </w:rPr>
        <w:t>uitgaven voor operationele taken en opdrachten:</w:t>
      </w:r>
    </w:p>
    <w:p w:rsidR="001B2184" w:rsidRPr="00A36464" w:rsidRDefault="001B2184" w:rsidP="00DF2E3F">
      <w:pPr>
        <w:ind w:left="1146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517"/>
      </w:tblGrid>
      <w:tr w:rsidR="001B2184" w:rsidRPr="004E0E8C" w:rsidTr="00BC0163">
        <w:tc>
          <w:tcPr>
            <w:tcW w:w="6237" w:type="dxa"/>
          </w:tcPr>
          <w:p w:rsidR="001B2184" w:rsidRPr="004E0E8C" w:rsidRDefault="001B2184" w:rsidP="00AD191B">
            <w:pPr>
              <w:rPr>
                <w:i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i/>
                <w:color w:val="333331"/>
                <w:sz w:val="22"/>
                <w:szCs w:val="22"/>
                <w:lang w:eastAsia="nl-BE"/>
              </w:rPr>
              <w:t>Werking + ondersteuning VIN</w:t>
            </w:r>
            <w:r w:rsidR="00AD191B" w:rsidRPr="004E0E8C">
              <w:rPr>
                <w:i/>
                <w:color w:val="333331"/>
                <w:sz w:val="22"/>
                <w:szCs w:val="22"/>
                <w:lang w:eastAsia="nl-BE"/>
              </w:rPr>
              <w:t>-</w:t>
            </w:r>
            <w:r w:rsidRPr="004E0E8C">
              <w:rPr>
                <w:i/>
                <w:color w:val="333331"/>
                <w:sz w:val="22"/>
                <w:szCs w:val="22"/>
                <w:lang w:eastAsia="nl-BE"/>
              </w:rPr>
              <w:t>netwerk</w:t>
            </w:r>
          </w:p>
        </w:tc>
        <w:tc>
          <w:tcPr>
            <w:tcW w:w="2517" w:type="dxa"/>
          </w:tcPr>
          <w:p w:rsidR="001B2184" w:rsidRPr="004E0E8C" w:rsidRDefault="001B2184" w:rsidP="004E0E8C">
            <w:pPr>
              <w:jc w:val="right"/>
              <w:rPr>
                <w:i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i/>
                <w:color w:val="333331"/>
                <w:sz w:val="22"/>
                <w:szCs w:val="22"/>
                <w:lang w:eastAsia="nl-BE"/>
              </w:rPr>
              <w:t>Bedrag</w:t>
            </w:r>
          </w:p>
        </w:tc>
      </w:tr>
      <w:tr w:rsidR="001B2184" w:rsidRPr="004E0E8C" w:rsidTr="00BC0163">
        <w:tc>
          <w:tcPr>
            <w:tcW w:w="6237" w:type="dxa"/>
          </w:tcPr>
          <w:p w:rsidR="001B2184" w:rsidRPr="004E0E8C" w:rsidRDefault="001B2184" w:rsidP="001B2184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Werking + beheer specialisatiebeurzen</w:t>
            </w:r>
            <w:r w:rsidR="003B2A6F" w:rsidRPr="004E0E8C">
              <w:rPr>
                <w:color w:val="333331"/>
                <w:sz w:val="22"/>
                <w:szCs w:val="22"/>
                <w:lang w:eastAsia="nl-BE"/>
              </w:rPr>
              <w:t xml:space="preserve"> + expertisecolleges</w:t>
            </w:r>
          </w:p>
        </w:tc>
        <w:tc>
          <w:tcPr>
            <w:tcW w:w="2517" w:type="dxa"/>
          </w:tcPr>
          <w:p w:rsidR="001B2184" w:rsidRPr="004E0E8C" w:rsidRDefault="001B2184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1</w:t>
            </w:r>
            <w:r w:rsidR="003B2A6F" w:rsidRPr="004E0E8C">
              <w:rPr>
                <w:color w:val="333331"/>
                <w:sz w:val="22"/>
                <w:szCs w:val="22"/>
                <w:lang w:eastAsia="nl-BE"/>
              </w:rPr>
              <w:t>3</w:t>
            </w:r>
            <w:r w:rsidRPr="004E0E8C">
              <w:rPr>
                <w:color w:val="333331"/>
                <w:sz w:val="22"/>
                <w:szCs w:val="22"/>
                <w:lang w:eastAsia="nl-BE"/>
              </w:rPr>
              <w:t>.</w:t>
            </w:r>
            <w:r w:rsidR="003B2A6F" w:rsidRPr="004E0E8C">
              <w:rPr>
                <w:color w:val="333331"/>
                <w:sz w:val="22"/>
                <w:szCs w:val="22"/>
                <w:lang w:eastAsia="nl-BE"/>
              </w:rPr>
              <w:t>04</w:t>
            </w:r>
            <w:r w:rsidRPr="004E0E8C">
              <w:rPr>
                <w:color w:val="333331"/>
                <w:sz w:val="22"/>
                <w:szCs w:val="22"/>
                <w:lang w:eastAsia="nl-BE"/>
              </w:rPr>
              <w:t>7.360</w:t>
            </w:r>
          </w:p>
        </w:tc>
      </w:tr>
      <w:tr w:rsidR="001B2184" w:rsidRPr="004E0E8C" w:rsidTr="00BC0163">
        <w:tc>
          <w:tcPr>
            <w:tcW w:w="6237" w:type="dxa"/>
          </w:tcPr>
          <w:p w:rsidR="001B2184" w:rsidRPr="004E0E8C" w:rsidRDefault="001B2184" w:rsidP="001B2184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VCP-werking</w:t>
            </w:r>
          </w:p>
        </w:tc>
        <w:tc>
          <w:tcPr>
            <w:tcW w:w="2517" w:type="dxa"/>
          </w:tcPr>
          <w:p w:rsidR="001B2184" w:rsidRPr="004E0E8C" w:rsidRDefault="001B2184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411.000</w:t>
            </w:r>
          </w:p>
        </w:tc>
      </w:tr>
      <w:tr w:rsidR="001B2184" w:rsidRPr="004E0E8C" w:rsidTr="00BC0163">
        <w:tc>
          <w:tcPr>
            <w:tcW w:w="6237" w:type="dxa"/>
          </w:tcPr>
          <w:p w:rsidR="001B2184" w:rsidRPr="004E0E8C" w:rsidRDefault="001B2184" w:rsidP="001B2184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VIN-studie- en expertiseopdrachten</w:t>
            </w:r>
          </w:p>
        </w:tc>
        <w:tc>
          <w:tcPr>
            <w:tcW w:w="2517" w:type="dxa"/>
          </w:tcPr>
          <w:p w:rsidR="001B2184" w:rsidRPr="004E0E8C" w:rsidRDefault="001B2184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686.000</w:t>
            </w:r>
          </w:p>
        </w:tc>
      </w:tr>
      <w:tr w:rsidR="001B2184" w:rsidRPr="004E0E8C" w:rsidTr="00BC0163">
        <w:tc>
          <w:tcPr>
            <w:tcW w:w="6237" w:type="dxa"/>
          </w:tcPr>
          <w:p w:rsidR="001B2184" w:rsidRPr="004E0E8C" w:rsidRDefault="001B2184" w:rsidP="001B2184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Europees gesteunde acties (ERA- en INNO-NETTEN)</w:t>
            </w:r>
          </w:p>
        </w:tc>
        <w:tc>
          <w:tcPr>
            <w:tcW w:w="2517" w:type="dxa"/>
          </w:tcPr>
          <w:p w:rsidR="001B2184" w:rsidRPr="004E0E8C" w:rsidRDefault="003B2A6F" w:rsidP="004E0E8C">
            <w:pPr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>490.738</w:t>
            </w:r>
          </w:p>
        </w:tc>
      </w:tr>
      <w:tr w:rsidR="001B2184" w:rsidRPr="004E0E8C" w:rsidTr="004E0E8C">
        <w:trPr>
          <w:trHeight w:val="70"/>
        </w:trPr>
        <w:tc>
          <w:tcPr>
            <w:tcW w:w="6237" w:type="dxa"/>
          </w:tcPr>
          <w:p w:rsidR="001B2184" w:rsidRPr="004E0E8C" w:rsidRDefault="001B2184" w:rsidP="00AD191B">
            <w:pPr>
              <w:rPr>
                <w:b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b/>
                <w:color w:val="333331"/>
                <w:sz w:val="22"/>
                <w:szCs w:val="22"/>
                <w:lang w:eastAsia="nl-BE"/>
              </w:rPr>
              <w:t>TOTAAL:</w:t>
            </w:r>
          </w:p>
        </w:tc>
        <w:tc>
          <w:tcPr>
            <w:tcW w:w="2517" w:type="dxa"/>
          </w:tcPr>
          <w:p w:rsidR="001B2184" w:rsidRPr="004E0E8C" w:rsidRDefault="003B2A6F" w:rsidP="004E0E8C">
            <w:pPr>
              <w:jc w:val="right"/>
              <w:rPr>
                <w:b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b/>
                <w:color w:val="333331"/>
                <w:sz w:val="22"/>
                <w:szCs w:val="22"/>
                <w:lang w:eastAsia="nl-BE"/>
              </w:rPr>
              <w:t>14.635.098</w:t>
            </w:r>
          </w:p>
        </w:tc>
      </w:tr>
    </w:tbl>
    <w:p w:rsidR="00BC0163" w:rsidRDefault="00BC0163" w:rsidP="00DF2E3F">
      <w:pPr>
        <w:ind w:left="426" w:right="283"/>
        <w:rPr>
          <w:color w:val="333331"/>
          <w:sz w:val="22"/>
          <w:szCs w:val="22"/>
          <w:lang w:eastAsia="nl-BE"/>
        </w:rPr>
      </w:pPr>
    </w:p>
    <w:p w:rsidR="007A7D7A" w:rsidRDefault="00BC0163" w:rsidP="00DF2E3F">
      <w:pPr>
        <w:ind w:left="720" w:right="283" w:hanging="294"/>
        <w:rPr>
          <w:color w:val="333331"/>
          <w:sz w:val="22"/>
          <w:szCs w:val="22"/>
          <w:lang w:eastAsia="nl-BE"/>
        </w:rPr>
      </w:pPr>
      <w:r>
        <w:rPr>
          <w:color w:val="333331"/>
          <w:sz w:val="22"/>
          <w:szCs w:val="22"/>
          <w:lang w:eastAsia="nl-BE"/>
        </w:rPr>
        <w:t>O</w:t>
      </w:r>
      <w:r w:rsidR="007A7D7A">
        <w:rPr>
          <w:color w:val="333331"/>
          <w:sz w:val="22"/>
          <w:szCs w:val="22"/>
          <w:lang w:eastAsia="nl-BE"/>
        </w:rPr>
        <w:t>verdracht naar 2014</w:t>
      </w:r>
      <w:r w:rsidR="00AD191B">
        <w:rPr>
          <w:color w:val="333331"/>
          <w:sz w:val="22"/>
          <w:szCs w:val="22"/>
          <w:lang w:eastAsia="nl-BE"/>
        </w:rPr>
        <w:t>:</w:t>
      </w:r>
    </w:p>
    <w:p w:rsidR="00AD191B" w:rsidRDefault="00AD191B" w:rsidP="00DF2E3F">
      <w:pPr>
        <w:ind w:left="720" w:right="283" w:hanging="294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517"/>
      </w:tblGrid>
      <w:tr w:rsidR="007A7D7A" w:rsidRPr="004E0E8C" w:rsidTr="00BC0163">
        <w:tc>
          <w:tcPr>
            <w:tcW w:w="6237" w:type="dxa"/>
          </w:tcPr>
          <w:p w:rsidR="007A7D7A" w:rsidRPr="004E0E8C" w:rsidRDefault="007A7D7A" w:rsidP="007A7D7A">
            <w:pPr>
              <w:rPr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color w:val="333331"/>
                <w:sz w:val="22"/>
                <w:szCs w:val="22"/>
                <w:lang w:eastAsia="nl-BE"/>
              </w:rPr>
              <w:t xml:space="preserve">Overdracht begrotingssaldo EU-gesteunde </w:t>
            </w:r>
            <w:r w:rsidR="00AD191B" w:rsidRPr="004E0E8C">
              <w:rPr>
                <w:color w:val="333331"/>
                <w:sz w:val="22"/>
                <w:szCs w:val="22"/>
                <w:lang w:eastAsia="nl-BE"/>
              </w:rPr>
              <w:t xml:space="preserve">acties </w:t>
            </w:r>
            <w:r w:rsidRPr="004E0E8C">
              <w:rPr>
                <w:color w:val="333331"/>
                <w:sz w:val="22"/>
                <w:szCs w:val="22"/>
                <w:lang w:eastAsia="nl-BE"/>
              </w:rPr>
              <w:t>naar 2014</w:t>
            </w:r>
          </w:p>
        </w:tc>
        <w:tc>
          <w:tcPr>
            <w:tcW w:w="2517" w:type="dxa"/>
          </w:tcPr>
          <w:p w:rsidR="007A7D7A" w:rsidRPr="004E0E8C" w:rsidRDefault="007A7D7A" w:rsidP="004E0E8C">
            <w:pPr>
              <w:tabs>
                <w:tab w:val="left" w:pos="2301"/>
              </w:tabs>
              <w:jc w:val="right"/>
              <w:rPr>
                <w:b/>
                <w:color w:val="333331"/>
                <w:sz w:val="22"/>
                <w:szCs w:val="22"/>
                <w:lang w:eastAsia="nl-BE"/>
              </w:rPr>
            </w:pPr>
            <w:r w:rsidRPr="004E0E8C">
              <w:rPr>
                <w:b/>
                <w:color w:val="333331"/>
                <w:sz w:val="22"/>
                <w:szCs w:val="22"/>
                <w:lang w:eastAsia="nl-BE"/>
              </w:rPr>
              <w:t>112.497</w:t>
            </w:r>
          </w:p>
        </w:tc>
      </w:tr>
    </w:tbl>
    <w:p w:rsidR="005F0CB9" w:rsidRDefault="005F0CB9" w:rsidP="009E1859">
      <w:pPr>
        <w:pStyle w:val="StandaardSV"/>
        <w:jc w:val="left"/>
      </w:pPr>
    </w:p>
    <w:p w:rsidR="00090C62" w:rsidRPr="00A36464" w:rsidRDefault="00AC2F80" w:rsidP="00417ACA">
      <w:pPr>
        <w:pStyle w:val="StandaardSV"/>
        <w:numPr>
          <w:ilvl w:val="0"/>
          <w:numId w:val="25"/>
        </w:numPr>
        <w:rPr>
          <w:color w:val="333331"/>
          <w:szCs w:val="22"/>
          <w:lang w:val="nl" w:eastAsia="nl-BE"/>
        </w:rPr>
      </w:pPr>
      <w:r>
        <w:t xml:space="preserve">Gezien de boekhoudkundige jaarafsluiting nog aan de gang is, kan er momenteel nog geen </w:t>
      </w:r>
      <w:r w:rsidR="009B4FBC">
        <w:t>ge</w:t>
      </w:r>
      <w:r>
        <w:t>actualiseerd overzicht gegeven worden van de uitstaande toekomstige betaalverplichtingen, zowel voor 2013 als voor de daaropv</w:t>
      </w:r>
      <w:r w:rsidR="00404561">
        <w:t xml:space="preserve">olgende </w:t>
      </w:r>
      <w:r w:rsidR="00AD191B">
        <w:t xml:space="preserve">jaren. </w:t>
      </w:r>
      <w:bookmarkStart w:id="0" w:name="_GoBack"/>
      <w:bookmarkEnd w:id="0"/>
    </w:p>
    <w:sectPr w:rsidR="00090C62" w:rsidRPr="00A36464" w:rsidSect="006D4C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10"/>
    <w:multiLevelType w:val="hybridMultilevel"/>
    <w:tmpl w:val="7280FA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0B6B"/>
    <w:multiLevelType w:val="hybridMultilevel"/>
    <w:tmpl w:val="E5385456"/>
    <w:lvl w:ilvl="0" w:tplc="708C451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33A"/>
    <w:multiLevelType w:val="hybridMultilevel"/>
    <w:tmpl w:val="E73432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1C15F7"/>
    <w:multiLevelType w:val="hybridMultilevel"/>
    <w:tmpl w:val="D8D4E9A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2810099"/>
    <w:multiLevelType w:val="hybridMultilevel"/>
    <w:tmpl w:val="5AA291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F70DEF"/>
    <w:multiLevelType w:val="hybridMultilevel"/>
    <w:tmpl w:val="98767A7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36E1D"/>
    <w:multiLevelType w:val="hybridMultilevel"/>
    <w:tmpl w:val="29D64C1C"/>
    <w:lvl w:ilvl="0" w:tplc="9716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762881"/>
    <w:multiLevelType w:val="hybridMultilevel"/>
    <w:tmpl w:val="31A8561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236226"/>
    <w:multiLevelType w:val="hybridMultilevel"/>
    <w:tmpl w:val="0DA4A0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627DD2"/>
    <w:multiLevelType w:val="hybridMultilevel"/>
    <w:tmpl w:val="61C684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EB5B17"/>
    <w:multiLevelType w:val="hybridMultilevel"/>
    <w:tmpl w:val="206C1E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05A3"/>
    <w:multiLevelType w:val="hybridMultilevel"/>
    <w:tmpl w:val="3C888B5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4909C1"/>
    <w:multiLevelType w:val="hybridMultilevel"/>
    <w:tmpl w:val="20EA1B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91A54"/>
    <w:multiLevelType w:val="hybridMultilevel"/>
    <w:tmpl w:val="9C04CF14"/>
    <w:lvl w:ilvl="0" w:tplc="043E27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D87FE4"/>
    <w:multiLevelType w:val="hybridMultilevel"/>
    <w:tmpl w:val="5C0212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71561"/>
    <w:multiLevelType w:val="hybridMultilevel"/>
    <w:tmpl w:val="E2C06C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2A13D5"/>
    <w:multiLevelType w:val="hybridMultilevel"/>
    <w:tmpl w:val="3592A0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F130F2"/>
    <w:multiLevelType w:val="hybridMultilevel"/>
    <w:tmpl w:val="C79C54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26"/>
  </w:num>
  <w:num w:numId="5">
    <w:abstractNumId w:val="21"/>
  </w:num>
  <w:num w:numId="6">
    <w:abstractNumId w:val="7"/>
  </w:num>
  <w:num w:numId="7">
    <w:abstractNumId w:val="5"/>
  </w:num>
  <w:num w:numId="8">
    <w:abstractNumId w:val="23"/>
  </w:num>
  <w:num w:numId="9">
    <w:abstractNumId w:val="16"/>
  </w:num>
  <w:num w:numId="10">
    <w:abstractNumId w:val="0"/>
  </w:num>
  <w:num w:numId="11">
    <w:abstractNumId w:val="28"/>
  </w:num>
  <w:num w:numId="12">
    <w:abstractNumId w:val="2"/>
  </w:num>
  <w:num w:numId="13">
    <w:abstractNumId w:val="17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1"/>
  </w:num>
  <w:num w:numId="20">
    <w:abstractNumId w:val="3"/>
  </w:num>
  <w:num w:numId="21">
    <w:abstractNumId w:val="8"/>
  </w:num>
  <w:num w:numId="22">
    <w:abstractNumId w:val="13"/>
  </w:num>
  <w:num w:numId="23">
    <w:abstractNumId w:val="4"/>
  </w:num>
  <w:num w:numId="24">
    <w:abstractNumId w:val="22"/>
  </w:num>
  <w:num w:numId="25">
    <w:abstractNumId w:val="12"/>
  </w:num>
  <w:num w:numId="26">
    <w:abstractNumId w:val="20"/>
  </w:num>
  <w:num w:numId="27">
    <w:abstractNumId w:val="6"/>
  </w:num>
  <w:num w:numId="28">
    <w:abstractNumId w:val="15"/>
  </w:num>
  <w:num w:numId="29">
    <w:abstractNumId w:val="29"/>
  </w:num>
  <w:num w:numId="30">
    <w:abstractNumId w:val="10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1198"/>
    <w:rsid w:val="00000065"/>
    <w:rsid w:val="00000BDB"/>
    <w:rsid w:val="000464A2"/>
    <w:rsid w:val="00060A44"/>
    <w:rsid w:val="0006405D"/>
    <w:rsid w:val="0006705C"/>
    <w:rsid w:val="00070064"/>
    <w:rsid w:val="00071DA4"/>
    <w:rsid w:val="00072888"/>
    <w:rsid w:val="00080040"/>
    <w:rsid w:val="000822B8"/>
    <w:rsid w:val="00090C62"/>
    <w:rsid w:val="00101D88"/>
    <w:rsid w:val="001251CF"/>
    <w:rsid w:val="00171F2E"/>
    <w:rsid w:val="00187BFC"/>
    <w:rsid w:val="001B2184"/>
    <w:rsid w:val="001C1091"/>
    <w:rsid w:val="001C5D1A"/>
    <w:rsid w:val="001E4BBA"/>
    <w:rsid w:val="001F5524"/>
    <w:rsid w:val="00250BC1"/>
    <w:rsid w:val="002C14FB"/>
    <w:rsid w:val="00343A8F"/>
    <w:rsid w:val="003B2A6F"/>
    <w:rsid w:val="00404561"/>
    <w:rsid w:val="00417ACA"/>
    <w:rsid w:val="00427E2D"/>
    <w:rsid w:val="00456B50"/>
    <w:rsid w:val="004B6901"/>
    <w:rsid w:val="004D7979"/>
    <w:rsid w:val="004E0E8C"/>
    <w:rsid w:val="005051B9"/>
    <w:rsid w:val="005473F9"/>
    <w:rsid w:val="00562320"/>
    <w:rsid w:val="005A0D53"/>
    <w:rsid w:val="005C0B65"/>
    <w:rsid w:val="005C375B"/>
    <w:rsid w:val="005F0CB9"/>
    <w:rsid w:val="00637E58"/>
    <w:rsid w:val="00667CE6"/>
    <w:rsid w:val="00693743"/>
    <w:rsid w:val="006D4CB6"/>
    <w:rsid w:val="006F29F5"/>
    <w:rsid w:val="006F49EA"/>
    <w:rsid w:val="0078435B"/>
    <w:rsid w:val="007A7738"/>
    <w:rsid w:val="007A7D7A"/>
    <w:rsid w:val="007E2BBA"/>
    <w:rsid w:val="0080207E"/>
    <w:rsid w:val="0083747B"/>
    <w:rsid w:val="00842F2E"/>
    <w:rsid w:val="00843C0A"/>
    <w:rsid w:val="00844521"/>
    <w:rsid w:val="0086687B"/>
    <w:rsid w:val="00941198"/>
    <w:rsid w:val="009864CE"/>
    <w:rsid w:val="009B4FBC"/>
    <w:rsid w:val="009C170D"/>
    <w:rsid w:val="009E1859"/>
    <w:rsid w:val="009F10A6"/>
    <w:rsid w:val="009F4C55"/>
    <w:rsid w:val="00AC2F80"/>
    <w:rsid w:val="00AD191B"/>
    <w:rsid w:val="00AD78E8"/>
    <w:rsid w:val="00AE7BFF"/>
    <w:rsid w:val="00B035FF"/>
    <w:rsid w:val="00B6547D"/>
    <w:rsid w:val="00B66058"/>
    <w:rsid w:val="00BC0163"/>
    <w:rsid w:val="00BD07FB"/>
    <w:rsid w:val="00BD7812"/>
    <w:rsid w:val="00BE3C85"/>
    <w:rsid w:val="00C36631"/>
    <w:rsid w:val="00C75C7E"/>
    <w:rsid w:val="00CB0FE6"/>
    <w:rsid w:val="00CB2006"/>
    <w:rsid w:val="00CB40AE"/>
    <w:rsid w:val="00CC63C8"/>
    <w:rsid w:val="00CF0780"/>
    <w:rsid w:val="00CF4E65"/>
    <w:rsid w:val="00D71FE9"/>
    <w:rsid w:val="00DC6053"/>
    <w:rsid w:val="00DF203D"/>
    <w:rsid w:val="00DF2E3F"/>
    <w:rsid w:val="00DF6517"/>
    <w:rsid w:val="00E810E9"/>
    <w:rsid w:val="00EF296F"/>
    <w:rsid w:val="00F52CAF"/>
    <w:rsid w:val="00FC1093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4CB6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6D4CB6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6D4CB6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D4CB6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6D4CB6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6D4CB6"/>
  </w:style>
  <w:style w:type="paragraph" w:styleId="Inhopg1">
    <w:name w:val="toc 1"/>
    <w:basedOn w:val="Standaard"/>
    <w:next w:val="Standaard"/>
    <w:autoRedefine/>
    <w:semiHidden/>
    <w:rsid w:val="006D4CB6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6D4CB6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6D4CB6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link w:val="Plattetekst2Char"/>
    <w:uiPriority w:val="99"/>
    <w:rsid w:val="006D4CB6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5F0CB9"/>
    <w:pPr>
      <w:ind w:left="708"/>
    </w:pPr>
  </w:style>
  <w:style w:type="paragraph" w:customStyle="1" w:styleId="SVVlaamsParlement">
    <w:name w:val="SV Vlaams Parlement"/>
    <w:basedOn w:val="Standaard"/>
    <w:rsid w:val="006D4CB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D4CB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D4CB6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5F0CB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5F0CB9"/>
    <w:rPr>
      <w:rFonts w:ascii="Tahoma" w:hAnsi="Tahoma" w:cs="Tahoma"/>
      <w:sz w:val="16"/>
      <w:szCs w:val="16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090C62"/>
    <w:rPr>
      <w:i/>
      <w:sz w:val="22"/>
      <w:lang w:val="nl-NL" w:eastAsia="nl-NL"/>
    </w:rPr>
  </w:style>
  <w:style w:type="table" w:styleId="Tabelraster">
    <w:name w:val="Table Grid"/>
    <w:basedOn w:val="Standaardtabel"/>
    <w:rsid w:val="0012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E1859"/>
    <w:rPr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link w:val="Plattetekst2Char"/>
    <w:uiPriority w:val="99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5F0CB9"/>
    <w:pPr>
      <w:ind w:left="708"/>
    </w:p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5F0CB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5F0CB9"/>
    <w:rPr>
      <w:rFonts w:ascii="Tahoma" w:hAnsi="Tahoma" w:cs="Tahoma"/>
      <w:sz w:val="16"/>
      <w:szCs w:val="16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090C62"/>
    <w:rPr>
      <w:i/>
      <w:sz w:val="22"/>
      <w:lang w:val="nl-NL" w:eastAsia="nl-NL"/>
    </w:rPr>
  </w:style>
  <w:style w:type="table" w:styleId="Tabelraster">
    <w:name w:val="Table Grid"/>
    <w:basedOn w:val="Standaardtabel"/>
    <w:rsid w:val="0012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E185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2013-01-10T14:40:00Z</cp:lastPrinted>
  <dcterms:created xsi:type="dcterms:W3CDTF">2013-01-28T12:38:00Z</dcterms:created>
  <dcterms:modified xsi:type="dcterms:W3CDTF">2013-02-01T13:29:00Z</dcterms:modified>
</cp:coreProperties>
</file>