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668" w:rsidRDefault="00FA7668" w:rsidP="00E75531">
      <w:pPr>
        <w:jc w:val="both"/>
        <w:rPr>
          <w:b/>
          <w:smallCaps/>
          <w:sz w:val="22"/>
        </w:rPr>
      </w:pPr>
      <w:bookmarkStart w:id="0" w:name="_GoBack"/>
      <w:bookmarkEnd w:id="0"/>
      <w:r>
        <w:rPr>
          <w:b/>
          <w:smallCaps/>
          <w:sz w:val="22"/>
        </w:rPr>
        <w:t>ingrid lieten</w:t>
      </w:r>
    </w:p>
    <w:p w:rsidR="00FA7668" w:rsidRDefault="00FA7668" w:rsidP="00E75531">
      <w:pPr>
        <w:pStyle w:val="StandaardSV"/>
        <w:rPr>
          <w:smallCaps/>
        </w:rPr>
      </w:pPr>
      <w:r>
        <w:rPr>
          <w:smallCaps/>
        </w:rPr>
        <w:t>viceminister-president van de vlaamse regering, vlaams minister van innovatie, overheidsinvesteringen, media en armoedebestrijding</w:t>
      </w:r>
    </w:p>
    <w:p w:rsidR="00FA7668" w:rsidRDefault="00FA7668" w:rsidP="00E75531">
      <w:pPr>
        <w:pBdr>
          <w:bottom w:val="single" w:sz="4" w:space="1" w:color="auto"/>
        </w:pBdr>
        <w:jc w:val="both"/>
        <w:rPr>
          <w:sz w:val="22"/>
        </w:rPr>
      </w:pPr>
    </w:p>
    <w:p w:rsidR="00FA7668" w:rsidRDefault="00FA7668" w:rsidP="00E75531">
      <w:pPr>
        <w:jc w:val="both"/>
        <w:rPr>
          <w:sz w:val="22"/>
        </w:rPr>
      </w:pPr>
    </w:p>
    <w:p w:rsidR="00FA7668" w:rsidRPr="00103D45" w:rsidRDefault="00FA7668" w:rsidP="00E75531">
      <w:pPr>
        <w:jc w:val="both"/>
        <w:rPr>
          <w:b/>
          <w:smallCaps/>
          <w:sz w:val="22"/>
          <w:szCs w:val="22"/>
        </w:rPr>
      </w:pPr>
      <w:r w:rsidRPr="00103D45">
        <w:rPr>
          <w:b/>
          <w:smallCaps/>
          <w:sz w:val="22"/>
          <w:szCs w:val="22"/>
        </w:rPr>
        <w:t>antwoord</w:t>
      </w:r>
    </w:p>
    <w:p w:rsidR="00FA7668" w:rsidRPr="00103D45" w:rsidRDefault="00FA7668" w:rsidP="00E75531">
      <w:pPr>
        <w:jc w:val="both"/>
        <w:rPr>
          <w:sz w:val="22"/>
          <w:szCs w:val="22"/>
        </w:rPr>
      </w:pPr>
      <w:r w:rsidRPr="00103D45">
        <w:rPr>
          <w:sz w:val="22"/>
          <w:szCs w:val="22"/>
        </w:rPr>
        <w:t xml:space="preserve">op vraag nr. </w:t>
      </w:r>
      <w:r>
        <w:rPr>
          <w:sz w:val="22"/>
        </w:rPr>
        <w:t>107</w:t>
      </w:r>
      <w:r w:rsidRPr="00103D45">
        <w:rPr>
          <w:sz w:val="22"/>
          <w:szCs w:val="22"/>
        </w:rPr>
        <w:t xml:space="preserve"> van </w:t>
      </w:r>
      <w:r>
        <w:rPr>
          <w:sz w:val="22"/>
        </w:rPr>
        <w:t>6 december 2012</w:t>
      </w:r>
    </w:p>
    <w:p w:rsidR="00FA7668" w:rsidRDefault="00FA7668" w:rsidP="00E75531">
      <w:pPr>
        <w:jc w:val="both"/>
        <w:rPr>
          <w:sz w:val="22"/>
        </w:rPr>
      </w:pPr>
      <w:r w:rsidRPr="00103D45">
        <w:rPr>
          <w:sz w:val="22"/>
          <w:szCs w:val="22"/>
        </w:rPr>
        <w:t xml:space="preserve">van </w:t>
      </w:r>
      <w:r>
        <w:rPr>
          <w:b/>
          <w:smallCaps/>
        </w:rPr>
        <w:t>johan deckmyn</w:t>
      </w:r>
    </w:p>
    <w:p w:rsidR="00FA7668" w:rsidRDefault="00FA7668" w:rsidP="00E75531">
      <w:pPr>
        <w:pBdr>
          <w:bottom w:val="single" w:sz="4" w:space="1" w:color="auto"/>
        </w:pBdr>
        <w:jc w:val="both"/>
        <w:rPr>
          <w:sz w:val="22"/>
        </w:rPr>
      </w:pPr>
    </w:p>
    <w:p w:rsidR="00FA7668" w:rsidRPr="00FA7668" w:rsidRDefault="00FA7668" w:rsidP="00E75531">
      <w:pPr>
        <w:jc w:val="both"/>
        <w:rPr>
          <w:sz w:val="22"/>
          <w:szCs w:val="22"/>
        </w:rPr>
      </w:pPr>
    </w:p>
    <w:p w:rsidR="00FA7668" w:rsidRPr="00FA7668" w:rsidRDefault="00FA7668" w:rsidP="00E75531">
      <w:pPr>
        <w:pStyle w:val="SVVlaamsParlement"/>
      </w:pPr>
    </w:p>
    <w:p w:rsidR="007503AC" w:rsidRPr="00FA7668" w:rsidRDefault="007503AC" w:rsidP="00E75531">
      <w:pPr>
        <w:pStyle w:val="StandaardSV"/>
        <w:numPr>
          <w:ilvl w:val="0"/>
          <w:numId w:val="24"/>
        </w:numPr>
      </w:pPr>
      <w:r w:rsidRPr="00FA7668">
        <w:t xml:space="preserve">Deze informatie is terug te vinden in de publieke rapportage van het ARKimedes-Fonds nv </w:t>
      </w:r>
      <w:r w:rsidR="00BC1A00" w:rsidRPr="00FA7668">
        <w:t>(het eerste ARKimedesfonds dat in 2005 beroep deed op het publiek spaarwezen)</w:t>
      </w:r>
      <w:r w:rsidR="00FA7668">
        <w:t>. Deze rapportage is terug te vinden o</w:t>
      </w:r>
      <w:r w:rsidRPr="00FA7668">
        <w:t xml:space="preserve">p de website </w:t>
      </w:r>
      <w:hyperlink r:id="rId6" w:history="1">
        <w:r w:rsidR="00FA7668" w:rsidRPr="00A959E7">
          <w:rPr>
            <w:rStyle w:val="Hyperlink"/>
          </w:rPr>
          <w:t>www.arkimedes.be</w:t>
        </w:r>
      </w:hyperlink>
      <w:r w:rsidRPr="00FA7668">
        <w:t>.</w:t>
      </w:r>
    </w:p>
    <w:p w:rsidR="007503AC" w:rsidRPr="00FA7668" w:rsidRDefault="007503AC" w:rsidP="00E75531">
      <w:pPr>
        <w:pStyle w:val="StandaardSV"/>
        <w:ind w:left="360"/>
      </w:pPr>
    </w:p>
    <w:p w:rsidR="00226C91" w:rsidRPr="00FA7668" w:rsidRDefault="007503AC" w:rsidP="00E75531">
      <w:pPr>
        <w:pStyle w:val="StandaardSV"/>
        <w:ind w:left="360"/>
      </w:pPr>
      <w:r w:rsidRPr="00FA7668">
        <w:t>Het halfjaarlijks resultaat per 30 september 2012 van ARKimedes-Fonds nv (het eerste fonds) bedraagt</w:t>
      </w:r>
      <w:r w:rsidR="00FA7668">
        <w:t xml:space="preserve"> -</w:t>
      </w:r>
      <w:r w:rsidRPr="00FA7668">
        <w:t>7.962.976 euro</w:t>
      </w:r>
      <w:r w:rsidR="00774489" w:rsidRPr="00FA7668">
        <w:t>,</w:t>
      </w:r>
      <w:r w:rsidRPr="00FA7668">
        <w:t xml:space="preserve"> </w:t>
      </w:r>
      <w:r w:rsidR="00E22050" w:rsidRPr="00FA7668">
        <w:t xml:space="preserve">vnl. te wijten aan </w:t>
      </w:r>
      <w:r w:rsidRPr="00FA7668">
        <w:t xml:space="preserve">6.637.865 </w:t>
      </w:r>
      <w:r w:rsidR="00E22050" w:rsidRPr="00FA7668">
        <w:t xml:space="preserve">euro uitzonderlijk </w:t>
      </w:r>
      <w:r w:rsidRPr="00FA7668">
        <w:t>aangelegde waardeverminderingen op ARKIV’s</w:t>
      </w:r>
      <w:r w:rsidR="006C7239" w:rsidRPr="00FA7668">
        <w:t>.</w:t>
      </w:r>
    </w:p>
    <w:p w:rsidR="006E7A7E" w:rsidRPr="00FA7668" w:rsidRDefault="006C7239" w:rsidP="00E75531">
      <w:pPr>
        <w:pStyle w:val="StandaardSV"/>
        <w:ind w:left="360"/>
      </w:pPr>
      <w:r w:rsidRPr="00FA7668">
        <w:t xml:space="preserve"> </w:t>
      </w:r>
    </w:p>
    <w:p w:rsidR="001815DE" w:rsidRPr="00FA7668" w:rsidRDefault="006E7A7E" w:rsidP="00E75531">
      <w:pPr>
        <w:pStyle w:val="StandaardSV"/>
        <w:ind w:left="360"/>
      </w:pPr>
      <w:r w:rsidRPr="00FA7668">
        <w:t xml:space="preserve">Het ARKimedes-Fonds nv boekt </w:t>
      </w:r>
      <w:r w:rsidR="00226C91" w:rsidRPr="00FA7668">
        <w:t xml:space="preserve">immers </w:t>
      </w:r>
      <w:r w:rsidRPr="00FA7668">
        <w:t xml:space="preserve">vanuit voorzichtigheidsprincipe sinds 2009 automatisch </w:t>
      </w:r>
      <w:r w:rsidR="001815DE" w:rsidRPr="00FA7668">
        <w:t xml:space="preserve">waardeverminderingen ten belope van </w:t>
      </w:r>
      <w:r w:rsidRPr="00FA7668">
        <w:t>haar pro rata deel in de door de ARKIV’s gerealiseerde minwaarden op participaties en dit ongeacht het onderliggende financieel plan van elke ARKIV</w:t>
      </w:r>
      <w:r w:rsidR="00910FCD" w:rsidRPr="00FA7668">
        <w:t xml:space="preserve"> en het daaruit te verwachten eindresultaat voor ARKimedes-Fonds nv</w:t>
      </w:r>
      <w:r w:rsidRPr="00FA7668">
        <w:t>.</w:t>
      </w:r>
      <w:r w:rsidR="00226C91" w:rsidRPr="00FA7668">
        <w:t xml:space="preserve"> Deze boekingswijze is </w:t>
      </w:r>
      <w:r w:rsidR="005748C7">
        <w:t xml:space="preserve">eerder </w:t>
      </w:r>
      <w:r w:rsidR="00226C91" w:rsidRPr="00FA7668">
        <w:t>conservatief.</w:t>
      </w:r>
    </w:p>
    <w:p w:rsidR="006E7A7E" w:rsidRPr="00FA7668" w:rsidRDefault="006E7A7E" w:rsidP="00E75531">
      <w:pPr>
        <w:pStyle w:val="StandaardSV"/>
        <w:ind w:left="360"/>
      </w:pPr>
    </w:p>
    <w:p w:rsidR="006E7A7E" w:rsidRPr="00FA7668" w:rsidRDefault="00462159" w:rsidP="00E75531">
      <w:pPr>
        <w:pStyle w:val="StandaardSV"/>
        <w:ind w:left="360"/>
      </w:pPr>
      <w:r w:rsidRPr="00FA7668">
        <w:t xml:space="preserve">Het ARKimedes-Fonds nv is een dakfonds dat investeert in door ARKimedes Management erkende durfkapitaalfondsen </w:t>
      </w:r>
      <w:r w:rsidR="00630E65" w:rsidRPr="00FA7668">
        <w:t xml:space="preserve">(de zogenaamde ARKIV’s) </w:t>
      </w:r>
      <w:r w:rsidRPr="00FA7668">
        <w:t xml:space="preserve">die op hun beurt vnl. investeren in (niet beursgenoteerde) early stage ondernemingen in Vlaanderen. Het ARKimedes-Fonds heeft </w:t>
      </w:r>
      <w:r w:rsidR="00630E65" w:rsidRPr="00FA7668">
        <w:t xml:space="preserve">als closed end durfkapitaaldakfonds </w:t>
      </w:r>
      <w:r w:rsidRPr="00FA7668">
        <w:t xml:space="preserve">geen tussentijdse </w:t>
      </w:r>
      <w:r w:rsidR="00630E65" w:rsidRPr="00FA7668">
        <w:t xml:space="preserve">recurrente </w:t>
      </w:r>
      <w:r w:rsidRPr="00FA7668">
        <w:t>inkomsten</w:t>
      </w:r>
      <w:r w:rsidR="00630E65" w:rsidRPr="00FA7668">
        <w:t xml:space="preserve">. Het </w:t>
      </w:r>
      <w:r w:rsidRPr="00FA7668">
        <w:t xml:space="preserve">is pas als de ARKIV’s hun participaties </w:t>
      </w:r>
      <w:r w:rsidR="00630E65" w:rsidRPr="00FA7668">
        <w:t xml:space="preserve">in doelondernemingen </w:t>
      </w:r>
      <w:r w:rsidRPr="00FA7668">
        <w:t xml:space="preserve">met succes verzilveren dat gelden naar het dakfonds terugkeren en </w:t>
      </w:r>
      <w:r w:rsidR="00403EFA" w:rsidRPr="00FA7668">
        <w:t xml:space="preserve">als </w:t>
      </w:r>
      <w:r w:rsidRPr="00FA7668">
        <w:t>de</w:t>
      </w:r>
      <w:r w:rsidR="00630E65" w:rsidRPr="00FA7668">
        <w:t>ze</w:t>
      </w:r>
      <w:r w:rsidRPr="00FA7668">
        <w:t xml:space="preserve"> gelden terugkeren </w:t>
      </w:r>
      <w:r w:rsidR="00910FCD" w:rsidRPr="00FA7668">
        <w:t>via di</w:t>
      </w:r>
      <w:r w:rsidR="00630E65" w:rsidRPr="00FA7668">
        <w:t>videnden dat inkomsten in de resultatenrekening van het dakfonds tot uiting zullen komen</w:t>
      </w:r>
      <w:r w:rsidRPr="00FA7668">
        <w:t>.</w:t>
      </w:r>
      <w:r w:rsidR="00630E65" w:rsidRPr="00FA7668">
        <w:t xml:space="preserve"> </w:t>
      </w:r>
      <w:r w:rsidR="002735D4" w:rsidRPr="00FA7668">
        <w:t>D</w:t>
      </w:r>
      <w:r w:rsidR="001815DE" w:rsidRPr="00FA7668">
        <w:t xml:space="preserve">an </w:t>
      </w:r>
      <w:r w:rsidR="002735D4" w:rsidRPr="00FA7668">
        <w:t>kunn</w:t>
      </w:r>
      <w:r w:rsidR="001815DE" w:rsidRPr="00FA7668">
        <w:t xml:space="preserve">en </w:t>
      </w:r>
      <w:r w:rsidR="002735D4" w:rsidRPr="00FA7668">
        <w:t xml:space="preserve">ook </w:t>
      </w:r>
      <w:r w:rsidR="001815DE" w:rsidRPr="00FA7668">
        <w:t xml:space="preserve">de aangelegde waardeverminderingen </w:t>
      </w:r>
      <w:r w:rsidR="002735D4" w:rsidRPr="00FA7668">
        <w:t xml:space="preserve">stelselmatig worden </w:t>
      </w:r>
      <w:r w:rsidR="001815DE" w:rsidRPr="00FA7668">
        <w:t xml:space="preserve">teruggenomen. </w:t>
      </w:r>
      <w:r w:rsidR="00630E65" w:rsidRPr="00FA7668">
        <w:t xml:space="preserve">Het zal vnl. naar de einddatum toe van het dakfonds </w:t>
      </w:r>
      <w:r w:rsidR="00910FCD" w:rsidRPr="00FA7668">
        <w:t xml:space="preserve">(2018) </w:t>
      </w:r>
      <w:r w:rsidR="00630E65" w:rsidRPr="00FA7668">
        <w:t xml:space="preserve">duidelijk worden welke exit-inkomsten vanuit de ARKIV’s naar het dakfonds </w:t>
      </w:r>
      <w:r w:rsidR="00910FCD" w:rsidRPr="00FA7668">
        <w:t>z</w:t>
      </w:r>
      <w:r w:rsidR="00630E65" w:rsidRPr="00FA7668">
        <w:t>u</w:t>
      </w:r>
      <w:r w:rsidR="00910FCD" w:rsidRPr="00FA7668">
        <w:t>ll</w:t>
      </w:r>
      <w:r w:rsidR="00630E65" w:rsidRPr="00FA7668">
        <w:t>en stromen.</w:t>
      </w:r>
    </w:p>
    <w:p w:rsidR="006E7A7E" w:rsidRPr="00FA7668" w:rsidRDefault="006E7A7E" w:rsidP="00E75531">
      <w:pPr>
        <w:pStyle w:val="StandaardSV"/>
        <w:ind w:left="360"/>
      </w:pPr>
    </w:p>
    <w:p w:rsidR="00774489" w:rsidRPr="00FA7668" w:rsidRDefault="00462159" w:rsidP="00E75531">
      <w:pPr>
        <w:pStyle w:val="StandaardSV"/>
        <w:ind w:left="360"/>
      </w:pPr>
      <w:r w:rsidRPr="00FA7668">
        <w:t>Hierna een lijst met</w:t>
      </w:r>
      <w:r w:rsidR="00630E65" w:rsidRPr="00FA7668">
        <w:t xml:space="preserve"> h</w:t>
      </w:r>
      <w:r w:rsidRPr="00FA7668">
        <w:t xml:space="preserve">et jaarlijks netto resultaat </w:t>
      </w:r>
      <w:r w:rsidR="00910FCD" w:rsidRPr="00FA7668">
        <w:t>van ARKimedes-F</w:t>
      </w:r>
      <w:r w:rsidR="00630E65" w:rsidRPr="00FA7668">
        <w:t xml:space="preserve">onds nv </w:t>
      </w:r>
      <w:r w:rsidRPr="00FA7668">
        <w:t xml:space="preserve">met daarnaast de </w:t>
      </w:r>
      <w:r w:rsidR="00F75DE9" w:rsidRPr="00FA7668">
        <w:t>(</w:t>
      </w:r>
      <w:r w:rsidRPr="00FA7668">
        <w:t>voorzichtigheids</w:t>
      </w:r>
      <w:r w:rsidR="00910FCD" w:rsidRPr="00FA7668">
        <w:t>halve</w:t>
      </w:r>
      <w:r w:rsidR="00F75DE9" w:rsidRPr="00FA7668">
        <w:t>)</w:t>
      </w:r>
      <w:r w:rsidRPr="00FA7668">
        <w:t xml:space="preserve"> aangelegde waardeverminderingen op ARKIV’s door bovenvermelde automatische waarderingsregel:</w:t>
      </w:r>
    </w:p>
    <w:p w:rsidR="00192E13" w:rsidRPr="00FA7668" w:rsidRDefault="00192E13" w:rsidP="00E75531">
      <w:pPr>
        <w:pStyle w:val="StandaardSV"/>
        <w:ind w:left="36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543"/>
        <w:gridCol w:w="4300"/>
      </w:tblGrid>
      <w:tr w:rsidR="00FA7668" w:rsidRPr="00FA7668" w:rsidTr="00FA7668">
        <w:tc>
          <w:tcPr>
            <w:tcW w:w="2250" w:type="dxa"/>
            <w:shd w:val="clear" w:color="auto" w:fill="auto"/>
          </w:tcPr>
          <w:p w:rsidR="00462159" w:rsidRPr="00FA7668" w:rsidRDefault="00462159" w:rsidP="00E75531">
            <w:pPr>
              <w:pStyle w:val="StandaardSV"/>
              <w:rPr>
                <w:b/>
                <w:sz w:val="20"/>
              </w:rPr>
            </w:pPr>
            <w:r w:rsidRPr="00FA7668">
              <w:rPr>
                <w:b/>
                <w:sz w:val="20"/>
              </w:rPr>
              <w:t>Boekjaar eindigend op</w:t>
            </w:r>
          </w:p>
        </w:tc>
        <w:tc>
          <w:tcPr>
            <w:tcW w:w="1543" w:type="dxa"/>
            <w:shd w:val="clear" w:color="auto" w:fill="auto"/>
          </w:tcPr>
          <w:p w:rsidR="00462159" w:rsidRPr="00FA7668" w:rsidRDefault="00462159" w:rsidP="00E75531">
            <w:pPr>
              <w:pStyle w:val="StandaardSV"/>
              <w:rPr>
                <w:b/>
                <w:sz w:val="20"/>
              </w:rPr>
            </w:pPr>
            <w:r w:rsidRPr="00FA7668">
              <w:rPr>
                <w:b/>
                <w:sz w:val="20"/>
              </w:rPr>
              <w:t>Resultaat</w:t>
            </w:r>
          </w:p>
        </w:tc>
        <w:tc>
          <w:tcPr>
            <w:tcW w:w="4300" w:type="dxa"/>
            <w:shd w:val="clear" w:color="auto" w:fill="auto"/>
          </w:tcPr>
          <w:p w:rsidR="00462159" w:rsidRPr="00FA7668" w:rsidRDefault="00403EFA" w:rsidP="00E75531">
            <w:pPr>
              <w:pStyle w:val="StandaardSV"/>
              <w:rPr>
                <w:b/>
                <w:sz w:val="20"/>
              </w:rPr>
            </w:pPr>
            <w:r w:rsidRPr="00FA7668">
              <w:rPr>
                <w:b/>
                <w:sz w:val="20"/>
              </w:rPr>
              <w:t>G</w:t>
            </w:r>
            <w:r w:rsidR="00462159" w:rsidRPr="00FA7668">
              <w:rPr>
                <w:b/>
                <w:sz w:val="20"/>
              </w:rPr>
              <w:t>eboekte waardeverminderingen op ARKIV’s</w:t>
            </w:r>
          </w:p>
        </w:tc>
      </w:tr>
      <w:tr w:rsidR="00FA7668" w:rsidRPr="00FA7668" w:rsidTr="00FA7668">
        <w:tc>
          <w:tcPr>
            <w:tcW w:w="2250" w:type="dxa"/>
            <w:shd w:val="clear" w:color="auto" w:fill="auto"/>
          </w:tcPr>
          <w:p w:rsidR="00462159" w:rsidRPr="00FA7668" w:rsidRDefault="00462159" w:rsidP="00E75531">
            <w:pPr>
              <w:pStyle w:val="StandaardSV"/>
              <w:rPr>
                <w:sz w:val="20"/>
              </w:rPr>
            </w:pPr>
            <w:r w:rsidRPr="00FA7668">
              <w:rPr>
                <w:sz w:val="20"/>
              </w:rPr>
              <w:t>31/3/2007</w:t>
            </w:r>
          </w:p>
        </w:tc>
        <w:tc>
          <w:tcPr>
            <w:tcW w:w="1543" w:type="dxa"/>
            <w:shd w:val="clear" w:color="auto" w:fill="auto"/>
          </w:tcPr>
          <w:p w:rsidR="00462159" w:rsidRPr="00FA7668" w:rsidRDefault="00FA7668" w:rsidP="00E75531">
            <w:pPr>
              <w:pStyle w:val="StandaardSV"/>
              <w:ind w:left="360"/>
              <w:rPr>
                <w:sz w:val="20"/>
              </w:rPr>
            </w:pPr>
            <w:r w:rsidRPr="00FA7668">
              <w:rPr>
                <w:sz w:val="20"/>
              </w:rPr>
              <w:t>-</w:t>
            </w:r>
            <w:r w:rsidR="00257824" w:rsidRPr="00FA7668">
              <w:rPr>
                <w:sz w:val="20"/>
              </w:rPr>
              <w:t>1.260.870</w:t>
            </w:r>
          </w:p>
        </w:tc>
        <w:tc>
          <w:tcPr>
            <w:tcW w:w="4300" w:type="dxa"/>
            <w:shd w:val="clear" w:color="auto" w:fill="auto"/>
          </w:tcPr>
          <w:p w:rsidR="00462159" w:rsidRPr="00FA7668" w:rsidRDefault="00FA7668" w:rsidP="00E75531">
            <w:pPr>
              <w:pStyle w:val="StandaardSV"/>
              <w:ind w:left="360"/>
              <w:rPr>
                <w:sz w:val="20"/>
              </w:rPr>
            </w:pPr>
            <w:r w:rsidRPr="00FA7668">
              <w:rPr>
                <w:sz w:val="20"/>
              </w:rPr>
              <w:t>-</w:t>
            </w:r>
            <w:r w:rsidR="00257824" w:rsidRPr="00FA7668">
              <w:rPr>
                <w:sz w:val="20"/>
              </w:rPr>
              <w:t>160.678</w:t>
            </w:r>
          </w:p>
        </w:tc>
      </w:tr>
      <w:tr w:rsidR="00FA7668" w:rsidRPr="00FA7668" w:rsidTr="00FA7668">
        <w:tc>
          <w:tcPr>
            <w:tcW w:w="2250" w:type="dxa"/>
            <w:shd w:val="clear" w:color="auto" w:fill="auto"/>
          </w:tcPr>
          <w:p w:rsidR="00462159" w:rsidRPr="00FA7668" w:rsidRDefault="00462159" w:rsidP="00E75531">
            <w:pPr>
              <w:pStyle w:val="StandaardSV"/>
              <w:rPr>
                <w:sz w:val="20"/>
              </w:rPr>
            </w:pPr>
            <w:r w:rsidRPr="00FA7668">
              <w:rPr>
                <w:sz w:val="20"/>
              </w:rPr>
              <w:t>31/3/2008</w:t>
            </w:r>
          </w:p>
        </w:tc>
        <w:tc>
          <w:tcPr>
            <w:tcW w:w="1543" w:type="dxa"/>
            <w:shd w:val="clear" w:color="auto" w:fill="auto"/>
          </w:tcPr>
          <w:p w:rsidR="00462159" w:rsidRPr="00FA7668" w:rsidRDefault="00FA7668" w:rsidP="00E75531">
            <w:pPr>
              <w:pStyle w:val="StandaardSV"/>
              <w:ind w:left="360"/>
              <w:rPr>
                <w:sz w:val="20"/>
              </w:rPr>
            </w:pPr>
            <w:r w:rsidRPr="00FA7668">
              <w:rPr>
                <w:sz w:val="20"/>
              </w:rPr>
              <w:t>-</w:t>
            </w:r>
            <w:r w:rsidR="00257824" w:rsidRPr="00FA7668">
              <w:rPr>
                <w:sz w:val="20"/>
              </w:rPr>
              <w:t>4.226.873</w:t>
            </w:r>
          </w:p>
        </w:tc>
        <w:tc>
          <w:tcPr>
            <w:tcW w:w="4300" w:type="dxa"/>
            <w:shd w:val="clear" w:color="auto" w:fill="auto"/>
          </w:tcPr>
          <w:p w:rsidR="00462159" w:rsidRPr="00FA7668" w:rsidRDefault="00FA7668" w:rsidP="00E75531">
            <w:pPr>
              <w:pStyle w:val="StandaardSV"/>
              <w:ind w:left="360"/>
              <w:rPr>
                <w:sz w:val="20"/>
              </w:rPr>
            </w:pPr>
            <w:r w:rsidRPr="00FA7668">
              <w:rPr>
                <w:sz w:val="20"/>
              </w:rPr>
              <w:t>-</w:t>
            </w:r>
            <w:r w:rsidR="000063D1" w:rsidRPr="00FA7668">
              <w:rPr>
                <w:sz w:val="20"/>
              </w:rPr>
              <w:t>349.300</w:t>
            </w:r>
          </w:p>
        </w:tc>
      </w:tr>
      <w:tr w:rsidR="00FA7668" w:rsidRPr="00FA7668" w:rsidTr="00FA7668">
        <w:tc>
          <w:tcPr>
            <w:tcW w:w="2250" w:type="dxa"/>
            <w:shd w:val="clear" w:color="auto" w:fill="auto"/>
          </w:tcPr>
          <w:p w:rsidR="00462159" w:rsidRPr="00FA7668" w:rsidRDefault="00462159" w:rsidP="00E75531">
            <w:pPr>
              <w:pStyle w:val="StandaardSV"/>
              <w:rPr>
                <w:sz w:val="20"/>
              </w:rPr>
            </w:pPr>
            <w:r w:rsidRPr="00FA7668">
              <w:rPr>
                <w:sz w:val="20"/>
              </w:rPr>
              <w:t>31/3/2009</w:t>
            </w:r>
          </w:p>
        </w:tc>
        <w:tc>
          <w:tcPr>
            <w:tcW w:w="1543" w:type="dxa"/>
            <w:shd w:val="clear" w:color="auto" w:fill="auto"/>
          </w:tcPr>
          <w:p w:rsidR="00462159" w:rsidRPr="00FA7668" w:rsidRDefault="00FA7668" w:rsidP="00E75531">
            <w:pPr>
              <w:pStyle w:val="StandaardSV"/>
              <w:ind w:left="360"/>
              <w:rPr>
                <w:sz w:val="20"/>
              </w:rPr>
            </w:pPr>
            <w:r w:rsidRPr="00FA7668">
              <w:rPr>
                <w:sz w:val="20"/>
              </w:rPr>
              <w:t>-</w:t>
            </w:r>
            <w:r w:rsidR="00257824" w:rsidRPr="00FA7668">
              <w:rPr>
                <w:sz w:val="20"/>
              </w:rPr>
              <w:t>7.839.246</w:t>
            </w:r>
          </w:p>
        </w:tc>
        <w:tc>
          <w:tcPr>
            <w:tcW w:w="4300" w:type="dxa"/>
            <w:shd w:val="clear" w:color="auto" w:fill="auto"/>
          </w:tcPr>
          <w:p w:rsidR="00462159" w:rsidRPr="00FA7668" w:rsidRDefault="00FA7668" w:rsidP="00E75531">
            <w:pPr>
              <w:pStyle w:val="StandaardSV"/>
              <w:ind w:left="360"/>
              <w:rPr>
                <w:sz w:val="20"/>
              </w:rPr>
            </w:pPr>
            <w:r w:rsidRPr="00FA7668">
              <w:rPr>
                <w:sz w:val="20"/>
              </w:rPr>
              <w:t>-</w:t>
            </w:r>
            <w:r w:rsidR="00257824" w:rsidRPr="00FA7668">
              <w:rPr>
                <w:sz w:val="20"/>
              </w:rPr>
              <w:t>3.355.456</w:t>
            </w:r>
          </w:p>
        </w:tc>
      </w:tr>
      <w:tr w:rsidR="00FA7668" w:rsidRPr="00FA7668" w:rsidTr="00FA7668">
        <w:tc>
          <w:tcPr>
            <w:tcW w:w="2250" w:type="dxa"/>
            <w:shd w:val="clear" w:color="auto" w:fill="auto"/>
          </w:tcPr>
          <w:p w:rsidR="000063D1" w:rsidRPr="00FA7668" w:rsidRDefault="000063D1" w:rsidP="00E75531">
            <w:pPr>
              <w:pStyle w:val="StandaardSV"/>
              <w:rPr>
                <w:sz w:val="20"/>
              </w:rPr>
            </w:pPr>
            <w:r w:rsidRPr="00FA7668">
              <w:rPr>
                <w:sz w:val="20"/>
              </w:rPr>
              <w:t>31/3/2010</w:t>
            </w:r>
          </w:p>
        </w:tc>
        <w:tc>
          <w:tcPr>
            <w:tcW w:w="1543" w:type="dxa"/>
            <w:shd w:val="clear" w:color="auto" w:fill="auto"/>
          </w:tcPr>
          <w:p w:rsidR="000063D1" w:rsidRPr="00FA7668" w:rsidRDefault="00FA7668" w:rsidP="00E75531">
            <w:pPr>
              <w:pStyle w:val="StandaardSV"/>
              <w:ind w:left="360"/>
              <w:rPr>
                <w:sz w:val="20"/>
              </w:rPr>
            </w:pPr>
            <w:r w:rsidRPr="00FA7668">
              <w:rPr>
                <w:sz w:val="20"/>
              </w:rPr>
              <w:t>-</w:t>
            </w:r>
            <w:r w:rsidR="000063D1" w:rsidRPr="00FA7668">
              <w:rPr>
                <w:sz w:val="20"/>
              </w:rPr>
              <w:t>5.458.570</w:t>
            </w:r>
          </w:p>
        </w:tc>
        <w:tc>
          <w:tcPr>
            <w:tcW w:w="4300" w:type="dxa"/>
            <w:shd w:val="clear" w:color="auto" w:fill="auto"/>
          </w:tcPr>
          <w:p w:rsidR="000063D1" w:rsidRPr="00FA7668" w:rsidRDefault="00FA7668" w:rsidP="00E75531">
            <w:pPr>
              <w:pStyle w:val="StandaardSV"/>
              <w:ind w:left="360"/>
              <w:rPr>
                <w:sz w:val="20"/>
              </w:rPr>
            </w:pPr>
            <w:r w:rsidRPr="00FA7668">
              <w:rPr>
                <w:sz w:val="20"/>
              </w:rPr>
              <w:t>-</w:t>
            </w:r>
            <w:r w:rsidR="000063D1" w:rsidRPr="00FA7668">
              <w:rPr>
                <w:sz w:val="20"/>
              </w:rPr>
              <w:t>2.017.298</w:t>
            </w:r>
          </w:p>
        </w:tc>
      </w:tr>
      <w:tr w:rsidR="00FA7668" w:rsidRPr="00FA7668" w:rsidTr="00FA7668">
        <w:tc>
          <w:tcPr>
            <w:tcW w:w="2250" w:type="dxa"/>
            <w:shd w:val="clear" w:color="auto" w:fill="auto"/>
          </w:tcPr>
          <w:p w:rsidR="00462159" w:rsidRPr="00FA7668" w:rsidRDefault="000063D1" w:rsidP="00E75531">
            <w:pPr>
              <w:pStyle w:val="StandaardSV"/>
              <w:rPr>
                <w:sz w:val="20"/>
              </w:rPr>
            </w:pPr>
            <w:r w:rsidRPr="00FA7668">
              <w:rPr>
                <w:sz w:val="20"/>
              </w:rPr>
              <w:t>31/3/2011</w:t>
            </w:r>
          </w:p>
        </w:tc>
        <w:tc>
          <w:tcPr>
            <w:tcW w:w="1543" w:type="dxa"/>
            <w:shd w:val="clear" w:color="auto" w:fill="auto"/>
          </w:tcPr>
          <w:p w:rsidR="00462159" w:rsidRPr="00FA7668" w:rsidRDefault="00FA7668" w:rsidP="00E75531">
            <w:pPr>
              <w:pStyle w:val="StandaardSV"/>
              <w:ind w:left="360"/>
              <w:rPr>
                <w:sz w:val="20"/>
              </w:rPr>
            </w:pPr>
            <w:r w:rsidRPr="00FA7668">
              <w:rPr>
                <w:sz w:val="20"/>
              </w:rPr>
              <w:t>-</w:t>
            </w:r>
            <w:r w:rsidR="00462159" w:rsidRPr="00FA7668">
              <w:rPr>
                <w:sz w:val="20"/>
              </w:rPr>
              <w:t>6.320.176</w:t>
            </w:r>
          </w:p>
        </w:tc>
        <w:tc>
          <w:tcPr>
            <w:tcW w:w="4300" w:type="dxa"/>
            <w:shd w:val="clear" w:color="auto" w:fill="auto"/>
          </w:tcPr>
          <w:p w:rsidR="00462159" w:rsidRPr="00FA7668" w:rsidRDefault="00FA7668" w:rsidP="00E75531">
            <w:pPr>
              <w:pStyle w:val="StandaardSV"/>
              <w:ind w:left="360"/>
              <w:rPr>
                <w:sz w:val="20"/>
              </w:rPr>
            </w:pPr>
            <w:r w:rsidRPr="00FA7668">
              <w:rPr>
                <w:sz w:val="20"/>
              </w:rPr>
              <w:t>-</w:t>
            </w:r>
            <w:r w:rsidR="00462159" w:rsidRPr="00FA7668">
              <w:rPr>
                <w:sz w:val="20"/>
              </w:rPr>
              <w:t>3.129.939</w:t>
            </w:r>
          </w:p>
        </w:tc>
      </w:tr>
      <w:tr w:rsidR="00FA7668" w:rsidRPr="00FA7668" w:rsidTr="00FA7668">
        <w:tc>
          <w:tcPr>
            <w:tcW w:w="2250" w:type="dxa"/>
            <w:shd w:val="clear" w:color="auto" w:fill="auto"/>
          </w:tcPr>
          <w:p w:rsidR="00462159" w:rsidRPr="00FA7668" w:rsidRDefault="000063D1" w:rsidP="00E75531">
            <w:pPr>
              <w:pStyle w:val="StandaardSV"/>
              <w:rPr>
                <w:sz w:val="20"/>
              </w:rPr>
            </w:pPr>
            <w:r w:rsidRPr="00FA7668">
              <w:rPr>
                <w:sz w:val="20"/>
              </w:rPr>
              <w:t>31/3/2012</w:t>
            </w:r>
          </w:p>
        </w:tc>
        <w:tc>
          <w:tcPr>
            <w:tcW w:w="1543" w:type="dxa"/>
            <w:shd w:val="clear" w:color="auto" w:fill="auto"/>
          </w:tcPr>
          <w:p w:rsidR="00462159" w:rsidRPr="00FA7668" w:rsidRDefault="00FA7668" w:rsidP="00E75531">
            <w:pPr>
              <w:pStyle w:val="StandaardSV"/>
              <w:ind w:left="360"/>
              <w:rPr>
                <w:sz w:val="20"/>
              </w:rPr>
            </w:pPr>
            <w:r w:rsidRPr="00FA7668">
              <w:rPr>
                <w:sz w:val="20"/>
              </w:rPr>
              <w:t>-</w:t>
            </w:r>
            <w:r w:rsidR="00462159" w:rsidRPr="00FA7668">
              <w:rPr>
                <w:sz w:val="20"/>
              </w:rPr>
              <w:t>5.888.883</w:t>
            </w:r>
          </w:p>
        </w:tc>
        <w:tc>
          <w:tcPr>
            <w:tcW w:w="4300" w:type="dxa"/>
            <w:shd w:val="clear" w:color="auto" w:fill="auto"/>
          </w:tcPr>
          <w:p w:rsidR="00462159" w:rsidRPr="00FA7668" w:rsidRDefault="00FA7668" w:rsidP="00E75531">
            <w:pPr>
              <w:pStyle w:val="StandaardSV"/>
              <w:ind w:left="360"/>
              <w:rPr>
                <w:sz w:val="20"/>
              </w:rPr>
            </w:pPr>
            <w:r w:rsidRPr="00FA7668">
              <w:rPr>
                <w:sz w:val="20"/>
              </w:rPr>
              <w:t>-</w:t>
            </w:r>
            <w:r w:rsidR="00462159" w:rsidRPr="00FA7668">
              <w:rPr>
                <w:sz w:val="20"/>
              </w:rPr>
              <w:t>3.468.251</w:t>
            </w:r>
          </w:p>
        </w:tc>
      </w:tr>
    </w:tbl>
    <w:p w:rsidR="002474ED" w:rsidRPr="00FA7668" w:rsidRDefault="002474ED" w:rsidP="00E75531">
      <w:pPr>
        <w:pStyle w:val="StandaardSV"/>
        <w:ind w:left="708"/>
      </w:pPr>
    </w:p>
    <w:p w:rsidR="001815DE" w:rsidRPr="00FA7668" w:rsidRDefault="001815DE" w:rsidP="00E75531">
      <w:pPr>
        <w:pStyle w:val="StandaardSV"/>
        <w:sectPr w:rsidR="001815DE" w:rsidRPr="00FA7668">
          <w:pgSz w:w="11906" w:h="16838"/>
          <w:pgMar w:top="1417" w:right="1417" w:bottom="1417" w:left="1417" w:header="708" w:footer="708" w:gutter="0"/>
          <w:cols w:space="708"/>
        </w:sectPr>
      </w:pPr>
    </w:p>
    <w:p w:rsidR="002474ED" w:rsidRPr="00FA7668" w:rsidRDefault="002474ED" w:rsidP="00E75531">
      <w:pPr>
        <w:pStyle w:val="StandaardSV"/>
        <w:numPr>
          <w:ilvl w:val="0"/>
          <w:numId w:val="24"/>
        </w:numPr>
      </w:pPr>
      <w:r w:rsidRPr="00FA7668">
        <w:lastRenderedPageBreak/>
        <w:t xml:space="preserve">Hiervoor verwijzen we naar de </w:t>
      </w:r>
      <w:r w:rsidR="00FA7668">
        <w:t xml:space="preserve">onderstaande </w:t>
      </w:r>
      <w:r w:rsidRPr="00FA7668">
        <w:t xml:space="preserve">tabel </w:t>
      </w:r>
      <w:r w:rsidR="007A72E0" w:rsidRPr="00FA7668">
        <w:t>(</w:t>
      </w:r>
      <w:r w:rsidR="00FA7668">
        <w:t>m.n.</w:t>
      </w:r>
      <w:r w:rsidR="007A72E0" w:rsidRPr="00FA7668">
        <w:t xml:space="preserve"> </w:t>
      </w:r>
      <w:r w:rsidR="00EC7CDE" w:rsidRPr="00FA7668">
        <w:t xml:space="preserve">de </w:t>
      </w:r>
      <w:r w:rsidR="007A72E0" w:rsidRPr="00FA7668">
        <w:t xml:space="preserve">kolom in </w:t>
      </w:r>
      <w:r w:rsidR="00EC7CDE" w:rsidRPr="00FA7668">
        <w:t>kleur</w:t>
      </w:r>
      <w:r w:rsidR="007A72E0" w:rsidRPr="00FA7668">
        <w:t xml:space="preserve">) </w:t>
      </w:r>
      <w:r w:rsidRPr="00FA7668">
        <w:t xml:space="preserve">uit het </w:t>
      </w:r>
      <w:r w:rsidR="007A72E0" w:rsidRPr="00FA7668">
        <w:t xml:space="preserve">laatste </w:t>
      </w:r>
      <w:r w:rsidRPr="00FA7668">
        <w:t xml:space="preserve">halfjaarlijks publiek rapport per 30 september 2012 van </w:t>
      </w:r>
      <w:r w:rsidR="00630E65" w:rsidRPr="00FA7668">
        <w:t xml:space="preserve">het eerste fonds, </w:t>
      </w:r>
      <w:r w:rsidRPr="00FA7668">
        <w:t>ARKime</w:t>
      </w:r>
      <w:r w:rsidR="00630E65" w:rsidRPr="00FA7668">
        <w:t>des-Fonds nv</w:t>
      </w:r>
      <w:r w:rsidR="00FA7668">
        <w:t>.</w:t>
      </w:r>
    </w:p>
    <w:p w:rsidR="002474ED" w:rsidRDefault="002474ED" w:rsidP="00E75531">
      <w:pPr>
        <w:pStyle w:val="StandaardSV"/>
        <w:ind w:left="360"/>
      </w:pPr>
    </w:p>
    <w:tbl>
      <w:tblPr>
        <w:tblW w:w="5000" w:type="pct"/>
        <w:tblCellMar>
          <w:left w:w="70" w:type="dxa"/>
          <w:right w:w="70" w:type="dxa"/>
        </w:tblCellMar>
        <w:tblLook w:val="04A0" w:firstRow="1" w:lastRow="0" w:firstColumn="1" w:lastColumn="0" w:noHBand="0" w:noVBand="1"/>
      </w:tblPr>
      <w:tblGrid>
        <w:gridCol w:w="1774"/>
        <w:gridCol w:w="1548"/>
        <w:gridCol w:w="1325"/>
        <w:gridCol w:w="1505"/>
        <w:gridCol w:w="1394"/>
        <w:gridCol w:w="1759"/>
        <w:gridCol w:w="1377"/>
        <w:gridCol w:w="1943"/>
        <w:gridCol w:w="1517"/>
      </w:tblGrid>
      <w:tr w:rsidR="002474ED" w:rsidRPr="002474ED" w:rsidTr="00455D81">
        <w:trPr>
          <w:trHeight w:val="1065"/>
        </w:trPr>
        <w:tc>
          <w:tcPr>
            <w:tcW w:w="627" w:type="pct"/>
            <w:vMerge w:val="restart"/>
            <w:tcBorders>
              <w:top w:val="single" w:sz="12" w:space="0" w:color="008080"/>
              <w:left w:val="single" w:sz="12" w:space="0" w:color="008080"/>
              <w:bottom w:val="single" w:sz="12" w:space="0" w:color="008080"/>
              <w:right w:val="nil"/>
            </w:tcBorders>
            <w:shd w:val="clear" w:color="auto" w:fill="auto"/>
            <w:vAlign w:val="center"/>
            <w:hideMark/>
          </w:tcPr>
          <w:p w:rsidR="002474ED" w:rsidRPr="002474ED" w:rsidRDefault="002474ED" w:rsidP="00E75531">
            <w:pPr>
              <w:jc w:val="both"/>
              <w:rPr>
                <w:rFonts w:ascii="Verdana" w:hAnsi="Verdana" w:cs="Calibri"/>
                <w:b/>
                <w:bCs/>
                <w:color w:val="808080"/>
                <w:sz w:val="16"/>
                <w:szCs w:val="16"/>
                <w:lang w:val="nl-BE" w:eastAsia="nl-BE"/>
              </w:rPr>
            </w:pPr>
            <w:r w:rsidRPr="002474ED">
              <w:rPr>
                <w:rFonts w:ascii="Verdana" w:hAnsi="Verdana" w:cs="Calibri"/>
                <w:b/>
                <w:bCs/>
                <w:color w:val="808080"/>
                <w:sz w:val="16"/>
                <w:szCs w:val="16"/>
                <w:lang w:val="en-GB" w:eastAsia="nl-BE"/>
              </w:rPr>
              <w:t>ARKIV</w:t>
            </w:r>
          </w:p>
        </w:tc>
        <w:tc>
          <w:tcPr>
            <w:tcW w:w="547" w:type="pct"/>
            <w:tcBorders>
              <w:top w:val="single" w:sz="12" w:space="0" w:color="008080"/>
              <w:left w:val="nil"/>
              <w:bottom w:val="nil"/>
              <w:right w:val="nil"/>
            </w:tcBorders>
            <w:shd w:val="clear" w:color="auto" w:fill="auto"/>
            <w:vAlign w:val="center"/>
            <w:hideMark/>
          </w:tcPr>
          <w:p w:rsidR="002474ED" w:rsidRPr="002474ED" w:rsidRDefault="002474ED" w:rsidP="00E75531">
            <w:pPr>
              <w:jc w:val="both"/>
              <w:rPr>
                <w:rFonts w:ascii="Verdana" w:hAnsi="Verdana" w:cs="Calibri"/>
                <w:b/>
                <w:bCs/>
                <w:color w:val="808080"/>
                <w:sz w:val="16"/>
                <w:szCs w:val="16"/>
                <w:lang w:val="nl-BE" w:eastAsia="nl-BE"/>
              </w:rPr>
            </w:pPr>
            <w:r w:rsidRPr="002474ED">
              <w:rPr>
                <w:rFonts w:ascii="Verdana" w:hAnsi="Verdana" w:cs="Calibri"/>
                <w:b/>
                <w:bCs/>
                <w:color w:val="808080"/>
                <w:sz w:val="16"/>
                <w:szCs w:val="16"/>
                <w:lang w:eastAsia="nl-BE"/>
              </w:rPr>
              <w:t xml:space="preserve">Initieel </w:t>
            </w:r>
            <w:r w:rsidR="00A447B9">
              <w:rPr>
                <w:rFonts w:ascii="Verdana" w:hAnsi="Verdana" w:cs="Calibri"/>
                <w:b/>
                <w:bCs/>
                <w:color w:val="808080"/>
                <w:sz w:val="16"/>
                <w:szCs w:val="16"/>
                <w:lang w:eastAsia="nl-BE"/>
              </w:rPr>
              <w:t xml:space="preserve">       </w:t>
            </w:r>
            <w:r w:rsidRPr="002474ED">
              <w:rPr>
                <w:rFonts w:ascii="Verdana" w:hAnsi="Verdana" w:cs="Calibri"/>
                <w:b/>
                <w:bCs/>
                <w:color w:val="808080"/>
                <w:sz w:val="16"/>
                <w:szCs w:val="16"/>
                <w:lang w:eastAsia="nl-BE"/>
              </w:rPr>
              <w:t xml:space="preserve">toegezegd bedrag door ARK-F </w:t>
            </w:r>
          </w:p>
        </w:tc>
        <w:tc>
          <w:tcPr>
            <w:tcW w:w="468" w:type="pct"/>
            <w:tcBorders>
              <w:top w:val="single" w:sz="12" w:space="0" w:color="008080"/>
              <w:left w:val="nil"/>
              <w:bottom w:val="nil"/>
              <w:right w:val="nil"/>
            </w:tcBorders>
            <w:shd w:val="clear" w:color="auto" w:fill="auto"/>
            <w:vAlign w:val="center"/>
            <w:hideMark/>
          </w:tcPr>
          <w:p w:rsidR="002474ED" w:rsidRPr="002474ED" w:rsidRDefault="002474ED" w:rsidP="00E75531">
            <w:pPr>
              <w:jc w:val="both"/>
              <w:rPr>
                <w:rFonts w:ascii="Verdana" w:hAnsi="Verdana" w:cs="Calibri"/>
                <w:b/>
                <w:bCs/>
                <w:color w:val="808080"/>
                <w:sz w:val="16"/>
                <w:szCs w:val="16"/>
                <w:lang w:val="nl-BE" w:eastAsia="nl-BE"/>
              </w:rPr>
            </w:pPr>
            <w:r w:rsidRPr="002474ED">
              <w:rPr>
                <w:rFonts w:ascii="Verdana" w:hAnsi="Verdana" w:cs="Calibri"/>
                <w:b/>
                <w:bCs/>
                <w:color w:val="808080"/>
                <w:sz w:val="16"/>
                <w:szCs w:val="16"/>
                <w:lang w:eastAsia="nl-BE"/>
              </w:rPr>
              <w:t xml:space="preserve">Actueel </w:t>
            </w:r>
            <w:r w:rsidR="00A447B9">
              <w:rPr>
                <w:rFonts w:ascii="Verdana" w:hAnsi="Verdana" w:cs="Calibri"/>
                <w:b/>
                <w:bCs/>
                <w:color w:val="808080"/>
                <w:sz w:val="16"/>
                <w:szCs w:val="16"/>
                <w:lang w:eastAsia="nl-BE"/>
              </w:rPr>
              <w:t xml:space="preserve">  </w:t>
            </w:r>
            <w:r w:rsidRPr="002474ED">
              <w:rPr>
                <w:rFonts w:ascii="Verdana" w:hAnsi="Verdana" w:cs="Calibri"/>
                <w:b/>
                <w:bCs/>
                <w:color w:val="808080"/>
                <w:sz w:val="16"/>
                <w:szCs w:val="16"/>
                <w:lang w:eastAsia="nl-BE"/>
              </w:rPr>
              <w:t xml:space="preserve">toegezegd bedrag door ARK-F per 30/09/12 </w:t>
            </w:r>
          </w:p>
        </w:tc>
        <w:tc>
          <w:tcPr>
            <w:tcW w:w="532" w:type="pct"/>
            <w:tcBorders>
              <w:top w:val="single" w:sz="12" w:space="0" w:color="008080"/>
              <w:left w:val="nil"/>
              <w:bottom w:val="nil"/>
              <w:right w:val="nil"/>
            </w:tcBorders>
            <w:shd w:val="clear" w:color="auto" w:fill="auto"/>
            <w:vAlign w:val="center"/>
            <w:hideMark/>
          </w:tcPr>
          <w:p w:rsidR="002474ED" w:rsidRPr="002474ED" w:rsidRDefault="002474ED" w:rsidP="00E75531">
            <w:pPr>
              <w:jc w:val="both"/>
              <w:rPr>
                <w:rFonts w:ascii="Verdana" w:hAnsi="Verdana" w:cs="Calibri"/>
                <w:b/>
                <w:bCs/>
                <w:color w:val="808080"/>
                <w:sz w:val="16"/>
                <w:szCs w:val="16"/>
                <w:lang w:val="nl-BE" w:eastAsia="nl-BE"/>
              </w:rPr>
            </w:pPr>
            <w:r w:rsidRPr="002474ED">
              <w:rPr>
                <w:rFonts w:ascii="Verdana" w:hAnsi="Verdana" w:cs="Calibri"/>
                <w:b/>
                <w:bCs/>
                <w:color w:val="808080"/>
                <w:sz w:val="16"/>
                <w:szCs w:val="16"/>
                <w:lang w:eastAsia="nl-BE"/>
              </w:rPr>
              <w:t>∑ Kapitaal-volstortingen door ARK-F per 30/09/12</w:t>
            </w:r>
          </w:p>
        </w:tc>
        <w:tc>
          <w:tcPr>
            <w:tcW w:w="493" w:type="pct"/>
            <w:tcBorders>
              <w:top w:val="single" w:sz="12" w:space="0" w:color="008080"/>
              <w:left w:val="nil"/>
              <w:bottom w:val="nil"/>
              <w:right w:val="nil"/>
            </w:tcBorders>
            <w:shd w:val="clear" w:color="auto" w:fill="auto"/>
            <w:vAlign w:val="center"/>
            <w:hideMark/>
          </w:tcPr>
          <w:p w:rsidR="002474ED" w:rsidRPr="002474ED" w:rsidRDefault="002474ED" w:rsidP="00E75531">
            <w:pPr>
              <w:jc w:val="both"/>
              <w:rPr>
                <w:rFonts w:ascii="Verdana" w:hAnsi="Verdana" w:cs="Calibri"/>
                <w:b/>
                <w:bCs/>
                <w:i/>
                <w:iCs/>
                <w:color w:val="808080"/>
                <w:sz w:val="16"/>
                <w:szCs w:val="16"/>
                <w:lang w:val="nl-BE" w:eastAsia="nl-BE"/>
              </w:rPr>
            </w:pPr>
            <w:r w:rsidRPr="002474ED">
              <w:rPr>
                <w:rFonts w:ascii="Verdana" w:hAnsi="Verdana" w:cs="Calibri"/>
                <w:b/>
                <w:bCs/>
                <w:i/>
                <w:iCs/>
                <w:color w:val="808080"/>
                <w:sz w:val="16"/>
                <w:szCs w:val="16"/>
                <w:lang w:eastAsia="nl-BE"/>
              </w:rPr>
              <w:t> </w:t>
            </w:r>
          </w:p>
        </w:tc>
        <w:tc>
          <w:tcPr>
            <w:tcW w:w="622" w:type="pct"/>
            <w:tcBorders>
              <w:top w:val="single" w:sz="12" w:space="0" w:color="008080"/>
              <w:left w:val="nil"/>
              <w:bottom w:val="nil"/>
              <w:right w:val="nil"/>
            </w:tcBorders>
            <w:shd w:val="clear" w:color="auto" w:fill="auto"/>
            <w:vAlign w:val="center"/>
            <w:hideMark/>
          </w:tcPr>
          <w:p w:rsidR="002474ED" w:rsidRPr="002474ED" w:rsidRDefault="002474ED" w:rsidP="00E75531">
            <w:pPr>
              <w:jc w:val="both"/>
              <w:rPr>
                <w:rFonts w:ascii="Verdana" w:hAnsi="Verdana" w:cs="Calibri"/>
                <w:b/>
                <w:bCs/>
                <w:color w:val="808080"/>
                <w:sz w:val="16"/>
                <w:szCs w:val="16"/>
                <w:lang w:val="nl-BE" w:eastAsia="nl-BE"/>
              </w:rPr>
            </w:pPr>
            <w:r w:rsidRPr="002474ED">
              <w:rPr>
                <w:rFonts w:ascii="Verdana" w:hAnsi="Verdana" w:cs="Calibri"/>
                <w:b/>
                <w:bCs/>
                <w:color w:val="808080"/>
                <w:sz w:val="16"/>
                <w:szCs w:val="16"/>
                <w:lang w:eastAsia="nl-BE"/>
              </w:rPr>
              <w:t xml:space="preserve">∑ Kapitaal-verminderingen cash ontvangen door ARK-F per 30/09/12 </w:t>
            </w:r>
          </w:p>
        </w:tc>
        <w:tc>
          <w:tcPr>
            <w:tcW w:w="487" w:type="pct"/>
            <w:tcBorders>
              <w:top w:val="single" w:sz="12" w:space="0" w:color="008080"/>
              <w:left w:val="nil"/>
              <w:bottom w:val="nil"/>
              <w:right w:val="nil"/>
            </w:tcBorders>
            <w:shd w:val="clear" w:color="auto" w:fill="auto"/>
            <w:vAlign w:val="center"/>
            <w:hideMark/>
          </w:tcPr>
          <w:p w:rsidR="002474ED" w:rsidRPr="002474ED" w:rsidRDefault="002474ED" w:rsidP="00E75531">
            <w:pPr>
              <w:jc w:val="both"/>
              <w:rPr>
                <w:rFonts w:ascii="Verdana" w:hAnsi="Verdana" w:cs="Calibri"/>
                <w:b/>
                <w:bCs/>
                <w:i/>
                <w:iCs/>
                <w:color w:val="808080"/>
                <w:sz w:val="16"/>
                <w:szCs w:val="16"/>
                <w:lang w:val="nl-BE" w:eastAsia="nl-BE"/>
              </w:rPr>
            </w:pPr>
            <w:r w:rsidRPr="002474ED">
              <w:rPr>
                <w:rFonts w:ascii="Verdana" w:hAnsi="Verdana" w:cs="Calibri"/>
                <w:b/>
                <w:bCs/>
                <w:i/>
                <w:iCs/>
                <w:color w:val="808080"/>
                <w:sz w:val="16"/>
                <w:szCs w:val="16"/>
                <w:lang w:eastAsia="nl-BE"/>
              </w:rPr>
              <w:t> </w:t>
            </w:r>
          </w:p>
        </w:tc>
        <w:tc>
          <w:tcPr>
            <w:tcW w:w="687" w:type="pct"/>
            <w:tcBorders>
              <w:top w:val="single" w:sz="12" w:space="0" w:color="008080"/>
              <w:left w:val="nil"/>
              <w:bottom w:val="nil"/>
              <w:right w:val="nil"/>
            </w:tcBorders>
            <w:shd w:val="clear" w:color="auto" w:fill="auto"/>
            <w:vAlign w:val="center"/>
            <w:hideMark/>
          </w:tcPr>
          <w:p w:rsidR="002474ED" w:rsidRPr="002474ED" w:rsidRDefault="002474ED" w:rsidP="00E75531">
            <w:pPr>
              <w:jc w:val="both"/>
              <w:rPr>
                <w:rFonts w:ascii="Verdana" w:hAnsi="Verdana" w:cs="Calibri"/>
                <w:b/>
                <w:bCs/>
                <w:color w:val="808080"/>
                <w:sz w:val="16"/>
                <w:szCs w:val="16"/>
                <w:lang w:val="nl-BE" w:eastAsia="nl-BE"/>
              </w:rPr>
            </w:pPr>
            <w:r w:rsidRPr="002474ED">
              <w:rPr>
                <w:rFonts w:ascii="Verdana" w:hAnsi="Verdana" w:cs="Calibri"/>
                <w:b/>
                <w:bCs/>
                <w:color w:val="808080"/>
                <w:sz w:val="16"/>
                <w:szCs w:val="16"/>
                <w:lang w:eastAsia="nl-BE"/>
              </w:rPr>
              <w:t xml:space="preserve">∑ van de door </w:t>
            </w:r>
            <w:r w:rsidR="00A447B9">
              <w:rPr>
                <w:rFonts w:ascii="Verdana" w:hAnsi="Verdana" w:cs="Calibri"/>
                <w:b/>
                <w:bCs/>
                <w:color w:val="808080"/>
                <w:sz w:val="16"/>
                <w:szCs w:val="16"/>
                <w:lang w:eastAsia="nl-BE"/>
              </w:rPr>
              <w:t xml:space="preserve">   </w:t>
            </w:r>
            <w:r w:rsidRPr="002474ED">
              <w:rPr>
                <w:rFonts w:ascii="Verdana" w:hAnsi="Verdana" w:cs="Calibri"/>
                <w:b/>
                <w:bCs/>
                <w:color w:val="808080"/>
                <w:sz w:val="16"/>
                <w:szCs w:val="16"/>
                <w:lang w:eastAsia="nl-BE"/>
              </w:rPr>
              <w:t xml:space="preserve">ARK-F </w:t>
            </w:r>
            <w:r w:rsidR="00A447B9">
              <w:rPr>
                <w:rFonts w:ascii="Verdana" w:hAnsi="Verdana" w:cs="Calibri"/>
                <w:b/>
                <w:bCs/>
                <w:color w:val="808080"/>
                <w:sz w:val="16"/>
                <w:szCs w:val="16"/>
                <w:lang w:eastAsia="nl-BE"/>
              </w:rPr>
              <w:t xml:space="preserve">               </w:t>
            </w:r>
            <w:r w:rsidRPr="002474ED">
              <w:rPr>
                <w:rFonts w:ascii="Verdana" w:hAnsi="Verdana" w:cs="Calibri"/>
                <w:b/>
                <w:bCs/>
                <w:color w:val="808080"/>
                <w:sz w:val="16"/>
                <w:szCs w:val="16"/>
                <w:lang w:eastAsia="nl-BE"/>
              </w:rPr>
              <w:t>geboekte waarde-verminderingen per 30/9/12</w:t>
            </w:r>
          </w:p>
        </w:tc>
        <w:tc>
          <w:tcPr>
            <w:tcW w:w="536" w:type="pct"/>
            <w:tcBorders>
              <w:top w:val="single" w:sz="12" w:space="0" w:color="008080"/>
              <w:left w:val="nil"/>
              <w:bottom w:val="nil"/>
              <w:right w:val="single" w:sz="12" w:space="0" w:color="auto"/>
            </w:tcBorders>
            <w:shd w:val="clear" w:color="auto" w:fill="auto"/>
            <w:vAlign w:val="center"/>
            <w:hideMark/>
          </w:tcPr>
          <w:p w:rsidR="002474ED" w:rsidRPr="002474ED" w:rsidRDefault="002474ED" w:rsidP="00E75531">
            <w:pPr>
              <w:jc w:val="both"/>
              <w:rPr>
                <w:rFonts w:ascii="Verdana" w:hAnsi="Verdana" w:cs="Calibri"/>
                <w:b/>
                <w:bCs/>
                <w:i/>
                <w:iCs/>
                <w:color w:val="808080"/>
                <w:sz w:val="16"/>
                <w:szCs w:val="16"/>
                <w:lang w:val="nl-BE" w:eastAsia="nl-BE"/>
              </w:rPr>
            </w:pPr>
            <w:r w:rsidRPr="002474ED">
              <w:rPr>
                <w:rFonts w:ascii="Verdana" w:hAnsi="Verdana" w:cs="Calibri"/>
                <w:b/>
                <w:bCs/>
                <w:i/>
                <w:iCs/>
                <w:color w:val="808080"/>
                <w:sz w:val="16"/>
                <w:szCs w:val="16"/>
                <w:lang w:eastAsia="nl-BE"/>
              </w:rPr>
              <w:t> </w:t>
            </w:r>
          </w:p>
        </w:tc>
      </w:tr>
      <w:tr w:rsidR="002474ED" w:rsidRPr="002474ED" w:rsidTr="00455D81">
        <w:trPr>
          <w:trHeight w:val="135"/>
        </w:trPr>
        <w:tc>
          <w:tcPr>
            <w:tcW w:w="627" w:type="pct"/>
            <w:vMerge/>
            <w:tcBorders>
              <w:top w:val="single" w:sz="12" w:space="0" w:color="008080"/>
              <w:left w:val="single" w:sz="12" w:space="0" w:color="008080"/>
              <w:bottom w:val="single" w:sz="12" w:space="0" w:color="008080"/>
              <w:right w:val="nil"/>
            </w:tcBorders>
            <w:vAlign w:val="center"/>
            <w:hideMark/>
          </w:tcPr>
          <w:p w:rsidR="002474ED" w:rsidRPr="002474ED" w:rsidRDefault="002474ED" w:rsidP="00E75531">
            <w:pPr>
              <w:jc w:val="both"/>
              <w:rPr>
                <w:rFonts w:ascii="Verdana" w:hAnsi="Verdana" w:cs="Calibri"/>
                <w:b/>
                <w:bCs/>
                <w:color w:val="808080"/>
                <w:sz w:val="16"/>
                <w:szCs w:val="16"/>
                <w:lang w:val="nl-BE" w:eastAsia="nl-BE"/>
              </w:rPr>
            </w:pPr>
          </w:p>
        </w:tc>
        <w:tc>
          <w:tcPr>
            <w:tcW w:w="547" w:type="pct"/>
            <w:tcBorders>
              <w:top w:val="nil"/>
              <w:left w:val="nil"/>
              <w:bottom w:val="nil"/>
              <w:right w:val="nil"/>
            </w:tcBorders>
            <w:shd w:val="clear" w:color="auto" w:fill="auto"/>
            <w:vAlign w:val="center"/>
            <w:hideMark/>
          </w:tcPr>
          <w:p w:rsidR="002474ED" w:rsidRPr="002474ED" w:rsidRDefault="002474ED" w:rsidP="00E75531">
            <w:pPr>
              <w:jc w:val="both"/>
              <w:rPr>
                <w:rFonts w:ascii="Verdana" w:hAnsi="Verdana" w:cs="Calibri"/>
                <w:b/>
                <w:bCs/>
                <w:color w:val="808080"/>
                <w:sz w:val="16"/>
                <w:szCs w:val="16"/>
                <w:lang w:val="nl-BE" w:eastAsia="nl-BE"/>
              </w:rPr>
            </w:pPr>
          </w:p>
        </w:tc>
        <w:tc>
          <w:tcPr>
            <w:tcW w:w="468" w:type="pct"/>
            <w:tcBorders>
              <w:top w:val="nil"/>
              <w:left w:val="nil"/>
              <w:bottom w:val="nil"/>
              <w:right w:val="nil"/>
            </w:tcBorders>
            <w:shd w:val="clear" w:color="auto" w:fill="auto"/>
            <w:vAlign w:val="center"/>
            <w:hideMark/>
          </w:tcPr>
          <w:p w:rsidR="002474ED" w:rsidRPr="002474ED" w:rsidRDefault="002474ED" w:rsidP="00E75531">
            <w:pPr>
              <w:jc w:val="both"/>
              <w:rPr>
                <w:rFonts w:ascii="Verdana" w:hAnsi="Verdana" w:cs="Calibri"/>
                <w:b/>
                <w:bCs/>
                <w:color w:val="808080"/>
                <w:sz w:val="16"/>
                <w:szCs w:val="16"/>
                <w:lang w:val="nl-BE" w:eastAsia="nl-BE"/>
              </w:rPr>
            </w:pPr>
          </w:p>
        </w:tc>
        <w:tc>
          <w:tcPr>
            <w:tcW w:w="532" w:type="pct"/>
            <w:tcBorders>
              <w:top w:val="nil"/>
              <w:left w:val="nil"/>
              <w:bottom w:val="nil"/>
              <w:right w:val="nil"/>
            </w:tcBorders>
            <w:shd w:val="clear" w:color="auto" w:fill="auto"/>
            <w:vAlign w:val="center"/>
            <w:hideMark/>
          </w:tcPr>
          <w:p w:rsidR="002474ED" w:rsidRPr="002474ED" w:rsidRDefault="002474ED" w:rsidP="00E75531">
            <w:pPr>
              <w:jc w:val="both"/>
              <w:rPr>
                <w:rFonts w:ascii="Verdana" w:hAnsi="Verdana" w:cs="Calibri"/>
                <w:b/>
                <w:bCs/>
                <w:color w:val="808080"/>
                <w:sz w:val="16"/>
                <w:szCs w:val="16"/>
                <w:lang w:val="nl-BE" w:eastAsia="nl-BE"/>
              </w:rPr>
            </w:pPr>
          </w:p>
        </w:tc>
        <w:tc>
          <w:tcPr>
            <w:tcW w:w="493" w:type="pct"/>
            <w:tcBorders>
              <w:top w:val="nil"/>
              <w:left w:val="nil"/>
              <w:bottom w:val="nil"/>
              <w:right w:val="nil"/>
            </w:tcBorders>
            <w:shd w:val="clear" w:color="auto" w:fill="auto"/>
            <w:vAlign w:val="center"/>
            <w:hideMark/>
          </w:tcPr>
          <w:p w:rsidR="002474ED" w:rsidRPr="002474ED" w:rsidRDefault="002474ED" w:rsidP="00E75531">
            <w:pPr>
              <w:jc w:val="both"/>
              <w:rPr>
                <w:rFonts w:ascii="Verdana" w:hAnsi="Verdana" w:cs="Calibri"/>
                <w:b/>
                <w:bCs/>
                <w:i/>
                <w:iCs/>
                <w:color w:val="808080"/>
                <w:sz w:val="16"/>
                <w:szCs w:val="16"/>
                <w:lang w:val="nl-BE" w:eastAsia="nl-BE"/>
              </w:rPr>
            </w:pPr>
          </w:p>
        </w:tc>
        <w:tc>
          <w:tcPr>
            <w:tcW w:w="622" w:type="pct"/>
            <w:tcBorders>
              <w:top w:val="nil"/>
              <w:left w:val="nil"/>
              <w:bottom w:val="nil"/>
              <w:right w:val="nil"/>
            </w:tcBorders>
            <w:shd w:val="clear" w:color="auto" w:fill="auto"/>
            <w:vAlign w:val="center"/>
            <w:hideMark/>
          </w:tcPr>
          <w:p w:rsidR="002474ED" w:rsidRPr="002474ED" w:rsidRDefault="002474ED" w:rsidP="00E75531">
            <w:pPr>
              <w:jc w:val="both"/>
              <w:rPr>
                <w:rFonts w:ascii="Verdana" w:hAnsi="Verdana" w:cs="Calibri"/>
                <w:b/>
                <w:bCs/>
                <w:color w:val="808080"/>
                <w:sz w:val="16"/>
                <w:szCs w:val="16"/>
                <w:lang w:val="nl-BE" w:eastAsia="nl-BE"/>
              </w:rPr>
            </w:pPr>
          </w:p>
        </w:tc>
        <w:tc>
          <w:tcPr>
            <w:tcW w:w="487" w:type="pct"/>
            <w:tcBorders>
              <w:top w:val="nil"/>
              <w:left w:val="nil"/>
              <w:bottom w:val="nil"/>
              <w:right w:val="nil"/>
            </w:tcBorders>
            <w:shd w:val="clear" w:color="auto" w:fill="auto"/>
            <w:vAlign w:val="center"/>
            <w:hideMark/>
          </w:tcPr>
          <w:p w:rsidR="002474ED" w:rsidRPr="002474ED" w:rsidRDefault="002474ED" w:rsidP="00E75531">
            <w:pPr>
              <w:jc w:val="both"/>
              <w:rPr>
                <w:rFonts w:ascii="Verdana" w:hAnsi="Verdana" w:cs="Calibri"/>
                <w:b/>
                <w:bCs/>
                <w:i/>
                <w:iCs/>
                <w:color w:val="808080"/>
                <w:sz w:val="16"/>
                <w:szCs w:val="16"/>
                <w:lang w:val="nl-BE" w:eastAsia="nl-BE"/>
              </w:rPr>
            </w:pPr>
          </w:p>
        </w:tc>
        <w:tc>
          <w:tcPr>
            <w:tcW w:w="687" w:type="pct"/>
            <w:tcBorders>
              <w:top w:val="nil"/>
              <w:left w:val="nil"/>
              <w:bottom w:val="nil"/>
              <w:right w:val="nil"/>
            </w:tcBorders>
            <w:shd w:val="clear" w:color="auto" w:fill="auto"/>
            <w:vAlign w:val="center"/>
            <w:hideMark/>
          </w:tcPr>
          <w:p w:rsidR="002474ED" w:rsidRPr="002474ED" w:rsidRDefault="002474ED" w:rsidP="00E75531">
            <w:pPr>
              <w:jc w:val="both"/>
              <w:rPr>
                <w:rFonts w:ascii="Verdana" w:hAnsi="Verdana" w:cs="Calibri"/>
                <w:b/>
                <w:bCs/>
                <w:color w:val="808080"/>
                <w:sz w:val="16"/>
                <w:szCs w:val="16"/>
                <w:lang w:val="nl-BE" w:eastAsia="nl-BE"/>
              </w:rPr>
            </w:pPr>
          </w:p>
        </w:tc>
        <w:tc>
          <w:tcPr>
            <w:tcW w:w="536" w:type="pct"/>
            <w:tcBorders>
              <w:top w:val="nil"/>
              <w:left w:val="nil"/>
              <w:bottom w:val="nil"/>
              <w:right w:val="single" w:sz="12" w:space="0" w:color="auto"/>
            </w:tcBorders>
            <w:shd w:val="clear" w:color="auto" w:fill="auto"/>
            <w:vAlign w:val="center"/>
            <w:hideMark/>
          </w:tcPr>
          <w:p w:rsidR="002474ED" w:rsidRPr="002474ED" w:rsidRDefault="002474ED" w:rsidP="00E75531">
            <w:pPr>
              <w:jc w:val="both"/>
              <w:rPr>
                <w:rFonts w:ascii="Verdana" w:hAnsi="Verdana" w:cs="Calibri"/>
                <w:b/>
                <w:bCs/>
                <w:i/>
                <w:iCs/>
                <w:color w:val="808080"/>
                <w:sz w:val="16"/>
                <w:szCs w:val="16"/>
                <w:lang w:val="nl-BE" w:eastAsia="nl-BE"/>
              </w:rPr>
            </w:pPr>
            <w:r w:rsidRPr="002474ED">
              <w:rPr>
                <w:rFonts w:ascii="Verdana" w:hAnsi="Verdana" w:cs="Calibri"/>
                <w:b/>
                <w:bCs/>
                <w:i/>
                <w:iCs/>
                <w:color w:val="808080"/>
                <w:sz w:val="16"/>
                <w:szCs w:val="16"/>
                <w:lang w:eastAsia="nl-BE"/>
              </w:rPr>
              <w:t> </w:t>
            </w:r>
          </w:p>
        </w:tc>
      </w:tr>
      <w:tr w:rsidR="002474ED" w:rsidRPr="002474ED" w:rsidTr="00455D81">
        <w:trPr>
          <w:trHeight w:val="420"/>
        </w:trPr>
        <w:tc>
          <w:tcPr>
            <w:tcW w:w="627" w:type="pct"/>
            <w:vMerge/>
            <w:tcBorders>
              <w:top w:val="single" w:sz="12" w:space="0" w:color="008080"/>
              <w:left w:val="single" w:sz="12" w:space="0" w:color="008080"/>
              <w:bottom w:val="single" w:sz="12" w:space="0" w:color="008080"/>
              <w:right w:val="nil"/>
            </w:tcBorders>
            <w:vAlign w:val="center"/>
            <w:hideMark/>
          </w:tcPr>
          <w:p w:rsidR="002474ED" w:rsidRPr="002474ED" w:rsidRDefault="002474ED" w:rsidP="00E75531">
            <w:pPr>
              <w:jc w:val="both"/>
              <w:rPr>
                <w:rFonts w:ascii="Verdana" w:hAnsi="Verdana" w:cs="Calibri"/>
                <w:b/>
                <w:bCs/>
                <w:color w:val="808080"/>
                <w:sz w:val="16"/>
                <w:szCs w:val="16"/>
                <w:lang w:val="nl-BE" w:eastAsia="nl-BE"/>
              </w:rPr>
            </w:pPr>
          </w:p>
        </w:tc>
        <w:tc>
          <w:tcPr>
            <w:tcW w:w="547" w:type="pct"/>
            <w:tcBorders>
              <w:top w:val="nil"/>
              <w:left w:val="nil"/>
              <w:bottom w:val="nil"/>
              <w:right w:val="nil"/>
            </w:tcBorders>
            <w:shd w:val="clear" w:color="auto" w:fill="auto"/>
            <w:vAlign w:val="center"/>
            <w:hideMark/>
          </w:tcPr>
          <w:p w:rsidR="002474ED" w:rsidRPr="002474ED" w:rsidRDefault="002474ED" w:rsidP="00E75531">
            <w:pPr>
              <w:jc w:val="both"/>
              <w:rPr>
                <w:rFonts w:ascii="Verdana" w:hAnsi="Verdana" w:cs="Calibri"/>
                <w:b/>
                <w:bCs/>
                <w:color w:val="808080"/>
                <w:sz w:val="16"/>
                <w:szCs w:val="16"/>
                <w:lang w:val="nl-BE" w:eastAsia="nl-BE"/>
              </w:rPr>
            </w:pPr>
          </w:p>
        </w:tc>
        <w:tc>
          <w:tcPr>
            <w:tcW w:w="468" w:type="pct"/>
            <w:tcBorders>
              <w:top w:val="nil"/>
              <w:left w:val="nil"/>
              <w:bottom w:val="nil"/>
              <w:right w:val="nil"/>
            </w:tcBorders>
            <w:shd w:val="clear" w:color="auto" w:fill="auto"/>
            <w:vAlign w:val="center"/>
            <w:hideMark/>
          </w:tcPr>
          <w:p w:rsidR="002474ED" w:rsidRPr="002474ED" w:rsidRDefault="002474ED" w:rsidP="00E75531">
            <w:pPr>
              <w:jc w:val="both"/>
              <w:rPr>
                <w:rFonts w:ascii="Verdana" w:hAnsi="Verdana" w:cs="Calibri"/>
                <w:b/>
                <w:bCs/>
                <w:color w:val="808080"/>
                <w:sz w:val="16"/>
                <w:szCs w:val="16"/>
                <w:lang w:val="nl-BE" w:eastAsia="nl-BE"/>
              </w:rPr>
            </w:pPr>
          </w:p>
        </w:tc>
        <w:tc>
          <w:tcPr>
            <w:tcW w:w="532" w:type="pct"/>
            <w:tcBorders>
              <w:top w:val="nil"/>
              <w:left w:val="nil"/>
              <w:bottom w:val="nil"/>
              <w:right w:val="nil"/>
            </w:tcBorders>
            <w:shd w:val="clear" w:color="auto" w:fill="auto"/>
            <w:vAlign w:val="center"/>
            <w:hideMark/>
          </w:tcPr>
          <w:p w:rsidR="002474ED" w:rsidRPr="002474ED" w:rsidRDefault="002474ED" w:rsidP="00E75531">
            <w:pPr>
              <w:jc w:val="both"/>
              <w:rPr>
                <w:rFonts w:ascii="Verdana" w:hAnsi="Verdana" w:cs="Calibri"/>
                <w:b/>
                <w:bCs/>
                <w:color w:val="808080"/>
                <w:sz w:val="16"/>
                <w:szCs w:val="16"/>
                <w:lang w:val="nl-BE" w:eastAsia="nl-BE"/>
              </w:rPr>
            </w:pPr>
          </w:p>
        </w:tc>
        <w:tc>
          <w:tcPr>
            <w:tcW w:w="493" w:type="pct"/>
            <w:tcBorders>
              <w:top w:val="nil"/>
              <w:left w:val="nil"/>
              <w:bottom w:val="nil"/>
              <w:right w:val="nil"/>
            </w:tcBorders>
            <w:shd w:val="clear" w:color="auto" w:fill="auto"/>
            <w:vAlign w:val="center"/>
            <w:hideMark/>
          </w:tcPr>
          <w:p w:rsidR="002474ED" w:rsidRPr="002474ED" w:rsidRDefault="002474ED" w:rsidP="00E75531">
            <w:pPr>
              <w:jc w:val="both"/>
              <w:rPr>
                <w:rFonts w:ascii="Verdana" w:hAnsi="Verdana" w:cs="Calibri"/>
                <w:b/>
                <w:bCs/>
                <w:i/>
                <w:iCs/>
                <w:color w:val="808080"/>
                <w:sz w:val="16"/>
                <w:szCs w:val="16"/>
                <w:lang w:val="nl-BE" w:eastAsia="nl-BE"/>
              </w:rPr>
            </w:pPr>
            <w:r w:rsidRPr="002474ED">
              <w:rPr>
                <w:rFonts w:ascii="Verdana" w:hAnsi="Verdana" w:cs="Calibri"/>
                <w:b/>
                <w:bCs/>
                <w:i/>
                <w:iCs/>
                <w:color w:val="808080"/>
                <w:sz w:val="16"/>
                <w:szCs w:val="16"/>
                <w:lang w:eastAsia="nl-BE"/>
              </w:rPr>
              <w:t>Volstortings %</w:t>
            </w:r>
          </w:p>
        </w:tc>
        <w:tc>
          <w:tcPr>
            <w:tcW w:w="622" w:type="pct"/>
            <w:tcBorders>
              <w:top w:val="nil"/>
              <w:left w:val="nil"/>
              <w:bottom w:val="nil"/>
              <w:right w:val="nil"/>
            </w:tcBorders>
            <w:shd w:val="clear" w:color="auto" w:fill="auto"/>
            <w:vAlign w:val="center"/>
            <w:hideMark/>
          </w:tcPr>
          <w:p w:rsidR="002474ED" w:rsidRPr="002474ED" w:rsidRDefault="002474ED" w:rsidP="00E75531">
            <w:pPr>
              <w:jc w:val="both"/>
              <w:rPr>
                <w:rFonts w:ascii="Verdana" w:hAnsi="Verdana" w:cs="Calibri"/>
                <w:b/>
                <w:bCs/>
                <w:color w:val="808080"/>
                <w:sz w:val="16"/>
                <w:szCs w:val="16"/>
                <w:lang w:val="nl-BE" w:eastAsia="nl-BE"/>
              </w:rPr>
            </w:pPr>
          </w:p>
        </w:tc>
        <w:tc>
          <w:tcPr>
            <w:tcW w:w="487" w:type="pct"/>
            <w:tcBorders>
              <w:top w:val="nil"/>
              <w:left w:val="nil"/>
              <w:bottom w:val="nil"/>
              <w:right w:val="nil"/>
            </w:tcBorders>
            <w:shd w:val="clear" w:color="auto" w:fill="auto"/>
            <w:vAlign w:val="center"/>
            <w:hideMark/>
          </w:tcPr>
          <w:p w:rsidR="002474ED" w:rsidRPr="002474ED" w:rsidRDefault="002474ED" w:rsidP="00E75531">
            <w:pPr>
              <w:jc w:val="both"/>
              <w:rPr>
                <w:rFonts w:ascii="Verdana" w:hAnsi="Verdana" w:cs="Calibri"/>
                <w:b/>
                <w:bCs/>
                <w:i/>
                <w:iCs/>
                <w:color w:val="808080"/>
                <w:sz w:val="16"/>
                <w:szCs w:val="16"/>
                <w:lang w:val="nl-BE" w:eastAsia="nl-BE"/>
              </w:rPr>
            </w:pPr>
            <w:r w:rsidRPr="002474ED">
              <w:rPr>
                <w:rFonts w:ascii="Verdana" w:hAnsi="Verdana" w:cs="Calibri"/>
                <w:b/>
                <w:bCs/>
                <w:i/>
                <w:iCs/>
                <w:color w:val="808080"/>
                <w:sz w:val="16"/>
                <w:szCs w:val="16"/>
                <w:lang w:eastAsia="nl-BE"/>
              </w:rPr>
              <w:t>Ontvangst%</w:t>
            </w:r>
          </w:p>
        </w:tc>
        <w:tc>
          <w:tcPr>
            <w:tcW w:w="687" w:type="pct"/>
            <w:tcBorders>
              <w:top w:val="nil"/>
              <w:left w:val="nil"/>
              <w:bottom w:val="nil"/>
              <w:right w:val="nil"/>
            </w:tcBorders>
            <w:shd w:val="clear" w:color="auto" w:fill="auto"/>
            <w:vAlign w:val="center"/>
            <w:hideMark/>
          </w:tcPr>
          <w:p w:rsidR="002474ED" w:rsidRPr="002474ED" w:rsidRDefault="002474ED" w:rsidP="00E75531">
            <w:pPr>
              <w:jc w:val="both"/>
              <w:rPr>
                <w:rFonts w:ascii="Verdana" w:hAnsi="Verdana" w:cs="Calibri"/>
                <w:b/>
                <w:bCs/>
                <w:color w:val="808080"/>
                <w:sz w:val="16"/>
                <w:szCs w:val="16"/>
                <w:lang w:val="nl-BE" w:eastAsia="nl-BE"/>
              </w:rPr>
            </w:pPr>
          </w:p>
        </w:tc>
        <w:tc>
          <w:tcPr>
            <w:tcW w:w="536" w:type="pct"/>
            <w:tcBorders>
              <w:top w:val="nil"/>
              <w:left w:val="nil"/>
              <w:bottom w:val="nil"/>
              <w:right w:val="single" w:sz="12" w:space="0" w:color="auto"/>
            </w:tcBorders>
            <w:shd w:val="clear" w:color="auto" w:fill="auto"/>
            <w:vAlign w:val="center"/>
            <w:hideMark/>
          </w:tcPr>
          <w:p w:rsidR="002474ED" w:rsidRPr="002474ED" w:rsidRDefault="002474ED" w:rsidP="00E75531">
            <w:pPr>
              <w:jc w:val="both"/>
              <w:rPr>
                <w:rFonts w:ascii="Verdana" w:hAnsi="Verdana" w:cs="Calibri"/>
                <w:b/>
                <w:bCs/>
                <w:i/>
                <w:iCs/>
                <w:color w:val="808080"/>
                <w:sz w:val="16"/>
                <w:szCs w:val="16"/>
                <w:lang w:val="nl-BE" w:eastAsia="nl-BE"/>
              </w:rPr>
            </w:pPr>
            <w:r w:rsidRPr="002474ED">
              <w:rPr>
                <w:rFonts w:ascii="Verdana" w:hAnsi="Verdana" w:cs="Calibri"/>
                <w:b/>
                <w:bCs/>
                <w:i/>
                <w:iCs/>
                <w:color w:val="808080"/>
                <w:sz w:val="16"/>
                <w:szCs w:val="16"/>
                <w:lang w:eastAsia="nl-BE"/>
              </w:rPr>
              <w:t>Afschrijvings%</w:t>
            </w:r>
          </w:p>
        </w:tc>
      </w:tr>
      <w:tr w:rsidR="002474ED" w:rsidRPr="002474ED" w:rsidTr="00455D81">
        <w:trPr>
          <w:trHeight w:val="300"/>
        </w:trPr>
        <w:tc>
          <w:tcPr>
            <w:tcW w:w="627" w:type="pct"/>
            <w:vMerge/>
            <w:tcBorders>
              <w:top w:val="single" w:sz="12" w:space="0" w:color="008080"/>
              <w:left w:val="single" w:sz="12" w:space="0" w:color="008080"/>
              <w:bottom w:val="single" w:sz="12" w:space="0" w:color="008080"/>
              <w:right w:val="nil"/>
            </w:tcBorders>
            <w:vAlign w:val="center"/>
            <w:hideMark/>
          </w:tcPr>
          <w:p w:rsidR="002474ED" w:rsidRPr="002474ED" w:rsidRDefault="002474ED" w:rsidP="00E75531">
            <w:pPr>
              <w:jc w:val="both"/>
              <w:rPr>
                <w:rFonts w:ascii="Verdana" w:hAnsi="Verdana" w:cs="Calibri"/>
                <w:b/>
                <w:bCs/>
                <w:color w:val="808080"/>
                <w:sz w:val="16"/>
                <w:szCs w:val="16"/>
                <w:lang w:val="nl-BE" w:eastAsia="nl-BE"/>
              </w:rPr>
            </w:pPr>
          </w:p>
        </w:tc>
        <w:tc>
          <w:tcPr>
            <w:tcW w:w="547" w:type="pct"/>
            <w:tcBorders>
              <w:top w:val="nil"/>
              <w:left w:val="nil"/>
              <w:bottom w:val="nil"/>
              <w:right w:val="nil"/>
            </w:tcBorders>
            <w:shd w:val="clear" w:color="auto" w:fill="auto"/>
            <w:hideMark/>
          </w:tcPr>
          <w:p w:rsidR="002474ED" w:rsidRPr="002474ED" w:rsidRDefault="002474ED" w:rsidP="00E75531">
            <w:pPr>
              <w:jc w:val="both"/>
              <w:rPr>
                <w:rFonts w:ascii="Verdana" w:hAnsi="Verdana" w:cs="Calibri"/>
                <w:b/>
                <w:bCs/>
                <w:i/>
                <w:iCs/>
                <w:color w:val="A6A6A6"/>
                <w:sz w:val="16"/>
                <w:szCs w:val="16"/>
                <w:lang w:val="nl-BE" w:eastAsia="nl-BE"/>
              </w:rPr>
            </w:pPr>
            <w:r w:rsidRPr="002474ED">
              <w:rPr>
                <w:rFonts w:ascii="Verdana" w:hAnsi="Verdana" w:cs="Calibri"/>
                <w:b/>
                <w:bCs/>
                <w:i/>
                <w:iCs/>
                <w:color w:val="A6A6A6"/>
                <w:sz w:val="16"/>
                <w:szCs w:val="16"/>
                <w:lang w:val="nl-BE" w:eastAsia="nl-BE"/>
              </w:rPr>
              <w:t>(1)</w:t>
            </w:r>
          </w:p>
        </w:tc>
        <w:tc>
          <w:tcPr>
            <w:tcW w:w="468" w:type="pct"/>
            <w:tcBorders>
              <w:top w:val="nil"/>
              <w:left w:val="nil"/>
              <w:bottom w:val="nil"/>
              <w:right w:val="nil"/>
            </w:tcBorders>
            <w:shd w:val="clear" w:color="auto" w:fill="auto"/>
            <w:hideMark/>
          </w:tcPr>
          <w:p w:rsidR="002474ED" w:rsidRPr="002474ED" w:rsidRDefault="002474ED" w:rsidP="00E75531">
            <w:pPr>
              <w:jc w:val="both"/>
              <w:rPr>
                <w:rFonts w:ascii="Verdana" w:hAnsi="Verdana" w:cs="Calibri"/>
                <w:b/>
                <w:bCs/>
                <w:i/>
                <w:iCs/>
                <w:color w:val="A6A6A6"/>
                <w:sz w:val="16"/>
                <w:szCs w:val="16"/>
                <w:lang w:val="nl-BE" w:eastAsia="nl-BE"/>
              </w:rPr>
            </w:pPr>
            <w:r w:rsidRPr="002474ED">
              <w:rPr>
                <w:rFonts w:ascii="Verdana" w:hAnsi="Verdana" w:cs="Calibri"/>
                <w:b/>
                <w:bCs/>
                <w:i/>
                <w:iCs/>
                <w:color w:val="A6A6A6"/>
                <w:sz w:val="16"/>
                <w:szCs w:val="16"/>
                <w:lang w:val="nl-BE" w:eastAsia="nl-BE"/>
              </w:rPr>
              <w:t>(2)</w:t>
            </w:r>
          </w:p>
        </w:tc>
        <w:tc>
          <w:tcPr>
            <w:tcW w:w="532" w:type="pct"/>
            <w:tcBorders>
              <w:top w:val="nil"/>
              <w:left w:val="nil"/>
              <w:bottom w:val="nil"/>
              <w:right w:val="nil"/>
            </w:tcBorders>
            <w:shd w:val="clear" w:color="auto" w:fill="auto"/>
            <w:hideMark/>
          </w:tcPr>
          <w:p w:rsidR="002474ED" w:rsidRPr="002474ED" w:rsidRDefault="002474ED" w:rsidP="00E75531">
            <w:pPr>
              <w:jc w:val="both"/>
              <w:rPr>
                <w:rFonts w:ascii="Verdana" w:hAnsi="Verdana" w:cs="Calibri"/>
                <w:b/>
                <w:bCs/>
                <w:i/>
                <w:iCs/>
                <w:color w:val="A6A6A6"/>
                <w:sz w:val="16"/>
                <w:szCs w:val="16"/>
                <w:lang w:val="nl-BE" w:eastAsia="nl-BE"/>
              </w:rPr>
            </w:pPr>
            <w:r w:rsidRPr="002474ED">
              <w:rPr>
                <w:rFonts w:ascii="Verdana" w:hAnsi="Verdana" w:cs="Calibri"/>
                <w:b/>
                <w:bCs/>
                <w:i/>
                <w:iCs/>
                <w:color w:val="A6A6A6"/>
                <w:sz w:val="16"/>
                <w:szCs w:val="16"/>
                <w:lang w:val="nl-BE" w:eastAsia="nl-BE"/>
              </w:rPr>
              <w:t>(3)</w:t>
            </w:r>
          </w:p>
        </w:tc>
        <w:tc>
          <w:tcPr>
            <w:tcW w:w="493" w:type="pct"/>
            <w:tcBorders>
              <w:top w:val="nil"/>
              <w:left w:val="nil"/>
              <w:bottom w:val="nil"/>
              <w:right w:val="nil"/>
            </w:tcBorders>
            <w:shd w:val="clear" w:color="auto" w:fill="auto"/>
            <w:vAlign w:val="center"/>
            <w:hideMark/>
          </w:tcPr>
          <w:p w:rsidR="002474ED" w:rsidRPr="002474ED" w:rsidRDefault="002474ED" w:rsidP="00E75531">
            <w:pPr>
              <w:jc w:val="both"/>
              <w:rPr>
                <w:rFonts w:ascii="Verdana" w:hAnsi="Verdana" w:cs="Calibri"/>
                <w:b/>
                <w:bCs/>
                <w:i/>
                <w:iCs/>
                <w:color w:val="A6A6A6"/>
                <w:sz w:val="16"/>
                <w:szCs w:val="16"/>
                <w:lang w:val="nl-BE" w:eastAsia="nl-BE"/>
              </w:rPr>
            </w:pPr>
            <w:r w:rsidRPr="002474ED">
              <w:rPr>
                <w:rFonts w:ascii="Verdana" w:hAnsi="Verdana" w:cs="Calibri"/>
                <w:b/>
                <w:bCs/>
                <w:i/>
                <w:iCs/>
                <w:color w:val="A6A6A6"/>
                <w:sz w:val="16"/>
                <w:szCs w:val="16"/>
                <w:lang w:eastAsia="nl-BE"/>
              </w:rPr>
              <w:t>(3)/(1)</w:t>
            </w:r>
          </w:p>
        </w:tc>
        <w:tc>
          <w:tcPr>
            <w:tcW w:w="622" w:type="pct"/>
            <w:tcBorders>
              <w:top w:val="nil"/>
              <w:left w:val="nil"/>
              <w:bottom w:val="nil"/>
              <w:right w:val="nil"/>
            </w:tcBorders>
            <w:shd w:val="clear" w:color="auto" w:fill="auto"/>
            <w:hideMark/>
          </w:tcPr>
          <w:p w:rsidR="002474ED" w:rsidRPr="002474ED" w:rsidRDefault="002474ED" w:rsidP="00E75531">
            <w:pPr>
              <w:jc w:val="both"/>
              <w:rPr>
                <w:rFonts w:ascii="Verdana" w:hAnsi="Verdana" w:cs="Calibri"/>
                <w:b/>
                <w:bCs/>
                <w:i/>
                <w:iCs/>
                <w:color w:val="A6A6A6"/>
                <w:sz w:val="16"/>
                <w:szCs w:val="16"/>
                <w:lang w:val="nl-BE" w:eastAsia="nl-BE"/>
              </w:rPr>
            </w:pPr>
            <w:r w:rsidRPr="002474ED">
              <w:rPr>
                <w:rFonts w:ascii="Verdana" w:hAnsi="Verdana" w:cs="Calibri"/>
                <w:b/>
                <w:bCs/>
                <w:i/>
                <w:iCs/>
                <w:color w:val="A6A6A6"/>
                <w:sz w:val="16"/>
                <w:szCs w:val="16"/>
                <w:lang w:val="nl-BE" w:eastAsia="nl-BE"/>
              </w:rPr>
              <w:t>(4)</w:t>
            </w:r>
          </w:p>
        </w:tc>
        <w:tc>
          <w:tcPr>
            <w:tcW w:w="487" w:type="pct"/>
            <w:tcBorders>
              <w:top w:val="nil"/>
              <w:left w:val="nil"/>
              <w:bottom w:val="nil"/>
              <w:right w:val="nil"/>
            </w:tcBorders>
            <w:shd w:val="clear" w:color="auto" w:fill="auto"/>
            <w:vAlign w:val="center"/>
            <w:hideMark/>
          </w:tcPr>
          <w:p w:rsidR="002474ED" w:rsidRPr="002474ED" w:rsidRDefault="002474ED" w:rsidP="00E75531">
            <w:pPr>
              <w:jc w:val="both"/>
              <w:rPr>
                <w:rFonts w:ascii="Verdana" w:hAnsi="Verdana" w:cs="Calibri"/>
                <w:b/>
                <w:bCs/>
                <w:i/>
                <w:iCs/>
                <w:color w:val="A6A6A6"/>
                <w:sz w:val="16"/>
                <w:szCs w:val="16"/>
                <w:lang w:val="nl-BE" w:eastAsia="nl-BE"/>
              </w:rPr>
            </w:pPr>
            <w:r w:rsidRPr="002474ED">
              <w:rPr>
                <w:rFonts w:ascii="Verdana" w:hAnsi="Verdana" w:cs="Calibri"/>
                <w:b/>
                <w:bCs/>
                <w:i/>
                <w:iCs/>
                <w:color w:val="A6A6A6"/>
                <w:sz w:val="16"/>
                <w:szCs w:val="16"/>
                <w:lang w:eastAsia="nl-BE"/>
              </w:rPr>
              <w:t>(4)/(2)</w:t>
            </w:r>
          </w:p>
        </w:tc>
        <w:tc>
          <w:tcPr>
            <w:tcW w:w="687" w:type="pct"/>
            <w:tcBorders>
              <w:top w:val="nil"/>
              <w:left w:val="nil"/>
              <w:bottom w:val="nil"/>
              <w:right w:val="nil"/>
            </w:tcBorders>
            <w:shd w:val="clear" w:color="auto" w:fill="auto"/>
            <w:hideMark/>
          </w:tcPr>
          <w:p w:rsidR="002474ED" w:rsidRPr="002474ED" w:rsidRDefault="002474ED" w:rsidP="00E75531">
            <w:pPr>
              <w:jc w:val="both"/>
              <w:rPr>
                <w:rFonts w:ascii="Verdana" w:hAnsi="Verdana" w:cs="Calibri"/>
                <w:b/>
                <w:bCs/>
                <w:i/>
                <w:iCs/>
                <w:color w:val="A6A6A6"/>
                <w:sz w:val="16"/>
                <w:szCs w:val="16"/>
                <w:lang w:val="nl-BE" w:eastAsia="nl-BE"/>
              </w:rPr>
            </w:pPr>
            <w:r w:rsidRPr="002474ED">
              <w:rPr>
                <w:rFonts w:ascii="Verdana" w:hAnsi="Verdana" w:cs="Calibri"/>
                <w:b/>
                <w:bCs/>
                <w:i/>
                <w:iCs/>
                <w:color w:val="A6A6A6"/>
                <w:sz w:val="16"/>
                <w:szCs w:val="16"/>
                <w:lang w:val="nl-BE" w:eastAsia="nl-BE"/>
              </w:rPr>
              <w:t>(5)</w:t>
            </w:r>
          </w:p>
        </w:tc>
        <w:tc>
          <w:tcPr>
            <w:tcW w:w="536" w:type="pct"/>
            <w:tcBorders>
              <w:top w:val="nil"/>
              <w:left w:val="nil"/>
              <w:bottom w:val="nil"/>
              <w:right w:val="single" w:sz="12" w:space="0" w:color="auto"/>
            </w:tcBorders>
            <w:shd w:val="clear" w:color="auto" w:fill="auto"/>
            <w:vAlign w:val="center"/>
            <w:hideMark/>
          </w:tcPr>
          <w:p w:rsidR="002474ED" w:rsidRPr="002474ED" w:rsidRDefault="002474ED" w:rsidP="00E75531">
            <w:pPr>
              <w:jc w:val="both"/>
              <w:rPr>
                <w:rFonts w:ascii="Verdana" w:hAnsi="Verdana" w:cs="Calibri"/>
                <w:b/>
                <w:bCs/>
                <w:i/>
                <w:iCs/>
                <w:color w:val="A6A6A6"/>
                <w:sz w:val="16"/>
                <w:szCs w:val="16"/>
                <w:lang w:val="nl-BE" w:eastAsia="nl-BE"/>
              </w:rPr>
            </w:pPr>
            <w:r w:rsidRPr="002474ED">
              <w:rPr>
                <w:rFonts w:ascii="Verdana" w:hAnsi="Verdana" w:cs="Calibri"/>
                <w:b/>
                <w:bCs/>
                <w:i/>
                <w:iCs/>
                <w:color w:val="A6A6A6"/>
                <w:sz w:val="16"/>
                <w:szCs w:val="16"/>
                <w:lang w:eastAsia="nl-BE"/>
              </w:rPr>
              <w:t>(5)/(3)</w:t>
            </w:r>
          </w:p>
        </w:tc>
      </w:tr>
      <w:tr w:rsidR="002474ED" w:rsidRPr="002474ED" w:rsidTr="00455D81">
        <w:trPr>
          <w:trHeight w:val="105"/>
        </w:trPr>
        <w:tc>
          <w:tcPr>
            <w:tcW w:w="627" w:type="pct"/>
            <w:vMerge/>
            <w:tcBorders>
              <w:top w:val="single" w:sz="12" w:space="0" w:color="008080"/>
              <w:left w:val="single" w:sz="12" w:space="0" w:color="008080"/>
              <w:bottom w:val="single" w:sz="12" w:space="0" w:color="008080"/>
              <w:right w:val="nil"/>
            </w:tcBorders>
            <w:vAlign w:val="center"/>
            <w:hideMark/>
          </w:tcPr>
          <w:p w:rsidR="002474ED" w:rsidRPr="002474ED" w:rsidRDefault="002474ED" w:rsidP="00E75531">
            <w:pPr>
              <w:jc w:val="both"/>
              <w:rPr>
                <w:rFonts w:ascii="Verdana" w:hAnsi="Verdana" w:cs="Calibri"/>
                <w:b/>
                <w:bCs/>
                <w:color w:val="808080"/>
                <w:sz w:val="16"/>
                <w:szCs w:val="16"/>
                <w:lang w:val="nl-BE" w:eastAsia="nl-BE"/>
              </w:rPr>
            </w:pPr>
          </w:p>
        </w:tc>
        <w:tc>
          <w:tcPr>
            <w:tcW w:w="547" w:type="pct"/>
            <w:tcBorders>
              <w:top w:val="nil"/>
              <w:left w:val="nil"/>
              <w:bottom w:val="single" w:sz="12" w:space="0" w:color="008080"/>
              <w:right w:val="nil"/>
            </w:tcBorders>
            <w:shd w:val="clear" w:color="auto" w:fill="auto"/>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nl-BE" w:eastAsia="nl-BE"/>
              </w:rPr>
              <w:t> </w:t>
            </w:r>
          </w:p>
        </w:tc>
        <w:tc>
          <w:tcPr>
            <w:tcW w:w="468" w:type="pct"/>
            <w:tcBorders>
              <w:top w:val="nil"/>
              <w:left w:val="nil"/>
              <w:bottom w:val="single" w:sz="12" w:space="0" w:color="008080"/>
              <w:right w:val="nil"/>
            </w:tcBorders>
            <w:shd w:val="clear" w:color="auto" w:fill="auto"/>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nl-BE" w:eastAsia="nl-BE"/>
              </w:rPr>
              <w:t> </w:t>
            </w:r>
          </w:p>
        </w:tc>
        <w:tc>
          <w:tcPr>
            <w:tcW w:w="532" w:type="pct"/>
            <w:tcBorders>
              <w:top w:val="nil"/>
              <w:left w:val="nil"/>
              <w:bottom w:val="single" w:sz="12" w:space="0" w:color="008080"/>
              <w:right w:val="nil"/>
            </w:tcBorders>
            <w:shd w:val="clear" w:color="auto" w:fill="auto"/>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nl-BE" w:eastAsia="nl-BE"/>
              </w:rPr>
              <w:t> </w:t>
            </w:r>
          </w:p>
        </w:tc>
        <w:tc>
          <w:tcPr>
            <w:tcW w:w="493" w:type="pct"/>
            <w:tcBorders>
              <w:top w:val="nil"/>
              <w:left w:val="nil"/>
              <w:bottom w:val="single" w:sz="12" w:space="0" w:color="008080"/>
              <w:right w:val="nil"/>
            </w:tcBorders>
            <w:shd w:val="clear" w:color="auto" w:fill="auto"/>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nl-BE" w:eastAsia="nl-BE"/>
              </w:rPr>
              <w:t> </w:t>
            </w:r>
          </w:p>
        </w:tc>
        <w:tc>
          <w:tcPr>
            <w:tcW w:w="622" w:type="pct"/>
            <w:tcBorders>
              <w:top w:val="nil"/>
              <w:left w:val="nil"/>
              <w:bottom w:val="single" w:sz="12" w:space="0" w:color="008080"/>
              <w:right w:val="nil"/>
            </w:tcBorders>
            <w:shd w:val="clear" w:color="auto" w:fill="auto"/>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nl-BE" w:eastAsia="nl-BE"/>
              </w:rPr>
              <w:t> </w:t>
            </w:r>
          </w:p>
        </w:tc>
        <w:tc>
          <w:tcPr>
            <w:tcW w:w="487" w:type="pct"/>
            <w:tcBorders>
              <w:top w:val="nil"/>
              <w:left w:val="nil"/>
              <w:bottom w:val="single" w:sz="12" w:space="0" w:color="008080"/>
              <w:right w:val="nil"/>
            </w:tcBorders>
            <w:shd w:val="clear" w:color="auto" w:fill="auto"/>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nl-BE" w:eastAsia="nl-BE"/>
              </w:rPr>
              <w:t> </w:t>
            </w:r>
          </w:p>
        </w:tc>
        <w:tc>
          <w:tcPr>
            <w:tcW w:w="687" w:type="pct"/>
            <w:tcBorders>
              <w:top w:val="nil"/>
              <w:left w:val="nil"/>
              <w:bottom w:val="single" w:sz="12" w:space="0" w:color="008080"/>
              <w:right w:val="nil"/>
            </w:tcBorders>
            <w:shd w:val="clear" w:color="auto" w:fill="auto"/>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nl-BE" w:eastAsia="nl-BE"/>
              </w:rPr>
              <w:t> </w:t>
            </w:r>
          </w:p>
        </w:tc>
        <w:tc>
          <w:tcPr>
            <w:tcW w:w="536" w:type="pct"/>
            <w:tcBorders>
              <w:top w:val="nil"/>
              <w:left w:val="nil"/>
              <w:bottom w:val="single" w:sz="12" w:space="0" w:color="008080"/>
              <w:right w:val="single" w:sz="12" w:space="0" w:color="auto"/>
            </w:tcBorders>
            <w:shd w:val="clear" w:color="auto" w:fill="auto"/>
            <w:vAlign w:val="center"/>
            <w:hideMark/>
          </w:tcPr>
          <w:p w:rsidR="002474ED" w:rsidRPr="002474ED" w:rsidRDefault="002474ED" w:rsidP="00E75531">
            <w:pPr>
              <w:jc w:val="both"/>
              <w:rPr>
                <w:rFonts w:ascii="Verdana" w:hAnsi="Verdana" w:cs="Calibri"/>
                <w:b/>
                <w:bCs/>
                <w:i/>
                <w:iCs/>
                <w:color w:val="808080"/>
                <w:sz w:val="16"/>
                <w:szCs w:val="16"/>
                <w:lang w:val="nl-BE" w:eastAsia="nl-BE"/>
              </w:rPr>
            </w:pPr>
            <w:r w:rsidRPr="002474ED">
              <w:rPr>
                <w:rFonts w:ascii="Verdana" w:hAnsi="Verdana" w:cs="Calibri"/>
                <w:b/>
                <w:bCs/>
                <w:i/>
                <w:iCs/>
                <w:color w:val="808080"/>
                <w:sz w:val="16"/>
                <w:szCs w:val="16"/>
                <w:lang w:eastAsia="nl-BE"/>
              </w:rPr>
              <w:t> </w:t>
            </w:r>
          </w:p>
        </w:tc>
      </w:tr>
      <w:tr w:rsidR="002474ED" w:rsidRPr="002474ED" w:rsidTr="00455D81">
        <w:trPr>
          <w:trHeight w:val="315"/>
        </w:trPr>
        <w:tc>
          <w:tcPr>
            <w:tcW w:w="627" w:type="pct"/>
            <w:vMerge w:val="restart"/>
            <w:tcBorders>
              <w:top w:val="nil"/>
              <w:left w:val="single" w:sz="12" w:space="0" w:color="008080"/>
              <w:bottom w:val="single" w:sz="8" w:space="0" w:color="000000"/>
              <w:right w:val="nil"/>
            </w:tcBorders>
            <w:shd w:val="clear" w:color="auto" w:fill="auto"/>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eastAsia="nl-BE"/>
              </w:rPr>
              <w:t xml:space="preserve"> ARKAFUND </w:t>
            </w:r>
          </w:p>
        </w:tc>
        <w:tc>
          <w:tcPr>
            <w:tcW w:w="547" w:type="pct"/>
            <w:vMerge w:val="restart"/>
            <w:tcBorders>
              <w:top w:val="nil"/>
              <w:left w:val="nil"/>
              <w:bottom w:val="single" w:sz="8" w:space="0" w:color="000000"/>
              <w:right w:val="nil"/>
            </w:tcBorders>
            <w:shd w:val="clear" w:color="auto" w:fill="auto"/>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9.999.000</w:t>
            </w:r>
          </w:p>
        </w:tc>
        <w:tc>
          <w:tcPr>
            <w:tcW w:w="468" w:type="pct"/>
            <w:vMerge w:val="restart"/>
            <w:tcBorders>
              <w:top w:val="nil"/>
              <w:left w:val="nil"/>
              <w:bottom w:val="single" w:sz="8" w:space="0" w:color="000000"/>
              <w:right w:val="nil"/>
            </w:tcBorders>
            <w:shd w:val="clear" w:color="auto" w:fill="auto"/>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9.999.000</w:t>
            </w:r>
          </w:p>
        </w:tc>
        <w:tc>
          <w:tcPr>
            <w:tcW w:w="532" w:type="pct"/>
            <w:vMerge w:val="restart"/>
            <w:tcBorders>
              <w:top w:val="nil"/>
              <w:left w:val="nil"/>
              <w:bottom w:val="single" w:sz="8" w:space="0" w:color="000000"/>
              <w:right w:val="nil"/>
            </w:tcBorders>
            <w:shd w:val="clear" w:color="auto" w:fill="auto"/>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9.124.419</w:t>
            </w:r>
          </w:p>
        </w:tc>
        <w:tc>
          <w:tcPr>
            <w:tcW w:w="493" w:type="pct"/>
            <w:vMerge w:val="restart"/>
            <w:tcBorders>
              <w:top w:val="nil"/>
              <w:left w:val="nil"/>
              <w:bottom w:val="single" w:sz="8" w:space="0" w:color="000000"/>
              <w:right w:val="nil"/>
            </w:tcBorders>
            <w:shd w:val="clear" w:color="auto" w:fill="auto"/>
            <w:vAlign w:val="center"/>
            <w:hideMark/>
          </w:tcPr>
          <w:p w:rsidR="002474ED" w:rsidRPr="002474ED" w:rsidRDefault="002474ED" w:rsidP="00E75531">
            <w:pPr>
              <w:jc w:val="both"/>
              <w:rPr>
                <w:rFonts w:ascii="Verdana" w:hAnsi="Verdana" w:cs="Calibri"/>
                <w:i/>
                <w:iCs/>
                <w:color w:val="000000"/>
                <w:sz w:val="16"/>
                <w:szCs w:val="16"/>
                <w:lang w:val="nl-BE" w:eastAsia="nl-BE"/>
              </w:rPr>
            </w:pPr>
            <w:r w:rsidRPr="002474ED">
              <w:rPr>
                <w:rFonts w:ascii="Verdana" w:hAnsi="Verdana" w:cs="Calibri"/>
                <w:i/>
                <w:iCs/>
                <w:color w:val="000000"/>
                <w:sz w:val="16"/>
                <w:szCs w:val="16"/>
                <w:lang w:val="en-GB" w:eastAsia="nl-BE"/>
              </w:rPr>
              <w:t>91,30%</w:t>
            </w:r>
          </w:p>
        </w:tc>
        <w:tc>
          <w:tcPr>
            <w:tcW w:w="622" w:type="pct"/>
            <w:vMerge w:val="restart"/>
            <w:tcBorders>
              <w:top w:val="nil"/>
              <w:left w:val="nil"/>
              <w:bottom w:val="single" w:sz="8" w:space="0" w:color="000000"/>
              <w:right w:val="nil"/>
            </w:tcBorders>
            <w:shd w:val="clear" w:color="auto" w:fill="auto"/>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583.091</w:t>
            </w:r>
          </w:p>
        </w:tc>
        <w:tc>
          <w:tcPr>
            <w:tcW w:w="487" w:type="pct"/>
            <w:vMerge w:val="restart"/>
            <w:tcBorders>
              <w:top w:val="nil"/>
              <w:left w:val="nil"/>
              <w:bottom w:val="single" w:sz="8" w:space="0" w:color="000000"/>
              <w:right w:val="nil"/>
            </w:tcBorders>
            <w:shd w:val="clear" w:color="auto" w:fill="auto"/>
            <w:vAlign w:val="center"/>
            <w:hideMark/>
          </w:tcPr>
          <w:p w:rsidR="002474ED" w:rsidRPr="002474ED" w:rsidRDefault="002474ED" w:rsidP="00E75531">
            <w:pPr>
              <w:jc w:val="both"/>
              <w:rPr>
                <w:rFonts w:ascii="Verdana" w:hAnsi="Verdana" w:cs="Calibri"/>
                <w:i/>
                <w:iCs/>
                <w:color w:val="000000"/>
                <w:sz w:val="16"/>
                <w:szCs w:val="16"/>
                <w:lang w:val="nl-BE" w:eastAsia="nl-BE"/>
              </w:rPr>
            </w:pPr>
            <w:r w:rsidRPr="002474ED">
              <w:rPr>
                <w:rFonts w:ascii="Verdana" w:hAnsi="Verdana" w:cs="Calibri"/>
                <w:i/>
                <w:iCs/>
                <w:color w:val="000000"/>
                <w:sz w:val="16"/>
                <w:szCs w:val="16"/>
                <w:lang w:val="en-GB" w:eastAsia="nl-BE"/>
              </w:rPr>
              <w:t>5,80%</w:t>
            </w:r>
          </w:p>
        </w:tc>
        <w:tc>
          <w:tcPr>
            <w:tcW w:w="687" w:type="pct"/>
            <w:vMerge w:val="restart"/>
            <w:tcBorders>
              <w:top w:val="nil"/>
              <w:left w:val="nil"/>
              <w:bottom w:val="single" w:sz="8" w:space="0" w:color="000000"/>
              <w:right w:val="nil"/>
            </w:tcBorders>
            <w:shd w:val="clear" w:color="000000" w:fill="FDE9D9"/>
            <w:vAlign w:val="center"/>
            <w:hideMark/>
          </w:tcPr>
          <w:p w:rsidR="002474ED" w:rsidRPr="007A72E0" w:rsidRDefault="002474ED" w:rsidP="00E75531">
            <w:pPr>
              <w:jc w:val="both"/>
              <w:rPr>
                <w:rFonts w:ascii="Verdana" w:hAnsi="Verdana" w:cs="Calibri"/>
                <w:color w:val="FF0000"/>
                <w:sz w:val="16"/>
                <w:szCs w:val="16"/>
                <w:lang w:val="nl-BE" w:eastAsia="nl-BE"/>
              </w:rPr>
            </w:pPr>
            <w:r w:rsidRPr="007A72E0">
              <w:rPr>
                <w:rFonts w:ascii="Verdana" w:hAnsi="Verdana" w:cs="Calibri"/>
                <w:color w:val="FF0000"/>
                <w:sz w:val="16"/>
                <w:szCs w:val="16"/>
                <w:lang w:val="en-GB" w:eastAsia="nl-BE"/>
              </w:rPr>
              <w:t>3.961.779</w:t>
            </w:r>
          </w:p>
        </w:tc>
        <w:tc>
          <w:tcPr>
            <w:tcW w:w="536" w:type="pct"/>
            <w:vMerge w:val="restart"/>
            <w:tcBorders>
              <w:top w:val="nil"/>
              <w:left w:val="nil"/>
              <w:bottom w:val="single" w:sz="8" w:space="0" w:color="000000"/>
              <w:right w:val="single" w:sz="12" w:space="0" w:color="auto"/>
            </w:tcBorders>
            <w:shd w:val="clear" w:color="auto" w:fill="auto"/>
            <w:vAlign w:val="center"/>
            <w:hideMark/>
          </w:tcPr>
          <w:p w:rsidR="002474ED" w:rsidRPr="002474ED" w:rsidRDefault="002474ED" w:rsidP="00E75531">
            <w:pPr>
              <w:jc w:val="both"/>
              <w:rPr>
                <w:rFonts w:ascii="Verdana" w:hAnsi="Verdana" w:cs="Calibri"/>
                <w:i/>
                <w:iCs/>
                <w:color w:val="000000"/>
                <w:sz w:val="16"/>
                <w:szCs w:val="16"/>
                <w:lang w:val="nl-BE" w:eastAsia="nl-BE"/>
              </w:rPr>
            </w:pPr>
            <w:r w:rsidRPr="002474ED">
              <w:rPr>
                <w:rFonts w:ascii="Verdana" w:hAnsi="Verdana" w:cs="Calibri"/>
                <w:i/>
                <w:iCs/>
                <w:color w:val="000000"/>
                <w:sz w:val="16"/>
                <w:szCs w:val="16"/>
                <w:lang w:val="en-GB" w:eastAsia="nl-BE"/>
              </w:rPr>
              <w:t>43,40%</w:t>
            </w:r>
          </w:p>
        </w:tc>
      </w:tr>
      <w:tr w:rsidR="002474ED" w:rsidRPr="002474ED" w:rsidTr="00455D81">
        <w:trPr>
          <w:trHeight w:val="315"/>
        </w:trPr>
        <w:tc>
          <w:tcPr>
            <w:tcW w:w="627" w:type="pct"/>
            <w:vMerge/>
            <w:tcBorders>
              <w:top w:val="nil"/>
              <w:left w:val="single" w:sz="12" w:space="0" w:color="008080"/>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547"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468"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532"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493"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i/>
                <w:iCs/>
                <w:color w:val="000000"/>
                <w:sz w:val="16"/>
                <w:szCs w:val="16"/>
                <w:lang w:val="nl-BE" w:eastAsia="nl-BE"/>
              </w:rPr>
            </w:pPr>
          </w:p>
        </w:tc>
        <w:tc>
          <w:tcPr>
            <w:tcW w:w="622"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487"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i/>
                <w:iCs/>
                <w:color w:val="000000"/>
                <w:sz w:val="16"/>
                <w:szCs w:val="16"/>
                <w:lang w:val="nl-BE" w:eastAsia="nl-BE"/>
              </w:rPr>
            </w:pPr>
          </w:p>
        </w:tc>
        <w:tc>
          <w:tcPr>
            <w:tcW w:w="687" w:type="pct"/>
            <w:vMerge/>
            <w:tcBorders>
              <w:top w:val="nil"/>
              <w:left w:val="nil"/>
              <w:bottom w:val="single" w:sz="8" w:space="0" w:color="000000"/>
              <w:right w:val="nil"/>
            </w:tcBorders>
            <w:vAlign w:val="center"/>
            <w:hideMark/>
          </w:tcPr>
          <w:p w:rsidR="002474ED" w:rsidRPr="007A72E0" w:rsidRDefault="002474ED" w:rsidP="00E75531">
            <w:pPr>
              <w:jc w:val="both"/>
              <w:rPr>
                <w:rFonts w:ascii="Verdana" w:hAnsi="Verdana" w:cs="Calibri"/>
                <w:color w:val="FF0000"/>
                <w:sz w:val="16"/>
                <w:szCs w:val="16"/>
                <w:lang w:val="nl-BE" w:eastAsia="nl-BE"/>
              </w:rPr>
            </w:pPr>
          </w:p>
        </w:tc>
        <w:tc>
          <w:tcPr>
            <w:tcW w:w="536" w:type="pct"/>
            <w:vMerge/>
            <w:tcBorders>
              <w:top w:val="nil"/>
              <w:left w:val="nil"/>
              <w:bottom w:val="single" w:sz="8" w:space="0" w:color="000000"/>
              <w:right w:val="single" w:sz="12" w:space="0" w:color="auto"/>
            </w:tcBorders>
            <w:vAlign w:val="center"/>
            <w:hideMark/>
          </w:tcPr>
          <w:p w:rsidR="002474ED" w:rsidRPr="002474ED" w:rsidRDefault="002474ED" w:rsidP="00E75531">
            <w:pPr>
              <w:jc w:val="both"/>
              <w:rPr>
                <w:rFonts w:ascii="Verdana" w:hAnsi="Verdana" w:cs="Calibri"/>
                <w:i/>
                <w:iCs/>
                <w:color w:val="000000"/>
                <w:sz w:val="16"/>
                <w:szCs w:val="16"/>
                <w:lang w:val="nl-BE" w:eastAsia="nl-BE"/>
              </w:rPr>
            </w:pPr>
          </w:p>
        </w:tc>
      </w:tr>
      <w:tr w:rsidR="002474ED" w:rsidRPr="002474ED" w:rsidTr="00455D81">
        <w:trPr>
          <w:trHeight w:val="435"/>
        </w:trPr>
        <w:tc>
          <w:tcPr>
            <w:tcW w:w="627" w:type="pct"/>
            <w:tcBorders>
              <w:top w:val="nil"/>
              <w:left w:val="single" w:sz="12" w:space="0" w:color="008080"/>
              <w:bottom w:val="single" w:sz="8" w:space="0" w:color="000000"/>
              <w:right w:val="nil"/>
            </w:tcBorders>
            <w:shd w:val="clear" w:color="auto" w:fill="auto"/>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 xml:space="preserve">ARK-ANGELS FUND </w:t>
            </w:r>
          </w:p>
        </w:tc>
        <w:tc>
          <w:tcPr>
            <w:tcW w:w="547" w:type="pc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3.357.000</w:t>
            </w:r>
          </w:p>
        </w:tc>
        <w:tc>
          <w:tcPr>
            <w:tcW w:w="468" w:type="pc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3.357.000</w:t>
            </w:r>
          </w:p>
        </w:tc>
        <w:tc>
          <w:tcPr>
            <w:tcW w:w="532" w:type="pc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2.499.777</w:t>
            </w:r>
          </w:p>
        </w:tc>
        <w:tc>
          <w:tcPr>
            <w:tcW w:w="493" w:type="pc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i/>
                <w:iCs/>
                <w:color w:val="000000"/>
                <w:sz w:val="16"/>
                <w:szCs w:val="16"/>
                <w:lang w:val="nl-BE" w:eastAsia="nl-BE"/>
              </w:rPr>
            </w:pPr>
            <w:r w:rsidRPr="002474ED">
              <w:rPr>
                <w:rFonts w:ascii="Verdana" w:hAnsi="Verdana" w:cs="Calibri"/>
                <w:i/>
                <w:iCs/>
                <w:color w:val="000000"/>
                <w:sz w:val="16"/>
                <w:szCs w:val="16"/>
                <w:lang w:val="en-GB" w:eastAsia="nl-BE"/>
              </w:rPr>
              <w:t>74,50%</w:t>
            </w:r>
          </w:p>
        </w:tc>
        <w:tc>
          <w:tcPr>
            <w:tcW w:w="622" w:type="pc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473.212</w:t>
            </w:r>
          </w:p>
        </w:tc>
        <w:tc>
          <w:tcPr>
            <w:tcW w:w="487" w:type="pc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i/>
                <w:iCs/>
                <w:color w:val="000000"/>
                <w:sz w:val="16"/>
                <w:szCs w:val="16"/>
                <w:lang w:val="nl-BE" w:eastAsia="nl-BE"/>
              </w:rPr>
            </w:pPr>
            <w:r w:rsidRPr="002474ED">
              <w:rPr>
                <w:rFonts w:ascii="Verdana" w:hAnsi="Verdana" w:cs="Calibri"/>
                <w:i/>
                <w:iCs/>
                <w:color w:val="000000"/>
                <w:sz w:val="16"/>
                <w:szCs w:val="16"/>
                <w:lang w:val="en-GB" w:eastAsia="nl-BE"/>
              </w:rPr>
              <w:t>14,10%</w:t>
            </w:r>
          </w:p>
        </w:tc>
        <w:tc>
          <w:tcPr>
            <w:tcW w:w="687" w:type="pct"/>
            <w:tcBorders>
              <w:top w:val="nil"/>
              <w:left w:val="nil"/>
              <w:bottom w:val="single" w:sz="8" w:space="0" w:color="000000"/>
              <w:right w:val="nil"/>
            </w:tcBorders>
            <w:shd w:val="clear" w:color="000000" w:fill="FDE9D9"/>
            <w:vAlign w:val="center"/>
            <w:hideMark/>
          </w:tcPr>
          <w:p w:rsidR="002474ED" w:rsidRPr="007A72E0" w:rsidRDefault="002474ED" w:rsidP="00E75531">
            <w:pPr>
              <w:jc w:val="both"/>
              <w:rPr>
                <w:rFonts w:ascii="Verdana" w:hAnsi="Verdana" w:cs="Calibri"/>
                <w:color w:val="FF0000"/>
                <w:sz w:val="16"/>
                <w:szCs w:val="16"/>
                <w:lang w:val="nl-BE" w:eastAsia="nl-BE"/>
              </w:rPr>
            </w:pPr>
            <w:r w:rsidRPr="007A72E0">
              <w:rPr>
                <w:rFonts w:ascii="Verdana" w:hAnsi="Verdana" w:cs="Calibri"/>
                <w:color w:val="FF0000"/>
                <w:sz w:val="16"/>
                <w:szCs w:val="16"/>
                <w:lang w:val="en-GB" w:eastAsia="nl-BE"/>
              </w:rPr>
              <w:t>631.489</w:t>
            </w:r>
          </w:p>
        </w:tc>
        <w:tc>
          <w:tcPr>
            <w:tcW w:w="536" w:type="pct"/>
            <w:tcBorders>
              <w:top w:val="nil"/>
              <w:left w:val="nil"/>
              <w:bottom w:val="single" w:sz="8" w:space="0" w:color="000000"/>
              <w:right w:val="single" w:sz="12" w:space="0" w:color="auto"/>
            </w:tcBorders>
            <w:shd w:val="clear" w:color="000000" w:fill="FFFFFF"/>
            <w:vAlign w:val="center"/>
            <w:hideMark/>
          </w:tcPr>
          <w:p w:rsidR="002474ED" w:rsidRPr="002474ED" w:rsidRDefault="002474ED" w:rsidP="00E75531">
            <w:pPr>
              <w:jc w:val="both"/>
              <w:rPr>
                <w:rFonts w:ascii="Verdana" w:hAnsi="Verdana" w:cs="Calibri"/>
                <w:i/>
                <w:iCs/>
                <w:color w:val="000000"/>
                <w:sz w:val="16"/>
                <w:szCs w:val="16"/>
                <w:lang w:val="nl-BE" w:eastAsia="nl-BE"/>
              </w:rPr>
            </w:pPr>
            <w:r w:rsidRPr="002474ED">
              <w:rPr>
                <w:rFonts w:ascii="Verdana" w:hAnsi="Verdana" w:cs="Calibri"/>
                <w:i/>
                <w:iCs/>
                <w:color w:val="000000"/>
                <w:sz w:val="16"/>
                <w:szCs w:val="16"/>
                <w:lang w:val="en-GB" w:eastAsia="nl-BE"/>
              </w:rPr>
              <w:t>25,30%</w:t>
            </w:r>
          </w:p>
        </w:tc>
      </w:tr>
      <w:tr w:rsidR="002474ED" w:rsidRPr="002474ED" w:rsidTr="00455D81">
        <w:trPr>
          <w:trHeight w:val="315"/>
        </w:trPr>
        <w:tc>
          <w:tcPr>
            <w:tcW w:w="627" w:type="pct"/>
            <w:vMerge w:val="restart"/>
            <w:tcBorders>
              <w:top w:val="nil"/>
              <w:left w:val="single" w:sz="12" w:space="0" w:color="008080"/>
              <w:bottom w:val="single" w:sz="8" w:space="0" w:color="000000"/>
              <w:right w:val="nil"/>
            </w:tcBorders>
            <w:shd w:val="clear" w:color="auto" w:fill="auto"/>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 xml:space="preserve">Baekeland Fonds II </w:t>
            </w:r>
          </w:p>
        </w:tc>
        <w:tc>
          <w:tcPr>
            <w:tcW w:w="547" w:type="pct"/>
            <w:vMerge w:val="restar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4.000.000</w:t>
            </w:r>
          </w:p>
        </w:tc>
        <w:tc>
          <w:tcPr>
            <w:tcW w:w="468" w:type="pct"/>
            <w:vMerge w:val="restar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4.000.000</w:t>
            </w:r>
          </w:p>
        </w:tc>
        <w:tc>
          <w:tcPr>
            <w:tcW w:w="532" w:type="pct"/>
            <w:vMerge w:val="restar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3.400.000</w:t>
            </w:r>
          </w:p>
        </w:tc>
        <w:tc>
          <w:tcPr>
            <w:tcW w:w="493" w:type="pct"/>
            <w:vMerge w:val="restar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i/>
                <w:iCs/>
                <w:color w:val="000000"/>
                <w:sz w:val="16"/>
                <w:szCs w:val="16"/>
                <w:lang w:val="nl-BE" w:eastAsia="nl-BE"/>
              </w:rPr>
            </w:pPr>
            <w:r w:rsidRPr="002474ED">
              <w:rPr>
                <w:rFonts w:ascii="Verdana" w:hAnsi="Verdana" w:cs="Calibri"/>
                <w:i/>
                <w:iCs/>
                <w:color w:val="000000"/>
                <w:sz w:val="16"/>
                <w:szCs w:val="16"/>
                <w:lang w:val="en-GB" w:eastAsia="nl-BE"/>
              </w:rPr>
              <w:t>85,00%</w:t>
            </w:r>
          </w:p>
        </w:tc>
        <w:tc>
          <w:tcPr>
            <w:tcW w:w="622" w:type="pct"/>
            <w:vMerge w:val="restar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w:t>
            </w:r>
          </w:p>
        </w:tc>
        <w:tc>
          <w:tcPr>
            <w:tcW w:w="487" w:type="pct"/>
            <w:vMerge w:val="restar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i/>
                <w:iCs/>
                <w:color w:val="000000"/>
                <w:sz w:val="16"/>
                <w:szCs w:val="16"/>
                <w:lang w:val="nl-BE" w:eastAsia="nl-BE"/>
              </w:rPr>
            </w:pPr>
            <w:r w:rsidRPr="002474ED">
              <w:rPr>
                <w:rFonts w:ascii="Verdana" w:hAnsi="Verdana" w:cs="Calibri"/>
                <w:i/>
                <w:iCs/>
                <w:color w:val="000000"/>
                <w:sz w:val="16"/>
                <w:szCs w:val="16"/>
                <w:lang w:val="en-GB" w:eastAsia="nl-BE"/>
              </w:rPr>
              <w:t>-</w:t>
            </w:r>
          </w:p>
        </w:tc>
        <w:tc>
          <w:tcPr>
            <w:tcW w:w="687" w:type="pct"/>
            <w:vMerge w:val="restart"/>
            <w:tcBorders>
              <w:top w:val="nil"/>
              <w:left w:val="nil"/>
              <w:bottom w:val="single" w:sz="8" w:space="0" w:color="000000"/>
              <w:right w:val="nil"/>
            </w:tcBorders>
            <w:shd w:val="clear" w:color="000000" w:fill="FDE9D9"/>
            <w:vAlign w:val="center"/>
            <w:hideMark/>
          </w:tcPr>
          <w:p w:rsidR="002474ED" w:rsidRPr="007A72E0" w:rsidRDefault="002474ED" w:rsidP="00E75531">
            <w:pPr>
              <w:jc w:val="both"/>
              <w:rPr>
                <w:rFonts w:ascii="Verdana" w:hAnsi="Verdana" w:cs="Calibri"/>
                <w:color w:val="FF0000"/>
                <w:sz w:val="16"/>
                <w:szCs w:val="16"/>
                <w:lang w:val="nl-BE" w:eastAsia="nl-BE"/>
              </w:rPr>
            </w:pPr>
            <w:r w:rsidRPr="007A72E0">
              <w:rPr>
                <w:rFonts w:ascii="Verdana" w:hAnsi="Verdana" w:cs="Calibri"/>
                <w:color w:val="FF0000"/>
                <w:sz w:val="16"/>
                <w:szCs w:val="16"/>
                <w:lang w:val="en-GB" w:eastAsia="nl-BE"/>
              </w:rPr>
              <w:t>354.346</w:t>
            </w:r>
          </w:p>
        </w:tc>
        <w:tc>
          <w:tcPr>
            <w:tcW w:w="536" w:type="pct"/>
            <w:vMerge w:val="restart"/>
            <w:tcBorders>
              <w:top w:val="nil"/>
              <w:left w:val="nil"/>
              <w:bottom w:val="single" w:sz="8" w:space="0" w:color="000000"/>
              <w:right w:val="single" w:sz="12" w:space="0" w:color="auto"/>
            </w:tcBorders>
            <w:shd w:val="clear" w:color="000000" w:fill="FFFFFF"/>
            <w:vAlign w:val="center"/>
            <w:hideMark/>
          </w:tcPr>
          <w:p w:rsidR="002474ED" w:rsidRPr="002474ED" w:rsidRDefault="002474ED" w:rsidP="00E75531">
            <w:pPr>
              <w:jc w:val="both"/>
              <w:rPr>
                <w:rFonts w:ascii="Verdana" w:hAnsi="Verdana" w:cs="Calibri"/>
                <w:i/>
                <w:iCs/>
                <w:color w:val="000000"/>
                <w:sz w:val="16"/>
                <w:szCs w:val="16"/>
                <w:lang w:val="nl-BE" w:eastAsia="nl-BE"/>
              </w:rPr>
            </w:pPr>
            <w:r w:rsidRPr="002474ED">
              <w:rPr>
                <w:rFonts w:ascii="Verdana" w:hAnsi="Verdana" w:cs="Calibri"/>
                <w:i/>
                <w:iCs/>
                <w:color w:val="000000"/>
                <w:sz w:val="16"/>
                <w:szCs w:val="16"/>
                <w:lang w:val="en-GB" w:eastAsia="nl-BE"/>
              </w:rPr>
              <w:t>10,40%</w:t>
            </w:r>
          </w:p>
        </w:tc>
      </w:tr>
      <w:tr w:rsidR="002474ED" w:rsidRPr="002474ED" w:rsidTr="00455D81">
        <w:trPr>
          <w:trHeight w:val="315"/>
        </w:trPr>
        <w:tc>
          <w:tcPr>
            <w:tcW w:w="627" w:type="pct"/>
            <w:vMerge/>
            <w:tcBorders>
              <w:top w:val="nil"/>
              <w:left w:val="single" w:sz="12" w:space="0" w:color="008080"/>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547"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468"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532"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493"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i/>
                <w:iCs/>
                <w:color w:val="000000"/>
                <w:sz w:val="16"/>
                <w:szCs w:val="16"/>
                <w:lang w:val="nl-BE" w:eastAsia="nl-BE"/>
              </w:rPr>
            </w:pPr>
          </w:p>
        </w:tc>
        <w:tc>
          <w:tcPr>
            <w:tcW w:w="622"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487"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i/>
                <w:iCs/>
                <w:color w:val="000000"/>
                <w:sz w:val="16"/>
                <w:szCs w:val="16"/>
                <w:lang w:val="nl-BE" w:eastAsia="nl-BE"/>
              </w:rPr>
            </w:pPr>
          </w:p>
        </w:tc>
        <w:tc>
          <w:tcPr>
            <w:tcW w:w="687" w:type="pct"/>
            <w:vMerge/>
            <w:tcBorders>
              <w:top w:val="nil"/>
              <w:left w:val="nil"/>
              <w:bottom w:val="single" w:sz="8" w:space="0" w:color="000000"/>
              <w:right w:val="nil"/>
            </w:tcBorders>
            <w:vAlign w:val="center"/>
            <w:hideMark/>
          </w:tcPr>
          <w:p w:rsidR="002474ED" w:rsidRPr="007A72E0" w:rsidRDefault="002474ED" w:rsidP="00E75531">
            <w:pPr>
              <w:jc w:val="both"/>
              <w:rPr>
                <w:rFonts w:ascii="Verdana" w:hAnsi="Verdana" w:cs="Calibri"/>
                <w:color w:val="FF0000"/>
                <w:sz w:val="16"/>
                <w:szCs w:val="16"/>
                <w:lang w:val="nl-BE" w:eastAsia="nl-BE"/>
              </w:rPr>
            </w:pPr>
          </w:p>
        </w:tc>
        <w:tc>
          <w:tcPr>
            <w:tcW w:w="536" w:type="pct"/>
            <w:vMerge/>
            <w:tcBorders>
              <w:top w:val="nil"/>
              <w:left w:val="nil"/>
              <w:bottom w:val="single" w:sz="8" w:space="0" w:color="000000"/>
              <w:right w:val="single" w:sz="12" w:space="0" w:color="auto"/>
            </w:tcBorders>
            <w:vAlign w:val="center"/>
            <w:hideMark/>
          </w:tcPr>
          <w:p w:rsidR="002474ED" w:rsidRPr="002474ED" w:rsidRDefault="002474ED" w:rsidP="00E75531">
            <w:pPr>
              <w:jc w:val="both"/>
              <w:rPr>
                <w:rFonts w:ascii="Verdana" w:hAnsi="Verdana" w:cs="Calibri"/>
                <w:i/>
                <w:iCs/>
                <w:color w:val="000000"/>
                <w:sz w:val="16"/>
                <w:szCs w:val="16"/>
                <w:lang w:val="nl-BE" w:eastAsia="nl-BE"/>
              </w:rPr>
            </w:pPr>
          </w:p>
        </w:tc>
      </w:tr>
      <w:tr w:rsidR="002474ED" w:rsidRPr="002474ED" w:rsidTr="00455D81">
        <w:trPr>
          <w:trHeight w:val="645"/>
        </w:trPr>
        <w:tc>
          <w:tcPr>
            <w:tcW w:w="627" w:type="pct"/>
            <w:tcBorders>
              <w:top w:val="nil"/>
              <w:left w:val="single" w:sz="12" w:space="0" w:color="008080"/>
              <w:bottom w:val="single" w:sz="8" w:space="0" w:color="000000"/>
              <w:right w:val="nil"/>
            </w:tcBorders>
            <w:shd w:val="clear" w:color="auto" w:fill="auto"/>
            <w:vAlign w:val="center"/>
            <w:hideMark/>
          </w:tcPr>
          <w:p w:rsidR="002474ED" w:rsidRPr="002474ED" w:rsidRDefault="002474ED" w:rsidP="00E75531">
            <w:pPr>
              <w:jc w:val="both"/>
              <w:rPr>
                <w:rFonts w:ascii="Verdana" w:hAnsi="Verdana" w:cs="Calibri"/>
                <w:color w:val="000000"/>
                <w:sz w:val="16"/>
                <w:szCs w:val="16"/>
                <w:lang w:val="fr-FR" w:eastAsia="nl-BE"/>
              </w:rPr>
            </w:pPr>
            <w:r w:rsidRPr="002474ED">
              <w:rPr>
                <w:rFonts w:ascii="Verdana" w:hAnsi="Verdana" w:cs="Calibri"/>
                <w:color w:val="000000"/>
                <w:sz w:val="16"/>
                <w:szCs w:val="16"/>
                <w:lang w:val="fr-FR" w:eastAsia="nl-BE"/>
              </w:rPr>
              <w:t>Big Bang Ven</w:t>
            </w:r>
            <w:r w:rsidR="00455D81">
              <w:rPr>
                <w:rFonts w:ascii="Verdana" w:hAnsi="Verdana" w:cs="Calibri"/>
                <w:color w:val="000000"/>
                <w:sz w:val="16"/>
                <w:szCs w:val="16"/>
                <w:lang w:val="fr-FR" w:eastAsia="nl-BE"/>
              </w:rPr>
              <w:t>tures II</w:t>
            </w:r>
          </w:p>
        </w:tc>
        <w:tc>
          <w:tcPr>
            <w:tcW w:w="547" w:type="pc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10.284.962</w:t>
            </w:r>
          </w:p>
        </w:tc>
        <w:tc>
          <w:tcPr>
            <w:tcW w:w="468" w:type="pc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10.284.962</w:t>
            </w:r>
          </w:p>
        </w:tc>
        <w:tc>
          <w:tcPr>
            <w:tcW w:w="532" w:type="pc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9.560.400</w:t>
            </w:r>
          </w:p>
        </w:tc>
        <w:tc>
          <w:tcPr>
            <w:tcW w:w="493" w:type="pc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i/>
                <w:iCs/>
                <w:color w:val="000000"/>
                <w:sz w:val="16"/>
                <w:szCs w:val="16"/>
                <w:lang w:val="nl-BE" w:eastAsia="nl-BE"/>
              </w:rPr>
            </w:pPr>
            <w:r w:rsidRPr="002474ED">
              <w:rPr>
                <w:rFonts w:ascii="Verdana" w:hAnsi="Verdana" w:cs="Calibri"/>
                <w:i/>
                <w:iCs/>
                <w:color w:val="000000"/>
                <w:sz w:val="16"/>
                <w:szCs w:val="16"/>
                <w:lang w:val="en-GB" w:eastAsia="nl-BE"/>
              </w:rPr>
              <w:t>93,00%</w:t>
            </w:r>
          </w:p>
        </w:tc>
        <w:tc>
          <w:tcPr>
            <w:tcW w:w="622" w:type="pc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2.971.487</w:t>
            </w:r>
          </w:p>
        </w:tc>
        <w:tc>
          <w:tcPr>
            <w:tcW w:w="487" w:type="pc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i/>
                <w:iCs/>
                <w:color w:val="000000"/>
                <w:sz w:val="16"/>
                <w:szCs w:val="16"/>
                <w:lang w:val="nl-BE" w:eastAsia="nl-BE"/>
              </w:rPr>
            </w:pPr>
            <w:r w:rsidRPr="002474ED">
              <w:rPr>
                <w:rFonts w:ascii="Verdana" w:hAnsi="Verdana" w:cs="Calibri"/>
                <w:i/>
                <w:iCs/>
                <w:color w:val="000000"/>
                <w:sz w:val="16"/>
                <w:szCs w:val="16"/>
                <w:lang w:val="en-GB" w:eastAsia="nl-BE"/>
              </w:rPr>
              <w:t>28,90%</w:t>
            </w:r>
          </w:p>
        </w:tc>
        <w:tc>
          <w:tcPr>
            <w:tcW w:w="687" w:type="pct"/>
            <w:tcBorders>
              <w:top w:val="nil"/>
              <w:left w:val="nil"/>
              <w:bottom w:val="single" w:sz="8" w:space="0" w:color="000000"/>
              <w:right w:val="nil"/>
            </w:tcBorders>
            <w:shd w:val="clear" w:color="000000" w:fill="FDE9D9"/>
            <w:vAlign w:val="center"/>
            <w:hideMark/>
          </w:tcPr>
          <w:p w:rsidR="002474ED" w:rsidRPr="007A72E0" w:rsidRDefault="002474ED" w:rsidP="00E75531">
            <w:pPr>
              <w:jc w:val="both"/>
              <w:rPr>
                <w:rFonts w:ascii="Verdana" w:hAnsi="Verdana" w:cs="Calibri"/>
                <w:color w:val="FF0000"/>
                <w:sz w:val="16"/>
                <w:szCs w:val="16"/>
                <w:lang w:val="nl-BE" w:eastAsia="nl-BE"/>
              </w:rPr>
            </w:pPr>
            <w:r w:rsidRPr="007A72E0">
              <w:rPr>
                <w:rFonts w:ascii="Verdana" w:hAnsi="Verdana" w:cs="Calibri"/>
                <w:color w:val="FF0000"/>
                <w:sz w:val="16"/>
                <w:szCs w:val="16"/>
                <w:lang w:val="en-GB" w:eastAsia="nl-BE"/>
              </w:rPr>
              <w:t>1.194.669</w:t>
            </w:r>
          </w:p>
        </w:tc>
        <w:tc>
          <w:tcPr>
            <w:tcW w:w="536" w:type="pct"/>
            <w:tcBorders>
              <w:top w:val="nil"/>
              <w:left w:val="nil"/>
              <w:bottom w:val="single" w:sz="8" w:space="0" w:color="000000"/>
              <w:right w:val="single" w:sz="12" w:space="0" w:color="auto"/>
            </w:tcBorders>
            <w:shd w:val="clear" w:color="000000" w:fill="FFFFFF"/>
            <w:vAlign w:val="center"/>
            <w:hideMark/>
          </w:tcPr>
          <w:p w:rsidR="002474ED" w:rsidRPr="002474ED" w:rsidRDefault="002474ED" w:rsidP="00E75531">
            <w:pPr>
              <w:jc w:val="both"/>
              <w:rPr>
                <w:rFonts w:ascii="Verdana" w:hAnsi="Verdana" w:cs="Calibri"/>
                <w:i/>
                <w:iCs/>
                <w:color w:val="000000"/>
                <w:sz w:val="16"/>
                <w:szCs w:val="16"/>
                <w:lang w:val="nl-BE" w:eastAsia="nl-BE"/>
              </w:rPr>
            </w:pPr>
            <w:r w:rsidRPr="002474ED">
              <w:rPr>
                <w:rFonts w:ascii="Verdana" w:hAnsi="Verdana" w:cs="Calibri"/>
                <w:i/>
                <w:iCs/>
                <w:color w:val="000000"/>
                <w:sz w:val="16"/>
                <w:szCs w:val="16"/>
                <w:lang w:val="en-GB" w:eastAsia="nl-BE"/>
              </w:rPr>
              <w:t>12,50%</w:t>
            </w:r>
          </w:p>
        </w:tc>
      </w:tr>
      <w:tr w:rsidR="002474ED" w:rsidRPr="002474ED" w:rsidTr="00455D81">
        <w:trPr>
          <w:trHeight w:val="300"/>
        </w:trPr>
        <w:tc>
          <w:tcPr>
            <w:tcW w:w="627" w:type="pct"/>
            <w:vMerge w:val="restart"/>
            <w:tcBorders>
              <w:top w:val="nil"/>
              <w:left w:val="single" w:sz="12" w:space="0" w:color="008080"/>
              <w:bottom w:val="single" w:sz="8" w:space="0" w:color="000000"/>
              <w:right w:val="nil"/>
            </w:tcBorders>
            <w:shd w:val="clear" w:color="auto" w:fill="auto"/>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 xml:space="preserve">Capital-E ARKIV </w:t>
            </w:r>
          </w:p>
        </w:tc>
        <w:tc>
          <w:tcPr>
            <w:tcW w:w="547" w:type="pct"/>
            <w:vMerge w:val="restar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1.000</w:t>
            </w:r>
          </w:p>
        </w:tc>
        <w:tc>
          <w:tcPr>
            <w:tcW w:w="468" w:type="pct"/>
            <w:vMerge w:val="restar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1.000</w:t>
            </w:r>
          </w:p>
        </w:tc>
        <w:tc>
          <w:tcPr>
            <w:tcW w:w="532" w:type="pct"/>
            <w:vMerge w:val="restar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750</w:t>
            </w:r>
          </w:p>
        </w:tc>
        <w:tc>
          <w:tcPr>
            <w:tcW w:w="493" w:type="pct"/>
            <w:vMerge w:val="restar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i/>
                <w:iCs/>
                <w:color w:val="000000"/>
                <w:sz w:val="16"/>
                <w:szCs w:val="16"/>
                <w:lang w:val="nl-BE" w:eastAsia="nl-BE"/>
              </w:rPr>
            </w:pPr>
            <w:r w:rsidRPr="002474ED">
              <w:rPr>
                <w:rFonts w:ascii="Verdana" w:hAnsi="Verdana" w:cs="Calibri"/>
                <w:i/>
                <w:iCs/>
                <w:color w:val="000000"/>
                <w:sz w:val="16"/>
                <w:szCs w:val="16"/>
                <w:lang w:val="en-GB" w:eastAsia="nl-BE"/>
              </w:rPr>
              <w:t>75,00%</w:t>
            </w:r>
          </w:p>
        </w:tc>
        <w:tc>
          <w:tcPr>
            <w:tcW w:w="622" w:type="pct"/>
            <w:vMerge w:val="restar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w:t>
            </w:r>
          </w:p>
        </w:tc>
        <w:tc>
          <w:tcPr>
            <w:tcW w:w="487" w:type="pct"/>
            <w:vMerge w:val="restar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i/>
                <w:iCs/>
                <w:color w:val="000000"/>
                <w:sz w:val="16"/>
                <w:szCs w:val="16"/>
                <w:lang w:val="nl-BE" w:eastAsia="nl-BE"/>
              </w:rPr>
            </w:pPr>
            <w:r w:rsidRPr="002474ED">
              <w:rPr>
                <w:rFonts w:ascii="Verdana" w:hAnsi="Verdana" w:cs="Calibri"/>
                <w:i/>
                <w:iCs/>
                <w:color w:val="000000"/>
                <w:sz w:val="16"/>
                <w:szCs w:val="16"/>
                <w:lang w:val="en-GB" w:eastAsia="nl-BE"/>
              </w:rPr>
              <w:t>-</w:t>
            </w:r>
          </w:p>
        </w:tc>
        <w:tc>
          <w:tcPr>
            <w:tcW w:w="687" w:type="pct"/>
            <w:vMerge w:val="restart"/>
            <w:tcBorders>
              <w:top w:val="nil"/>
              <w:left w:val="nil"/>
              <w:bottom w:val="single" w:sz="8" w:space="0" w:color="000000"/>
              <w:right w:val="nil"/>
            </w:tcBorders>
            <w:shd w:val="clear" w:color="000000" w:fill="FDE9D9"/>
            <w:vAlign w:val="center"/>
            <w:hideMark/>
          </w:tcPr>
          <w:p w:rsidR="002474ED" w:rsidRPr="007A72E0" w:rsidRDefault="002474ED" w:rsidP="00E75531">
            <w:pPr>
              <w:jc w:val="both"/>
              <w:rPr>
                <w:rFonts w:ascii="Verdana" w:hAnsi="Verdana" w:cs="Calibri"/>
                <w:color w:val="FF0000"/>
                <w:sz w:val="16"/>
                <w:szCs w:val="16"/>
                <w:lang w:val="nl-BE" w:eastAsia="nl-BE"/>
              </w:rPr>
            </w:pPr>
            <w:r w:rsidRPr="007A72E0">
              <w:rPr>
                <w:rFonts w:ascii="Verdana" w:hAnsi="Verdana" w:cs="Calibri"/>
                <w:color w:val="FF0000"/>
                <w:sz w:val="16"/>
                <w:szCs w:val="16"/>
                <w:lang w:val="en-GB" w:eastAsia="nl-BE"/>
              </w:rPr>
              <w:t>-</w:t>
            </w:r>
          </w:p>
        </w:tc>
        <w:tc>
          <w:tcPr>
            <w:tcW w:w="536" w:type="pct"/>
            <w:vMerge w:val="restart"/>
            <w:tcBorders>
              <w:top w:val="nil"/>
              <w:left w:val="nil"/>
              <w:bottom w:val="single" w:sz="8" w:space="0" w:color="000000"/>
              <w:right w:val="single" w:sz="12" w:space="0" w:color="auto"/>
            </w:tcBorders>
            <w:shd w:val="clear" w:color="000000" w:fill="FFFFFF"/>
            <w:vAlign w:val="center"/>
            <w:hideMark/>
          </w:tcPr>
          <w:p w:rsidR="002474ED" w:rsidRPr="002474ED" w:rsidRDefault="002474ED" w:rsidP="00E75531">
            <w:pPr>
              <w:jc w:val="both"/>
              <w:rPr>
                <w:rFonts w:ascii="Verdana" w:hAnsi="Verdana" w:cs="Calibri"/>
                <w:i/>
                <w:iCs/>
                <w:color w:val="000000"/>
                <w:sz w:val="16"/>
                <w:szCs w:val="16"/>
                <w:lang w:val="nl-BE" w:eastAsia="nl-BE"/>
              </w:rPr>
            </w:pPr>
            <w:r w:rsidRPr="002474ED">
              <w:rPr>
                <w:rFonts w:ascii="Verdana" w:hAnsi="Verdana" w:cs="Calibri"/>
                <w:i/>
                <w:iCs/>
                <w:color w:val="000000"/>
                <w:sz w:val="16"/>
                <w:szCs w:val="16"/>
                <w:lang w:val="en-GB" w:eastAsia="nl-BE"/>
              </w:rPr>
              <w:t>-</w:t>
            </w:r>
          </w:p>
        </w:tc>
      </w:tr>
      <w:tr w:rsidR="002474ED" w:rsidRPr="002474ED" w:rsidTr="00455D81">
        <w:trPr>
          <w:trHeight w:val="315"/>
        </w:trPr>
        <w:tc>
          <w:tcPr>
            <w:tcW w:w="627" w:type="pct"/>
            <w:vMerge/>
            <w:tcBorders>
              <w:top w:val="nil"/>
              <w:left w:val="single" w:sz="12" w:space="0" w:color="008080"/>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547"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468"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532"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493"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i/>
                <w:iCs/>
                <w:color w:val="000000"/>
                <w:sz w:val="16"/>
                <w:szCs w:val="16"/>
                <w:lang w:val="nl-BE" w:eastAsia="nl-BE"/>
              </w:rPr>
            </w:pPr>
          </w:p>
        </w:tc>
        <w:tc>
          <w:tcPr>
            <w:tcW w:w="622"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487"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i/>
                <w:iCs/>
                <w:color w:val="000000"/>
                <w:sz w:val="16"/>
                <w:szCs w:val="16"/>
                <w:lang w:val="nl-BE" w:eastAsia="nl-BE"/>
              </w:rPr>
            </w:pPr>
          </w:p>
        </w:tc>
        <w:tc>
          <w:tcPr>
            <w:tcW w:w="687" w:type="pct"/>
            <w:vMerge/>
            <w:tcBorders>
              <w:top w:val="nil"/>
              <w:left w:val="nil"/>
              <w:bottom w:val="single" w:sz="8" w:space="0" w:color="000000"/>
              <w:right w:val="nil"/>
            </w:tcBorders>
            <w:vAlign w:val="center"/>
            <w:hideMark/>
          </w:tcPr>
          <w:p w:rsidR="002474ED" w:rsidRPr="007A72E0" w:rsidRDefault="002474ED" w:rsidP="00E75531">
            <w:pPr>
              <w:jc w:val="both"/>
              <w:rPr>
                <w:rFonts w:ascii="Verdana" w:hAnsi="Verdana" w:cs="Calibri"/>
                <w:color w:val="FF0000"/>
                <w:sz w:val="16"/>
                <w:szCs w:val="16"/>
                <w:lang w:val="nl-BE" w:eastAsia="nl-BE"/>
              </w:rPr>
            </w:pPr>
          </w:p>
        </w:tc>
        <w:tc>
          <w:tcPr>
            <w:tcW w:w="536" w:type="pct"/>
            <w:vMerge/>
            <w:tcBorders>
              <w:top w:val="nil"/>
              <w:left w:val="nil"/>
              <w:bottom w:val="single" w:sz="8" w:space="0" w:color="000000"/>
              <w:right w:val="single" w:sz="12" w:space="0" w:color="auto"/>
            </w:tcBorders>
            <w:vAlign w:val="center"/>
            <w:hideMark/>
          </w:tcPr>
          <w:p w:rsidR="002474ED" w:rsidRPr="002474ED" w:rsidRDefault="002474ED" w:rsidP="00E75531">
            <w:pPr>
              <w:jc w:val="both"/>
              <w:rPr>
                <w:rFonts w:ascii="Verdana" w:hAnsi="Verdana" w:cs="Calibri"/>
                <w:i/>
                <w:iCs/>
                <w:color w:val="000000"/>
                <w:sz w:val="16"/>
                <w:szCs w:val="16"/>
                <w:lang w:val="nl-BE" w:eastAsia="nl-BE"/>
              </w:rPr>
            </w:pPr>
          </w:p>
        </w:tc>
      </w:tr>
      <w:tr w:rsidR="002474ED" w:rsidRPr="002474ED" w:rsidTr="00455D81">
        <w:trPr>
          <w:trHeight w:val="300"/>
        </w:trPr>
        <w:tc>
          <w:tcPr>
            <w:tcW w:w="627" w:type="pct"/>
            <w:vMerge w:val="restart"/>
            <w:tcBorders>
              <w:top w:val="nil"/>
              <w:left w:val="single" w:sz="12" w:space="0" w:color="008080"/>
              <w:bottom w:val="single" w:sz="8" w:space="0" w:color="000000"/>
              <w:right w:val="nil"/>
            </w:tcBorders>
            <w:shd w:val="clear" w:color="auto" w:fill="auto"/>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 xml:space="preserve">Capital-E </w:t>
            </w:r>
          </w:p>
        </w:tc>
        <w:tc>
          <w:tcPr>
            <w:tcW w:w="547" w:type="pct"/>
            <w:vMerge w:val="restar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14.999.000</w:t>
            </w:r>
          </w:p>
        </w:tc>
        <w:tc>
          <w:tcPr>
            <w:tcW w:w="468" w:type="pct"/>
            <w:vMerge w:val="restar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14.999.000</w:t>
            </w:r>
          </w:p>
        </w:tc>
        <w:tc>
          <w:tcPr>
            <w:tcW w:w="532" w:type="pct"/>
            <w:vMerge w:val="restar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11.249.250</w:t>
            </w:r>
          </w:p>
        </w:tc>
        <w:tc>
          <w:tcPr>
            <w:tcW w:w="493" w:type="pct"/>
            <w:vMerge w:val="restar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i/>
                <w:iCs/>
                <w:color w:val="000000"/>
                <w:sz w:val="16"/>
                <w:szCs w:val="16"/>
                <w:lang w:val="nl-BE" w:eastAsia="nl-BE"/>
              </w:rPr>
            </w:pPr>
            <w:r w:rsidRPr="002474ED">
              <w:rPr>
                <w:rFonts w:ascii="Verdana" w:hAnsi="Verdana" w:cs="Calibri"/>
                <w:i/>
                <w:iCs/>
                <w:color w:val="000000"/>
                <w:sz w:val="16"/>
                <w:szCs w:val="16"/>
                <w:lang w:val="en-GB" w:eastAsia="nl-BE"/>
              </w:rPr>
              <w:t>75,00%</w:t>
            </w:r>
          </w:p>
        </w:tc>
        <w:tc>
          <w:tcPr>
            <w:tcW w:w="622" w:type="pct"/>
            <w:vMerge w:val="restar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486.855</w:t>
            </w:r>
          </w:p>
        </w:tc>
        <w:tc>
          <w:tcPr>
            <w:tcW w:w="487" w:type="pct"/>
            <w:vMerge w:val="restar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i/>
                <w:iCs/>
                <w:color w:val="000000"/>
                <w:sz w:val="16"/>
                <w:szCs w:val="16"/>
                <w:lang w:val="nl-BE" w:eastAsia="nl-BE"/>
              </w:rPr>
            </w:pPr>
            <w:r w:rsidRPr="002474ED">
              <w:rPr>
                <w:rFonts w:ascii="Verdana" w:hAnsi="Verdana" w:cs="Calibri"/>
                <w:i/>
                <w:iCs/>
                <w:color w:val="000000"/>
                <w:sz w:val="16"/>
                <w:szCs w:val="16"/>
                <w:lang w:val="en-GB" w:eastAsia="nl-BE"/>
              </w:rPr>
              <w:t>3,20%</w:t>
            </w:r>
          </w:p>
        </w:tc>
        <w:tc>
          <w:tcPr>
            <w:tcW w:w="687" w:type="pct"/>
            <w:vMerge w:val="restart"/>
            <w:tcBorders>
              <w:top w:val="nil"/>
              <w:left w:val="nil"/>
              <w:bottom w:val="single" w:sz="8" w:space="0" w:color="000000"/>
              <w:right w:val="nil"/>
            </w:tcBorders>
            <w:shd w:val="clear" w:color="000000" w:fill="FDE9D9"/>
            <w:vAlign w:val="center"/>
            <w:hideMark/>
          </w:tcPr>
          <w:p w:rsidR="002474ED" w:rsidRPr="007A72E0" w:rsidRDefault="002474ED" w:rsidP="00E75531">
            <w:pPr>
              <w:jc w:val="both"/>
              <w:rPr>
                <w:rFonts w:ascii="Verdana" w:hAnsi="Verdana" w:cs="Calibri"/>
                <w:color w:val="FF0000"/>
                <w:sz w:val="16"/>
                <w:szCs w:val="16"/>
                <w:lang w:val="nl-BE" w:eastAsia="nl-BE"/>
              </w:rPr>
            </w:pPr>
            <w:r w:rsidRPr="007A72E0">
              <w:rPr>
                <w:rFonts w:ascii="Verdana" w:hAnsi="Verdana" w:cs="Calibri"/>
                <w:color w:val="FF0000"/>
                <w:sz w:val="16"/>
                <w:szCs w:val="16"/>
                <w:lang w:val="en-GB" w:eastAsia="nl-BE"/>
              </w:rPr>
              <w:t>1.116.768</w:t>
            </w:r>
          </w:p>
        </w:tc>
        <w:tc>
          <w:tcPr>
            <w:tcW w:w="536" w:type="pct"/>
            <w:vMerge w:val="restart"/>
            <w:tcBorders>
              <w:top w:val="nil"/>
              <w:left w:val="nil"/>
              <w:bottom w:val="single" w:sz="8" w:space="0" w:color="000000"/>
              <w:right w:val="single" w:sz="12" w:space="0" w:color="auto"/>
            </w:tcBorders>
            <w:shd w:val="clear" w:color="000000" w:fill="FFFFFF"/>
            <w:vAlign w:val="center"/>
            <w:hideMark/>
          </w:tcPr>
          <w:p w:rsidR="002474ED" w:rsidRPr="002474ED" w:rsidRDefault="002474ED" w:rsidP="00E75531">
            <w:pPr>
              <w:jc w:val="both"/>
              <w:rPr>
                <w:rFonts w:ascii="Verdana" w:hAnsi="Verdana" w:cs="Calibri"/>
                <w:i/>
                <w:iCs/>
                <w:color w:val="000000"/>
                <w:sz w:val="16"/>
                <w:szCs w:val="16"/>
                <w:lang w:val="nl-BE" w:eastAsia="nl-BE"/>
              </w:rPr>
            </w:pPr>
            <w:r w:rsidRPr="002474ED">
              <w:rPr>
                <w:rFonts w:ascii="Verdana" w:hAnsi="Verdana" w:cs="Calibri"/>
                <w:i/>
                <w:iCs/>
                <w:color w:val="000000"/>
                <w:sz w:val="16"/>
                <w:szCs w:val="16"/>
                <w:lang w:val="en-GB" w:eastAsia="nl-BE"/>
              </w:rPr>
              <w:t>9,90%</w:t>
            </w:r>
          </w:p>
        </w:tc>
      </w:tr>
      <w:tr w:rsidR="002474ED" w:rsidRPr="002474ED" w:rsidTr="00455D81">
        <w:trPr>
          <w:trHeight w:val="315"/>
        </w:trPr>
        <w:tc>
          <w:tcPr>
            <w:tcW w:w="627" w:type="pct"/>
            <w:vMerge/>
            <w:tcBorders>
              <w:top w:val="nil"/>
              <w:left w:val="single" w:sz="12" w:space="0" w:color="008080"/>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547"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468"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532"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493"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i/>
                <w:iCs/>
                <w:color w:val="000000"/>
                <w:sz w:val="16"/>
                <w:szCs w:val="16"/>
                <w:lang w:val="nl-BE" w:eastAsia="nl-BE"/>
              </w:rPr>
            </w:pPr>
          </w:p>
        </w:tc>
        <w:tc>
          <w:tcPr>
            <w:tcW w:w="622"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487"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i/>
                <w:iCs/>
                <w:color w:val="000000"/>
                <w:sz w:val="16"/>
                <w:szCs w:val="16"/>
                <w:lang w:val="nl-BE" w:eastAsia="nl-BE"/>
              </w:rPr>
            </w:pPr>
          </w:p>
        </w:tc>
        <w:tc>
          <w:tcPr>
            <w:tcW w:w="687" w:type="pct"/>
            <w:vMerge/>
            <w:tcBorders>
              <w:top w:val="nil"/>
              <w:left w:val="nil"/>
              <w:bottom w:val="single" w:sz="8" w:space="0" w:color="000000"/>
              <w:right w:val="nil"/>
            </w:tcBorders>
            <w:vAlign w:val="center"/>
            <w:hideMark/>
          </w:tcPr>
          <w:p w:rsidR="002474ED" w:rsidRPr="007A72E0" w:rsidRDefault="002474ED" w:rsidP="00E75531">
            <w:pPr>
              <w:jc w:val="both"/>
              <w:rPr>
                <w:rFonts w:ascii="Verdana" w:hAnsi="Verdana" w:cs="Calibri"/>
                <w:color w:val="FF0000"/>
                <w:sz w:val="16"/>
                <w:szCs w:val="16"/>
                <w:lang w:val="nl-BE" w:eastAsia="nl-BE"/>
              </w:rPr>
            </w:pPr>
          </w:p>
        </w:tc>
        <w:tc>
          <w:tcPr>
            <w:tcW w:w="536" w:type="pct"/>
            <w:vMerge/>
            <w:tcBorders>
              <w:top w:val="nil"/>
              <w:left w:val="nil"/>
              <w:bottom w:val="single" w:sz="8" w:space="0" w:color="000000"/>
              <w:right w:val="single" w:sz="12" w:space="0" w:color="auto"/>
            </w:tcBorders>
            <w:vAlign w:val="center"/>
            <w:hideMark/>
          </w:tcPr>
          <w:p w:rsidR="002474ED" w:rsidRPr="002474ED" w:rsidRDefault="002474ED" w:rsidP="00E75531">
            <w:pPr>
              <w:jc w:val="both"/>
              <w:rPr>
                <w:rFonts w:ascii="Verdana" w:hAnsi="Verdana" w:cs="Calibri"/>
                <w:i/>
                <w:iCs/>
                <w:color w:val="000000"/>
                <w:sz w:val="16"/>
                <w:szCs w:val="16"/>
                <w:lang w:val="nl-BE" w:eastAsia="nl-BE"/>
              </w:rPr>
            </w:pPr>
          </w:p>
        </w:tc>
      </w:tr>
      <w:tr w:rsidR="002474ED" w:rsidRPr="002474ED" w:rsidTr="00455D81">
        <w:trPr>
          <w:trHeight w:val="645"/>
        </w:trPr>
        <w:tc>
          <w:tcPr>
            <w:tcW w:w="627" w:type="pct"/>
            <w:tcBorders>
              <w:top w:val="nil"/>
              <w:left w:val="single" w:sz="12" w:space="0" w:color="008080"/>
              <w:bottom w:val="single" w:sz="8" w:space="0" w:color="000000"/>
              <w:right w:val="nil"/>
            </w:tcBorders>
            <w:shd w:val="clear" w:color="auto" w:fill="auto"/>
            <w:vAlign w:val="center"/>
            <w:hideMark/>
          </w:tcPr>
          <w:p w:rsidR="002474ED" w:rsidRPr="002474ED" w:rsidRDefault="002474ED" w:rsidP="00E75531">
            <w:pPr>
              <w:jc w:val="both"/>
              <w:rPr>
                <w:rFonts w:ascii="Verdana" w:hAnsi="Verdana" w:cs="Calibri"/>
                <w:color w:val="000000"/>
                <w:sz w:val="16"/>
                <w:szCs w:val="16"/>
                <w:lang w:val="en-US" w:eastAsia="nl-BE"/>
              </w:rPr>
            </w:pPr>
            <w:r w:rsidRPr="002474ED">
              <w:rPr>
                <w:rFonts w:ascii="Verdana" w:hAnsi="Verdana" w:cs="Calibri"/>
                <w:color w:val="000000"/>
                <w:sz w:val="16"/>
                <w:szCs w:val="16"/>
                <w:lang w:val="da-DK" w:eastAsia="nl-BE"/>
              </w:rPr>
              <w:t xml:space="preserve">Fortis Private Equity Arkimedes </w:t>
            </w:r>
          </w:p>
        </w:tc>
        <w:tc>
          <w:tcPr>
            <w:tcW w:w="547" w:type="pct"/>
            <w:tcBorders>
              <w:top w:val="nil"/>
              <w:left w:val="nil"/>
              <w:bottom w:val="single" w:sz="8" w:space="0" w:color="000000"/>
              <w:right w:val="nil"/>
            </w:tcBorders>
            <w:shd w:val="clear" w:color="auto" w:fill="auto"/>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eastAsia="nl-BE"/>
              </w:rPr>
              <w:t>4.990.000</w:t>
            </w:r>
          </w:p>
        </w:tc>
        <w:tc>
          <w:tcPr>
            <w:tcW w:w="468" w:type="pct"/>
            <w:tcBorders>
              <w:top w:val="nil"/>
              <w:left w:val="nil"/>
              <w:bottom w:val="single" w:sz="8" w:space="0" w:color="000000"/>
              <w:right w:val="nil"/>
            </w:tcBorders>
            <w:shd w:val="clear" w:color="auto" w:fill="auto"/>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eastAsia="nl-BE"/>
              </w:rPr>
              <w:t>3.742.500</w:t>
            </w:r>
          </w:p>
        </w:tc>
        <w:tc>
          <w:tcPr>
            <w:tcW w:w="532" w:type="pct"/>
            <w:tcBorders>
              <w:top w:val="nil"/>
              <w:left w:val="nil"/>
              <w:bottom w:val="single" w:sz="8" w:space="0" w:color="000000"/>
              <w:right w:val="nil"/>
            </w:tcBorders>
            <w:shd w:val="clear" w:color="auto" w:fill="auto"/>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2.794.400</w:t>
            </w:r>
          </w:p>
        </w:tc>
        <w:tc>
          <w:tcPr>
            <w:tcW w:w="493" w:type="pct"/>
            <w:tcBorders>
              <w:top w:val="nil"/>
              <w:left w:val="nil"/>
              <w:bottom w:val="single" w:sz="8" w:space="0" w:color="000000"/>
              <w:right w:val="nil"/>
            </w:tcBorders>
            <w:shd w:val="clear" w:color="auto" w:fill="auto"/>
            <w:vAlign w:val="center"/>
            <w:hideMark/>
          </w:tcPr>
          <w:p w:rsidR="002474ED" w:rsidRPr="002474ED" w:rsidRDefault="002474ED" w:rsidP="00E75531">
            <w:pPr>
              <w:jc w:val="both"/>
              <w:rPr>
                <w:rFonts w:ascii="Verdana" w:hAnsi="Verdana" w:cs="Calibri"/>
                <w:i/>
                <w:iCs/>
                <w:color w:val="000000"/>
                <w:sz w:val="16"/>
                <w:szCs w:val="16"/>
                <w:lang w:val="nl-BE" w:eastAsia="nl-BE"/>
              </w:rPr>
            </w:pPr>
            <w:r w:rsidRPr="002474ED">
              <w:rPr>
                <w:rFonts w:ascii="Verdana" w:hAnsi="Verdana" w:cs="Calibri"/>
                <w:i/>
                <w:iCs/>
                <w:color w:val="000000"/>
                <w:sz w:val="16"/>
                <w:szCs w:val="16"/>
                <w:lang w:eastAsia="nl-BE"/>
              </w:rPr>
              <w:t>56,00%</w:t>
            </w:r>
          </w:p>
        </w:tc>
        <w:tc>
          <w:tcPr>
            <w:tcW w:w="622" w:type="pct"/>
            <w:tcBorders>
              <w:top w:val="nil"/>
              <w:left w:val="nil"/>
              <w:bottom w:val="single" w:sz="8" w:space="0" w:color="000000"/>
              <w:right w:val="nil"/>
            </w:tcBorders>
            <w:shd w:val="clear" w:color="auto" w:fill="auto"/>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eastAsia="nl-BE"/>
              </w:rPr>
              <w:t>-</w:t>
            </w:r>
          </w:p>
        </w:tc>
        <w:tc>
          <w:tcPr>
            <w:tcW w:w="487" w:type="pct"/>
            <w:tcBorders>
              <w:top w:val="nil"/>
              <w:left w:val="nil"/>
              <w:bottom w:val="single" w:sz="8" w:space="0" w:color="000000"/>
              <w:right w:val="nil"/>
            </w:tcBorders>
            <w:shd w:val="clear" w:color="auto" w:fill="auto"/>
            <w:vAlign w:val="center"/>
            <w:hideMark/>
          </w:tcPr>
          <w:p w:rsidR="002474ED" w:rsidRPr="002474ED" w:rsidRDefault="002474ED" w:rsidP="00E75531">
            <w:pPr>
              <w:jc w:val="both"/>
              <w:rPr>
                <w:rFonts w:ascii="Verdana" w:hAnsi="Verdana" w:cs="Calibri"/>
                <w:i/>
                <w:iCs/>
                <w:color w:val="000000"/>
                <w:sz w:val="16"/>
                <w:szCs w:val="16"/>
                <w:lang w:val="nl-BE" w:eastAsia="nl-BE"/>
              </w:rPr>
            </w:pPr>
            <w:r w:rsidRPr="002474ED">
              <w:rPr>
                <w:rFonts w:ascii="Verdana" w:hAnsi="Verdana" w:cs="Calibri"/>
                <w:i/>
                <w:iCs/>
                <w:color w:val="000000"/>
                <w:sz w:val="16"/>
                <w:szCs w:val="16"/>
                <w:lang w:val="en-GB" w:eastAsia="nl-BE"/>
              </w:rPr>
              <w:t>-</w:t>
            </w:r>
          </w:p>
        </w:tc>
        <w:tc>
          <w:tcPr>
            <w:tcW w:w="687" w:type="pct"/>
            <w:tcBorders>
              <w:top w:val="nil"/>
              <w:left w:val="nil"/>
              <w:bottom w:val="single" w:sz="8" w:space="0" w:color="000000"/>
              <w:right w:val="nil"/>
            </w:tcBorders>
            <w:shd w:val="clear" w:color="000000" w:fill="FDE9D9"/>
            <w:vAlign w:val="center"/>
            <w:hideMark/>
          </w:tcPr>
          <w:p w:rsidR="002474ED" w:rsidRPr="007A72E0" w:rsidRDefault="002474ED" w:rsidP="00E75531">
            <w:pPr>
              <w:jc w:val="both"/>
              <w:rPr>
                <w:rFonts w:ascii="Verdana" w:hAnsi="Verdana" w:cs="Calibri"/>
                <w:color w:val="FF0000"/>
                <w:sz w:val="16"/>
                <w:szCs w:val="16"/>
                <w:lang w:val="nl-BE" w:eastAsia="nl-BE"/>
              </w:rPr>
            </w:pPr>
            <w:r w:rsidRPr="007A72E0">
              <w:rPr>
                <w:rFonts w:ascii="Verdana" w:hAnsi="Verdana" w:cs="Calibri"/>
                <w:color w:val="FF0000"/>
                <w:sz w:val="16"/>
                <w:szCs w:val="16"/>
                <w:lang w:val="en-GB" w:eastAsia="nl-BE"/>
              </w:rPr>
              <w:t>747.253</w:t>
            </w:r>
          </w:p>
        </w:tc>
        <w:tc>
          <w:tcPr>
            <w:tcW w:w="536" w:type="pct"/>
            <w:tcBorders>
              <w:top w:val="nil"/>
              <w:left w:val="nil"/>
              <w:bottom w:val="single" w:sz="8" w:space="0" w:color="000000"/>
              <w:right w:val="single" w:sz="12" w:space="0" w:color="auto"/>
            </w:tcBorders>
            <w:shd w:val="clear" w:color="auto" w:fill="auto"/>
            <w:vAlign w:val="center"/>
            <w:hideMark/>
          </w:tcPr>
          <w:p w:rsidR="002474ED" w:rsidRPr="002474ED" w:rsidRDefault="002474ED" w:rsidP="00E75531">
            <w:pPr>
              <w:jc w:val="both"/>
              <w:rPr>
                <w:rFonts w:ascii="Verdana" w:hAnsi="Verdana" w:cs="Calibri"/>
                <w:i/>
                <w:iCs/>
                <w:color w:val="000000"/>
                <w:sz w:val="16"/>
                <w:szCs w:val="16"/>
                <w:lang w:val="nl-BE" w:eastAsia="nl-BE"/>
              </w:rPr>
            </w:pPr>
            <w:r w:rsidRPr="002474ED">
              <w:rPr>
                <w:rFonts w:ascii="Verdana" w:hAnsi="Verdana" w:cs="Calibri"/>
                <w:i/>
                <w:iCs/>
                <w:color w:val="000000"/>
                <w:sz w:val="16"/>
                <w:szCs w:val="16"/>
                <w:lang w:eastAsia="nl-BE"/>
              </w:rPr>
              <w:t>26,70%</w:t>
            </w:r>
          </w:p>
        </w:tc>
      </w:tr>
      <w:tr w:rsidR="002474ED" w:rsidRPr="002474ED" w:rsidTr="00455D81">
        <w:trPr>
          <w:trHeight w:val="645"/>
        </w:trPr>
        <w:tc>
          <w:tcPr>
            <w:tcW w:w="627" w:type="pct"/>
            <w:tcBorders>
              <w:top w:val="nil"/>
              <w:left w:val="single" w:sz="12" w:space="0" w:color="008080"/>
              <w:bottom w:val="single" w:sz="8" w:space="0" w:color="000000"/>
              <w:right w:val="nil"/>
            </w:tcBorders>
            <w:shd w:val="clear" w:color="auto" w:fill="auto"/>
            <w:vAlign w:val="center"/>
            <w:hideMark/>
          </w:tcPr>
          <w:p w:rsidR="002474ED" w:rsidRPr="002474ED" w:rsidRDefault="002474ED" w:rsidP="00E75531">
            <w:pPr>
              <w:jc w:val="both"/>
              <w:rPr>
                <w:rFonts w:ascii="Verdana" w:hAnsi="Verdana" w:cs="Calibri"/>
                <w:color w:val="000000"/>
                <w:sz w:val="16"/>
                <w:szCs w:val="16"/>
                <w:lang w:val="en-US" w:eastAsia="nl-BE"/>
              </w:rPr>
            </w:pPr>
            <w:r w:rsidRPr="002474ED">
              <w:rPr>
                <w:rFonts w:ascii="Verdana" w:hAnsi="Verdana" w:cs="Calibri"/>
                <w:color w:val="000000"/>
                <w:sz w:val="16"/>
                <w:szCs w:val="16"/>
                <w:lang w:val="en-GB" w:eastAsia="nl-BE"/>
              </w:rPr>
              <w:t xml:space="preserve">Gimv Arkiv Technology Fund </w:t>
            </w:r>
          </w:p>
        </w:tc>
        <w:tc>
          <w:tcPr>
            <w:tcW w:w="547" w:type="pc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15.000.000</w:t>
            </w:r>
          </w:p>
        </w:tc>
        <w:tc>
          <w:tcPr>
            <w:tcW w:w="468" w:type="pc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15.000.000</w:t>
            </w:r>
          </w:p>
        </w:tc>
        <w:tc>
          <w:tcPr>
            <w:tcW w:w="532" w:type="pc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12.150.000</w:t>
            </w:r>
          </w:p>
        </w:tc>
        <w:tc>
          <w:tcPr>
            <w:tcW w:w="493" w:type="pc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i/>
                <w:iCs/>
                <w:color w:val="000000"/>
                <w:sz w:val="16"/>
                <w:szCs w:val="16"/>
                <w:lang w:val="nl-BE" w:eastAsia="nl-BE"/>
              </w:rPr>
            </w:pPr>
            <w:r w:rsidRPr="002474ED">
              <w:rPr>
                <w:rFonts w:ascii="Verdana" w:hAnsi="Verdana" w:cs="Calibri"/>
                <w:i/>
                <w:iCs/>
                <w:color w:val="000000"/>
                <w:sz w:val="16"/>
                <w:szCs w:val="16"/>
                <w:lang w:val="en-GB" w:eastAsia="nl-BE"/>
              </w:rPr>
              <w:t>81,00%</w:t>
            </w:r>
          </w:p>
        </w:tc>
        <w:tc>
          <w:tcPr>
            <w:tcW w:w="622" w:type="pc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1.125.000</w:t>
            </w:r>
          </w:p>
        </w:tc>
        <w:tc>
          <w:tcPr>
            <w:tcW w:w="487" w:type="pc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i/>
                <w:iCs/>
                <w:color w:val="000000"/>
                <w:sz w:val="16"/>
                <w:szCs w:val="16"/>
                <w:lang w:val="nl-BE" w:eastAsia="nl-BE"/>
              </w:rPr>
            </w:pPr>
            <w:r w:rsidRPr="002474ED">
              <w:rPr>
                <w:rFonts w:ascii="Verdana" w:hAnsi="Verdana" w:cs="Calibri"/>
                <w:i/>
                <w:iCs/>
                <w:color w:val="000000"/>
                <w:sz w:val="16"/>
                <w:szCs w:val="16"/>
                <w:lang w:val="en-GB" w:eastAsia="nl-BE"/>
              </w:rPr>
              <w:t>7,50%</w:t>
            </w:r>
          </w:p>
        </w:tc>
        <w:tc>
          <w:tcPr>
            <w:tcW w:w="687" w:type="pct"/>
            <w:tcBorders>
              <w:top w:val="nil"/>
              <w:left w:val="nil"/>
              <w:bottom w:val="single" w:sz="8" w:space="0" w:color="000000"/>
              <w:right w:val="nil"/>
            </w:tcBorders>
            <w:shd w:val="clear" w:color="000000" w:fill="FDE9D9"/>
            <w:vAlign w:val="center"/>
            <w:hideMark/>
          </w:tcPr>
          <w:p w:rsidR="002474ED" w:rsidRPr="007A72E0" w:rsidRDefault="002474ED" w:rsidP="00E75531">
            <w:pPr>
              <w:jc w:val="both"/>
              <w:rPr>
                <w:rFonts w:ascii="Verdana" w:hAnsi="Verdana" w:cs="Calibri"/>
                <w:color w:val="FF0000"/>
                <w:sz w:val="16"/>
                <w:szCs w:val="16"/>
                <w:lang w:val="nl-BE" w:eastAsia="nl-BE"/>
              </w:rPr>
            </w:pPr>
            <w:r w:rsidRPr="007A72E0">
              <w:rPr>
                <w:rFonts w:ascii="Verdana" w:hAnsi="Verdana" w:cs="Calibri"/>
                <w:color w:val="FF0000"/>
                <w:sz w:val="16"/>
                <w:szCs w:val="16"/>
                <w:lang w:val="en-GB" w:eastAsia="nl-BE"/>
              </w:rPr>
              <w:t>1.793.419</w:t>
            </w:r>
          </w:p>
        </w:tc>
        <w:tc>
          <w:tcPr>
            <w:tcW w:w="536" w:type="pct"/>
            <w:tcBorders>
              <w:top w:val="nil"/>
              <w:left w:val="nil"/>
              <w:bottom w:val="single" w:sz="8" w:space="0" w:color="000000"/>
              <w:right w:val="single" w:sz="12" w:space="0" w:color="auto"/>
            </w:tcBorders>
            <w:shd w:val="clear" w:color="000000" w:fill="FFFFFF"/>
            <w:vAlign w:val="center"/>
            <w:hideMark/>
          </w:tcPr>
          <w:p w:rsidR="002474ED" w:rsidRPr="002474ED" w:rsidRDefault="002474ED" w:rsidP="00E75531">
            <w:pPr>
              <w:jc w:val="both"/>
              <w:rPr>
                <w:rFonts w:ascii="Verdana" w:hAnsi="Verdana" w:cs="Calibri"/>
                <w:i/>
                <w:iCs/>
                <w:color w:val="000000"/>
                <w:sz w:val="16"/>
                <w:szCs w:val="16"/>
                <w:lang w:val="nl-BE" w:eastAsia="nl-BE"/>
              </w:rPr>
            </w:pPr>
            <w:r w:rsidRPr="002474ED">
              <w:rPr>
                <w:rFonts w:ascii="Verdana" w:hAnsi="Verdana" w:cs="Calibri"/>
                <w:i/>
                <w:iCs/>
                <w:color w:val="000000"/>
                <w:sz w:val="16"/>
                <w:szCs w:val="16"/>
                <w:lang w:val="en-GB" w:eastAsia="nl-BE"/>
              </w:rPr>
              <w:t>14,80%</w:t>
            </w:r>
          </w:p>
        </w:tc>
      </w:tr>
      <w:tr w:rsidR="002474ED" w:rsidRPr="002474ED" w:rsidTr="00455D81">
        <w:trPr>
          <w:trHeight w:val="315"/>
        </w:trPr>
        <w:tc>
          <w:tcPr>
            <w:tcW w:w="627" w:type="pct"/>
            <w:vMerge w:val="restart"/>
            <w:tcBorders>
              <w:top w:val="nil"/>
              <w:left w:val="single" w:sz="12" w:space="0" w:color="008080"/>
              <w:bottom w:val="single" w:sz="8" w:space="0" w:color="000000"/>
              <w:right w:val="nil"/>
            </w:tcBorders>
            <w:shd w:val="clear" w:color="auto" w:fill="auto"/>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 xml:space="preserve">ING-Activator Fund </w:t>
            </w:r>
          </w:p>
        </w:tc>
        <w:tc>
          <w:tcPr>
            <w:tcW w:w="547" w:type="pct"/>
            <w:vMerge w:val="restar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4.995.000</w:t>
            </w:r>
          </w:p>
        </w:tc>
        <w:tc>
          <w:tcPr>
            <w:tcW w:w="468" w:type="pct"/>
            <w:vMerge w:val="restar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3.995.900</w:t>
            </w:r>
          </w:p>
        </w:tc>
        <w:tc>
          <w:tcPr>
            <w:tcW w:w="532" w:type="pct"/>
            <w:vMerge w:val="restar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2.997.000</w:t>
            </w:r>
          </w:p>
        </w:tc>
        <w:tc>
          <w:tcPr>
            <w:tcW w:w="493" w:type="pct"/>
            <w:vMerge w:val="restar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i/>
                <w:iCs/>
                <w:color w:val="000000"/>
                <w:sz w:val="16"/>
                <w:szCs w:val="16"/>
                <w:lang w:val="nl-BE" w:eastAsia="nl-BE"/>
              </w:rPr>
            </w:pPr>
            <w:r w:rsidRPr="002474ED">
              <w:rPr>
                <w:rFonts w:ascii="Verdana" w:hAnsi="Verdana" w:cs="Calibri"/>
                <w:i/>
                <w:iCs/>
                <w:color w:val="000000"/>
                <w:sz w:val="16"/>
                <w:szCs w:val="16"/>
                <w:lang w:val="en-GB" w:eastAsia="nl-BE"/>
              </w:rPr>
              <w:t>60,00%</w:t>
            </w:r>
          </w:p>
        </w:tc>
        <w:tc>
          <w:tcPr>
            <w:tcW w:w="622" w:type="pct"/>
            <w:vMerge w:val="restar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w:t>
            </w:r>
          </w:p>
        </w:tc>
        <w:tc>
          <w:tcPr>
            <w:tcW w:w="487" w:type="pct"/>
            <w:vMerge w:val="restar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i/>
                <w:iCs/>
                <w:color w:val="000000"/>
                <w:sz w:val="16"/>
                <w:szCs w:val="16"/>
                <w:lang w:val="nl-BE" w:eastAsia="nl-BE"/>
              </w:rPr>
            </w:pPr>
            <w:r w:rsidRPr="002474ED">
              <w:rPr>
                <w:rFonts w:ascii="Verdana" w:hAnsi="Verdana" w:cs="Calibri"/>
                <w:i/>
                <w:iCs/>
                <w:color w:val="000000"/>
                <w:sz w:val="16"/>
                <w:szCs w:val="16"/>
                <w:lang w:val="en-GB" w:eastAsia="nl-BE"/>
              </w:rPr>
              <w:t>-</w:t>
            </w:r>
          </w:p>
        </w:tc>
        <w:tc>
          <w:tcPr>
            <w:tcW w:w="687" w:type="pct"/>
            <w:vMerge w:val="restart"/>
            <w:tcBorders>
              <w:top w:val="nil"/>
              <w:left w:val="nil"/>
              <w:bottom w:val="single" w:sz="8" w:space="0" w:color="000000"/>
              <w:right w:val="nil"/>
            </w:tcBorders>
            <w:shd w:val="clear" w:color="000000" w:fill="FDE9D9"/>
            <w:vAlign w:val="center"/>
            <w:hideMark/>
          </w:tcPr>
          <w:p w:rsidR="002474ED" w:rsidRPr="007A72E0" w:rsidRDefault="002474ED" w:rsidP="00E75531">
            <w:pPr>
              <w:jc w:val="both"/>
              <w:rPr>
                <w:rFonts w:ascii="Verdana" w:hAnsi="Verdana" w:cs="Calibri"/>
                <w:color w:val="FF0000"/>
                <w:sz w:val="16"/>
                <w:szCs w:val="16"/>
                <w:lang w:val="nl-BE" w:eastAsia="nl-BE"/>
              </w:rPr>
            </w:pPr>
            <w:r w:rsidRPr="007A72E0">
              <w:rPr>
                <w:rFonts w:ascii="Verdana" w:hAnsi="Verdana" w:cs="Calibri"/>
                <w:color w:val="FF0000"/>
                <w:sz w:val="16"/>
                <w:szCs w:val="16"/>
                <w:lang w:val="en-GB" w:eastAsia="nl-BE"/>
              </w:rPr>
              <w:t>399.890</w:t>
            </w:r>
          </w:p>
        </w:tc>
        <w:tc>
          <w:tcPr>
            <w:tcW w:w="536" w:type="pct"/>
            <w:vMerge w:val="restart"/>
            <w:tcBorders>
              <w:top w:val="nil"/>
              <w:left w:val="nil"/>
              <w:bottom w:val="single" w:sz="8" w:space="0" w:color="000000"/>
              <w:right w:val="single" w:sz="12" w:space="0" w:color="auto"/>
            </w:tcBorders>
            <w:shd w:val="clear" w:color="000000" w:fill="FFFFFF"/>
            <w:vAlign w:val="center"/>
            <w:hideMark/>
          </w:tcPr>
          <w:p w:rsidR="002474ED" w:rsidRPr="002474ED" w:rsidRDefault="002474ED" w:rsidP="00E75531">
            <w:pPr>
              <w:jc w:val="both"/>
              <w:rPr>
                <w:rFonts w:ascii="Verdana" w:hAnsi="Verdana" w:cs="Calibri"/>
                <w:i/>
                <w:iCs/>
                <w:color w:val="000000"/>
                <w:sz w:val="16"/>
                <w:szCs w:val="16"/>
                <w:lang w:val="nl-BE" w:eastAsia="nl-BE"/>
              </w:rPr>
            </w:pPr>
            <w:r w:rsidRPr="002474ED">
              <w:rPr>
                <w:rFonts w:ascii="Verdana" w:hAnsi="Verdana" w:cs="Calibri"/>
                <w:i/>
                <w:iCs/>
                <w:color w:val="000000"/>
                <w:sz w:val="16"/>
                <w:szCs w:val="16"/>
                <w:lang w:val="en-GB" w:eastAsia="nl-BE"/>
              </w:rPr>
              <w:t>13,30%</w:t>
            </w:r>
          </w:p>
        </w:tc>
      </w:tr>
      <w:tr w:rsidR="002474ED" w:rsidRPr="002474ED" w:rsidTr="00455D81">
        <w:trPr>
          <w:trHeight w:val="315"/>
        </w:trPr>
        <w:tc>
          <w:tcPr>
            <w:tcW w:w="627" w:type="pct"/>
            <w:vMerge/>
            <w:tcBorders>
              <w:top w:val="nil"/>
              <w:left w:val="single" w:sz="12" w:space="0" w:color="008080"/>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547"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468"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532"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493"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i/>
                <w:iCs/>
                <w:color w:val="000000"/>
                <w:sz w:val="16"/>
                <w:szCs w:val="16"/>
                <w:lang w:val="nl-BE" w:eastAsia="nl-BE"/>
              </w:rPr>
            </w:pPr>
          </w:p>
        </w:tc>
        <w:tc>
          <w:tcPr>
            <w:tcW w:w="622"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487"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i/>
                <w:iCs/>
                <w:color w:val="000000"/>
                <w:sz w:val="16"/>
                <w:szCs w:val="16"/>
                <w:lang w:val="nl-BE" w:eastAsia="nl-BE"/>
              </w:rPr>
            </w:pPr>
          </w:p>
        </w:tc>
        <w:tc>
          <w:tcPr>
            <w:tcW w:w="687" w:type="pct"/>
            <w:vMerge/>
            <w:tcBorders>
              <w:top w:val="nil"/>
              <w:left w:val="nil"/>
              <w:bottom w:val="single" w:sz="8" w:space="0" w:color="000000"/>
              <w:right w:val="nil"/>
            </w:tcBorders>
            <w:vAlign w:val="center"/>
            <w:hideMark/>
          </w:tcPr>
          <w:p w:rsidR="002474ED" w:rsidRPr="007A72E0" w:rsidRDefault="002474ED" w:rsidP="00E75531">
            <w:pPr>
              <w:jc w:val="both"/>
              <w:rPr>
                <w:rFonts w:ascii="Verdana" w:hAnsi="Verdana" w:cs="Calibri"/>
                <w:color w:val="FF0000"/>
                <w:sz w:val="16"/>
                <w:szCs w:val="16"/>
                <w:lang w:val="nl-BE" w:eastAsia="nl-BE"/>
              </w:rPr>
            </w:pPr>
          </w:p>
        </w:tc>
        <w:tc>
          <w:tcPr>
            <w:tcW w:w="536" w:type="pct"/>
            <w:vMerge/>
            <w:tcBorders>
              <w:top w:val="nil"/>
              <w:left w:val="nil"/>
              <w:bottom w:val="single" w:sz="8" w:space="0" w:color="000000"/>
              <w:right w:val="single" w:sz="12" w:space="0" w:color="auto"/>
            </w:tcBorders>
            <w:vAlign w:val="center"/>
            <w:hideMark/>
          </w:tcPr>
          <w:p w:rsidR="002474ED" w:rsidRPr="002474ED" w:rsidRDefault="002474ED" w:rsidP="00E75531">
            <w:pPr>
              <w:jc w:val="both"/>
              <w:rPr>
                <w:rFonts w:ascii="Verdana" w:hAnsi="Verdana" w:cs="Calibri"/>
                <w:i/>
                <w:iCs/>
                <w:color w:val="000000"/>
                <w:sz w:val="16"/>
                <w:szCs w:val="16"/>
                <w:lang w:val="nl-BE" w:eastAsia="nl-BE"/>
              </w:rPr>
            </w:pPr>
          </w:p>
        </w:tc>
      </w:tr>
      <w:tr w:rsidR="002474ED" w:rsidRPr="002474ED" w:rsidTr="00455D81">
        <w:trPr>
          <w:trHeight w:val="300"/>
        </w:trPr>
        <w:tc>
          <w:tcPr>
            <w:tcW w:w="627" w:type="pct"/>
            <w:vMerge w:val="restart"/>
            <w:tcBorders>
              <w:top w:val="nil"/>
              <w:left w:val="single" w:sz="12" w:space="0" w:color="008080"/>
              <w:bottom w:val="single" w:sz="8" w:space="0" w:color="000000"/>
              <w:right w:val="nil"/>
            </w:tcBorders>
            <w:shd w:val="clear" w:color="auto" w:fill="auto"/>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lastRenderedPageBreak/>
              <w:t xml:space="preserve">KBC ARKIV </w:t>
            </w:r>
          </w:p>
        </w:tc>
        <w:tc>
          <w:tcPr>
            <w:tcW w:w="547" w:type="pct"/>
            <w:vMerge w:val="restar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12.000.000</w:t>
            </w:r>
          </w:p>
        </w:tc>
        <w:tc>
          <w:tcPr>
            <w:tcW w:w="468" w:type="pct"/>
            <w:vMerge w:val="restar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12.000.000</w:t>
            </w:r>
          </w:p>
        </w:tc>
        <w:tc>
          <w:tcPr>
            <w:tcW w:w="532" w:type="pct"/>
            <w:vMerge w:val="restar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8.713.309</w:t>
            </w:r>
          </w:p>
        </w:tc>
        <w:tc>
          <w:tcPr>
            <w:tcW w:w="493" w:type="pct"/>
            <w:vMerge w:val="restar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i/>
                <w:iCs/>
                <w:color w:val="000000"/>
                <w:sz w:val="16"/>
                <w:szCs w:val="16"/>
                <w:lang w:val="nl-BE" w:eastAsia="nl-BE"/>
              </w:rPr>
            </w:pPr>
            <w:r w:rsidRPr="002474ED">
              <w:rPr>
                <w:rFonts w:ascii="Verdana" w:hAnsi="Verdana" w:cs="Calibri"/>
                <w:i/>
                <w:iCs/>
                <w:color w:val="000000"/>
                <w:sz w:val="16"/>
                <w:szCs w:val="16"/>
                <w:lang w:val="en-GB" w:eastAsia="nl-BE"/>
              </w:rPr>
              <w:t>72,60%</w:t>
            </w:r>
          </w:p>
        </w:tc>
        <w:tc>
          <w:tcPr>
            <w:tcW w:w="622" w:type="pct"/>
            <w:vMerge w:val="restar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666.373</w:t>
            </w:r>
          </w:p>
        </w:tc>
        <w:tc>
          <w:tcPr>
            <w:tcW w:w="487" w:type="pct"/>
            <w:vMerge w:val="restar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i/>
                <w:iCs/>
                <w:color w:val="000000"/>
                <w:sz w:val="16"/>
                <w:szCs w:val="16"/>
                <w:lang w:val="nl-BE" w:eastAsia="nl-BE"/>
              </w:rPr>
            </w:pPr>
            <w:r w:rsidRPr="002474ED">
              <w:rPr>
                <w:rFonts w:ascii="Verdana" w:hAnsi="Verdana" w:cs="Calibri"/>
                <w:i/>
                <w:iCs/>
                <w:color w:val="000000"/>
                <w:sz w:val="16"/>
                <w:szCs w:val="16"/>
                <w:lang w:val="en-GB" w:eastAsia="nl-BE"/>
              </w:rPr>
              <w:t>5,60%</w:t>
            </w:r>
          </w:p>
        </w:tc>
        <w:tc>
          <w:tcPr>
            <w:tcW w:w="687" w:type="pct"/>
            <w:vMerge w:val="restart"/>
            <w:tcBorders>
              <w:top w:val="nil"/>
              <w:left w:val="nil"/>
              <w:bottom w:val="single" w:sz="8" w:space="0" w:color="000000"/>
              <w:right w:val="nil"/>
            </w:tcBorders>
            <w:shd w:val="clear" w:color="000000" w:fill="FDE9D9"/>
            <w:vAlign w:val="center"/>
            <w:hideMark/>
          </w:tcPr>
          <w:p w:rsidR="002474ED" w:rsidRPr="007A72E0" w:rsidRDefault="002474ED" w:rsidP="00E75531">
            <w:pPr>
              <w:jc w:val="both"/>
              <w:rPr>
                <w:rFonts w:ascii="Verdana" w:hAnsi="Verdana" w:cs="Calibri"/>
                <w:color w:val="FF0000"/>
                <w:sz w:val="16"/>
                <w:szCs w:val="16"/>
                <w:lang w:val="nl-BE" w:eastAsia="nl-BE"/>
              </w:rPr>
            </w:pPr>
            <w:r w:rsidRPr="007A72E0">
              <w:rPr>
                <w:rFonts w:ascii="Verdana" w:hAnsi="Verdana" w:cs="Calibri"/>
                <w:color w:val="FF0000"/>
                <w:sz w:val="16"/>
                <w:szCs w:val="16"/>
                <w:lang w:val="en-GB" w:eastAsia="nl-BE"/>
              </w:rPr>
              <w:t>1.435.798</w:t>
            </w:r>
          </w:p>
        </w:tc>
        <w:tc>
          <w:tcPr>
            <w:tcW w:w="536" w:type="pct"/>
            <w:vMerge w:val="restart"/>
            <w:tcBorders>
              <w:top w:val="nil"/>
              <w:left w:val="nil"/>
              <w:bottom w:val="single" w:sz="8" w:space="0" w:color="000000"/>
              <w:right w:val="single" w:sz="12" w:space="0" w:color="auto"/>
            </w:tcBorders>
            <w:shd w:val="clear" w:color="000000" w:fill="FFFFFF"/>
            <w:vAlign w:val="center"/>
            <w:hideMark/>
          </w:tcPr>
          <w:p w:rsidR="002474ED" w:rsidRPr="002474ED" w:rsidRDefault="002474ED" w:rsidP="00E75531">
            <w:pPr>
              <w:jc w:val="both"/>
              <w:rPr>
                <w:rFonts w:ascii="Verdana" w:hAnsi="Verdana" w:cs="Calibri"/>
                <w:i/>
                <w:iCs/>
                <w:color w:val="000000"/>
                <w:sz w:val="16"/>
                <w:szCs w:val="16"/>
                <w:lang w:val="nl-BE" w:eastAsia="nl-BE"/>
              </w:rPr>
            </w:pPr>
            <w:r w:rsidRPr="002474ED">
              <w:rPr>
                <w:rFonts w:ascii="Verdana" w:hAnsi="Verdana" w:cs="Calibri"/>
                <w:i/>
                <w:iCs/>
                <w:color w:val="000000"/>
                <w:sz w:val="16"/>
                <w:szCs w:val="16"/>
                <w:lang w:val="en-GB" w:eastAsia="nl-BE"/>
              </w:rPr>
              <w:t>16,50%</w:t>
            </w:r>
          </w:p>
        </w:tc>
      </w:tr>
      <w:tr w:rsidR="002474ED" w:rsidRPr="002474ED" w:rsidTr="00455D81">
        <w:trPr>
          <w:trHeight w:val="315"/>
        </w:trPr>
        <w:tc>
          <w:tcPr>
            <w:tcW w:w="627" w:type="pct"/>
            <w:vMerge/>
            <w:tcBorders>
              <w:top w:val="nil"/>
              <w:left w:val="single" w:sz="12" w:space="0" w:color="008080"/>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547"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468"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532"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493"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i/>
                <w:iCs/>
                <w:color w:val="000000"/>
                <w:sz w:val="16"/>
                <w:szCs w:val="16"/>
                <w:lang w:val="nl-BE" w:eastAsia="nl-BE"/>
              </w:rPr>
            </w:pPr>
          </w:p>
        </w:tc>
        <w:tc>
          <w:tcPr>
            <w:tcW w:w="622"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487"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i/>
                <w:iCs/>
                <w:color w:val="000000"/>
                <w:sz w:val="16"/>
                <w:szCs w:val="16"/>
                <w:lang w:val="nl-BE" w:eastAsia="nl-BE"/>
              </w:rPr>
            </w:pPr>
          </w:p>
        </w:tc>
        <w:tc>
          <w:tcPr>
            <w:tcW w:w="687" w:type="pct"/>
            <w:vMerge/>
            <w:tcBorders>
              <w:top w:val="nil"/>
              <w:left w:val="nil"/>
              <w:bottom w:val="single" w:sz="8" w:space="0" w:color="000000"/>
              <w:right w:val="nil"/>
            </w:tcBorders>
            <w:vAlign w:val="center"/>
            <w:hideMark/>
          </w:tcPr>
          <w:p w:rsidR="002474ED" w:rsidRPr="007A72E0" w:rsidRDefault="002474ED" w:rsidP="00E75531">
            <w:pPr>
              <w:jc w:val="both"/>
              <w:rPr>
                <w:rFonts w:ascii="Verdana" w:hAnsi="Verdana" w:cs="Calibri"/>
                <w:color w:val="FF0000"/>
                <w:sz w:val="16"/>
                <w:szCs w:val="16"/>
                <w:lang w:val="nl-BE" w:eastAsia="nl-BE"/>
              </w:rPr>
            </w:pPr>
          </w:p>
        </w:tc>
        <w:tc>
          <w:tcPr>
            <w:tcW w:w="536" w:type="pct"/>
            <w:vMerge/>
            <w:tcBorders>
              <w:top w:val="nil"/>
              <w:left w:val="nil"/>
              <w:bottom w:val="single" w:sz="8" w:space="0" w:color="000000"/>
              <w:right w:val="single" w:sz="12" w:space="0" w:color="auto"/>
            </w:tcBorders>
            <w:vAlign w:val="center"/>
            <w:hideMark/>
          </w:tcPr>
          <w:p w:rsidR="002474ED" w:rsidRPr="002474ED" w:rsidRDefault="002474ED" w:rsidP="00E75531">
            <w:pPr>
              <w:jc w:val="both"/>
              <w:rPr>
                <w:rFonts w:ascii="Verdana" w:hAnsi="Verdana" w:cs="Calibri"/>
                <w:i/>
                <w:iCs/>
                <w:color w:val="000000"/>
                <w:sz w:val="16"/>
                <w:szCs w:val="16"/>
                <w:lang w:val="nl-BE" w:eastAsia="nl-BE"/>
              </w:rPr>
            </w:pPr>
          </w:p>
        </w:tc>
      </w:tr>
      <w:tr w:rsidR="002474ED" w:rsidRPr="002474ED" w:rsidTr="00455D81">
        <w:trPr>
          <w:trHeight w:val="300"/>
        </w:trPr>
        <w:tc>
          <w:tcPr>
            <w:tcW w:w="627" w:type="pct"/>
            <w:vMerge w:val="restart"/>
            <w:tcBorders>
              <w:top w:val="nil"/>
              <w:left w:val="single" w:sz="12" w:space="0" w:color="008080"/>
              <w:bottom w:val="single" w:sz="8" w:space="0" w:color="000000"/>
              <w:right w:val="nil"/>
            </w:tcBorders>
            <w:shd w:val="clear" w:color="auto" w:fill="auto"/>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KMOFIN (LRM)</w:t>
            </w:r>
          </w:p>
        </w:tc>
        <w:tc>
          <w:tcPr>
            <w:tcW w:w="547" w:type="pct"/>
            <w:vMerge w:val="restar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12.250.000</w:t>
            </w:r>
          </w:p>
        </w:tc>
        <w:tc>
          <w:tcPr>
            <w:tcW w:w="468" w:type="pct"/>
            <w:vMerge w:val="restar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12.250.000</w:t>
            </w:r>
          </w:p>
        </w:tc>
        <w:tc>
          <w:tcPr>
            <w:tcW w:w="532" w:type="pct"/>
            <w:vMerge w:val="restar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12.250.000</w:t>
            </w:r>
          </w:p>
        </w:tc>
        <w:tc>
          <w:tcPr>
            <w:tcW w:w="493" w:type="pct"/>
            <w:vMerge w:val="restar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i/>
                <w:iCs/>
                <w:color w:val="000000"/>
                <w:sz w:val="16"/>
                <w:szCs w:val="16"/>
                <w:lang w:val="nl-BE" w:eastAsia="nl-BE"/>
              </w:rPr>
            </w:pPr>
            <w:r w:rsidRPr="002474ED">
              <w:rPr>
                <w:rFonts w:ascii="Verdana" w:hAnsi="Verdana" w:cs="Calibri"/>
                <w:i/>
                <w:iCs/>
                <w:color w:val="000000"/>
                <w:sz w:val="16"/>
                <w:szCs w:val="16"/>
                <w:lang w:val="en-GB" w:eastAsia="nl-BE"/>
              </w:rPr>
              <w:t>100,00%</w:t>
            </w:r>
          </w:p>
        </w:tc>
        <w:tc>
          <w:tcPr>
            <w:tcW w:w="622" w:type="pct"/>
            <w:vMerge w:val="restar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1.470.000</w:t>
            </w:r>
          </w:p>
        </w:tc>
        <w:tc>
          <w:tcPr>
            <w:tcW w:w="487" w:type="pct"/>
            <w:vMerge w:val="restart"/>
            <w:tcBorders>
              <w:top w:val="nil"/>
              <w:left w:val="nil"/>
              <w:bottom w:val="single" w:sz="8" w:space="0" w:color="000000"/>
              <w:right w:val="nil"/>
            </w:tcBorders>
            <w:shd w:val="clear" w:color="000000" w:fill="FFFFFF"/>
            <w:vAlign w:val="center"/>
            <w:hideMark/>
          </w:tcPr>
          <w:p w:rsidR="002474ED" w:rsidRPr="002474ED" w:rsidRDefault="002474ED" w:rsidP="00E75531">
            <w:pPr>
              <w:jc w:val="both"/>
              <w:rPr>
                <w:rFonts w:ascii="Verdana" w:hAnsi="Verdana" w:cs="Calibri"/>
                <w:i/>
                <w:iCs/>
                <w:color w:val="000000"/>
                <w:sz w:val="16"/>
                <w:szCs w:val="16"/>
                <w:lang w:val="nl-BE" w:eastAsia="nl-BE"/>
              </w:rPr>
            </w:pPr>
            <w:r w:rsidRPr="002474ED">
              <w:rPr>
                <w:rFonts w:ascii="Verdana" w:hAnsi="Verdana" w:cs="Calibri"/>
                <w:i/>
                <w:iCs/>
                <w:color w:val="000000"/>
                <w:sz w:val="16"/>
                <w:szCs w:val="16"/>
                <w:lang w:val="en-GB" w:eastAsia="nl-BE"/>
              </w:rPr>
              <w:t>12,00%</w:t>
            </w:r>
          </w:p>
        </w:tc>
        <w:tc>
          <w:tcPr>
            <w:tcW w:w="687" w:type="pct"/>
            <w:vMerge w:val="restart"/>
            <w:tcBorders>
              <w:top w:val="nil"/>
              <w:left w:val="nil"/>
              <w:bottom w:val="single" w:sz="8" w:space="0" w:color="000000"/>
              <w:right w:val="nil"/>
            </w:tcBorders>
            <w:shd w:val="clear" w:color="000000" w:fill="FDE9D9"/>
            <w:vAlign w:val="center"/>
            <w:hideMark/>
          </w:tcPr>
          <w:p w:rsidR="002474ED" w:rsidRPr="007A72E0" w:rsidRDefault="002474ED" w:rsidP="00E75531">
            <w:pPr>
              <w:jc w:val="both"/>
              <w:rPr>
                <w:rFonts w:ascii="Verdana" w:hAnsi="Verdana" w:cs="Calibri"/>
                <w:color w:val="FF0000"/>
                <w:sz w:val="16"/>
                <w:szCs w:val="16"/>
                <w:lang w:val="nl-BE" w:eastAsia="nl-BE"/>
              </w:rPr>
            </w:pPr>
            <w:r w:rsidRPr="007A72E0">
              <w:rPr>
                <w:rFonts w:ascii="Verdana" w:hAnsi="Verdana" w:cs="Calibri"/>
                <w:color w:val="FF0000"/>
                <w:sz w:val="16"/>
                <w:szCs w:val="16"/>
                <w:lang w:val="en-GB" w:eastAsia="nl-BE"/>
              </w:rPr>
              <w:t>2.229.937</w:t>
            </w:r>
          </w:p>
        </w:tc>
        <w:tc>
          <w:tcPr>
            <w:tcW w:w="536" w:type="pct"/>
            <w:vMerge w:val="restart"/>
            <w:tcBorders>
              <w:top w:val="nil"/>
              <w:left w:val="nil"/>
              <w:bottom w:val="single" w:sz="8" w:space="0" w:color="000000"/>
              <w:right w:val="single" w:sz="12" w:space="0" w:color="auto"/>
            </w:tcBorders>
            <w:shd w:val="clear" w:color="000000" w:fill="FFFFFF"/>
            <w:vAlign w:val="center"/>
            <w:hideMark/>
          </w:tcPr>
          <w:p w:rsidR="002474ED" w:rsidRPr="002474ED" w:rsidRDefault="002474ED" w:rsidP="00E75531">
            <w:pPr>
              <w:jc w:val="both"/>
              <w:rPr>
                <w:rFonts w:ascii="Verdana" w:hAnsi="Verdana" w:cs="Calibri"/>
                <w:i/>
                <w:iCs/>
                <w:color w:val="000000"/>
                <w:sz w:val="16"/>
                <w:szCs w:val="16"/>
                <w:lang w:val="nl-BE" w:eastAsia="nl-BE"/>
              </w:rPr>
            </w:pPr>
            <w:r w:rsidRPr="002474ED">
              <w:rPr>
                <w:rFonts w:ascii="Verdana" w:hAnsi="Verdana" w:cs="Calibri"/>
                <w:i/>
                <w:iCs/>
                <w:color w:val="000000"/>
                <w:sz w:val="16"/>
                <w:szCs w:val="16"/>
                <w:lang w:val="en-GB" w:eastAsia="nl-BE"/>
              </w:rPr>
              <w:t>18,20%</w:t>
            </w:r>
          </w:p>
        </w:tc>
      </w:tr>
      <w:tr w:rsidR="002474ED" w:rsidRPr="002474ED" w:rsidTr="00455D81">
        <w:trPr>
          <w:trHeight w:val="315"/>
        </w:trPr>
        <w:tc>
          <w:tcPr>
            <w:tcW w:w="627" w:type="pct"/>
            <w:vMerge/>
            <w:tcBorders>
              <w:top w:val="nil"/>
              <w:left w:val="single" w:sz="12" w:space="0" w:color="008080"/>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547"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468"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532"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493"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i/>
                <w:iCs/>
                <w:color w:val="000000"/>
                <w:sz w:val="16"/>
                <w:szCs w:val="16"/>
                <w:lang w:val="nl-BE" w:eastAsia="nl-BE"/>
              </w:rPr>
            </w:pPr>
          </w:p>
        </w:tc>
        <w:tc>
          <w:tcPr>
            <w:tcW w:w="622"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487"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i/>
                <w:iCs/>
                <w:color w:val="000000"/>
                <w:sz w:val="16"/>
                <w:szCs w:val="16"/>
                <w:lang w:val="nl-BE" w:eastAsia="nl-BE"/>
              </w:rPr>
            </w:pPr>
          </w:p>
        </w:tc>
        <w:tc>
          <w:tcPr>
            <w:tcW w:w="687" w:type="pct"/>
            <w:vMerge/>
            <w:tcBorders>
              <w:top w:val="nil"/>
              <w:left w:val="nil"/>
              <w:bottom w:val="single" w:sz="8" w:space="0" w:color="000000"/>
              <w:right w:val="nil"/>
            </w:tcBorders>
            <w:vAlign w:val="center"/>
            <w:hideMark/>
          </w:tcPr>
          <w:p w:rsidR="002474ED" w:rsidRPr="007A72E0" w:rsidRDefault="002474ED" w:rsidP="00E75531">
            <w:pPr>
              <w:jc w:val="both"/>
              <w:rPr>
                <w:rFonts w:ascii="Verdana" w:hAnsi="Verdana" w:cs="Calibri"/>
                <w:color w:val="FF0000"/>
                <w:sz w:val="16"/>
                <w:szCs w:val="16"/>
                <w:lang w:val="nl-BE" w:eastAsia="nl-BE"/>
              </w:rPr>
            </w:pPr>
          </w:p>
        </w:tc>
        <w:tc>
          <w:tcPr>
            <w:tcW w:w="536" w:type="pct"/>
            <w:vMerge/>
            <w:tcBorders>
              <w:top w:val="nil"/>
              <w:left w:val="nil"/>
              <w:bottom w:val="single" w:sz="8" w:space="0" w:color="000000"/>
              <w:right w:val="single" w:sz="12" w:space="0" w:color="auto"/>
            </w:tcBorders>
            <w:vAlign w:val="center"/>
            <w:hideMark/>
          </w:tcPr>
          <w:p w:rsidR="002474ED" w:rsidRPr="002474ED" w:rsidRDefault="002474ED" w:rsidP="00E75531">
            <w:pPr>
              <w:jc w:val="both"/>
              <w:rPr>
                <w:rFonts w:ascii="Verdana" w:hAnsi="Verdana" w:cs="Calibri"/>
                <w:i/>
                <w:iCs/>
                <w:color w:val="000000"/>
                <w:sz w:val="16"/>
                <w:szCs w:val="16"/>
                <w:lang w:val="nl-BE" w:eastAsia="nl-BE"/>
              </w:rPr>
            </w:pPr>
          </w:p>
        </w:tc>
      </w:tr>
      <w:tr w:rsidR="002474ED" w:rsidRPr="002474ED" w:rsidTr="00455D81">
        <w:trPr>
          <w:trHeight w:val="300"/>
        </w:trPr>
        <w:tc>
          <w:tcPr>
            <w:tcW w:w="627" w:type="pct"/>
            <w:vMerge w:val="restart"/>
            <w:tcBorders>
              <w:top w:val="nil"/>
              <w:left w:val="single" w:sz="12" w:space="0" w:color="008080"/>
              <w:bottom w:val="single" w:sz="8" w:space="0" w:color="000000"/>
              <w:right w:val="nil"/>
            </w:tcBorders>
            <w:shd w:val="clear" w:color="auto" w:fill="auto"/>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 xml:space="preserve">QAT ARKIV </w:t>
            </w:r>
          </w:p>
        </w:tc>
        <w:tc>
          <w:tcPr>
            <w:tcW w:w="547" w:type="pct"/>
            <w:vMerge w:val="restart"/>
            <w:tcBorders>
              <w:top w:val="nil"/>
              <w:left w:val="nil"/>
              <w:bottom w:val="single" w:sz="8" w:space="0" w:color="000000"/>
              <w:right w:val="nil"/>
            </w:tcBorders>
            <w:shd w:val="clear" w:color="auto" w:fill="auto"/>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7.840.000</w:t>
            </w:r>
          </w:p>
        </w:tc>
        <w:tc>
          <w:tcPr>
            <w:tcW w:w="468" w:type="pct"/>
            <w:vMerge w:val="restart"/>
            <w:tcBorders>
              <w:top w:val="nil"/>
              <w:left w:val="nil"/>
              <w:bottom w:val="single" w:sz="8" w:space="0" w:color="000000"/>
              <w:right w:val="nil"/>
            </w:tcBorders>
            <w:shd w:val="clear" w:color="auto" w:fill="auto"/>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7.840.000</w:t>
            </w:r>
          </w:p>
        </w:tc>
        <w:tc>
          <w:tcPr>
            <w:tcW w:w="532" w:type="pct"/>
            <w:vMerge w:val="restart"/>
            <w:tcBorders>
              <w:top w:val="nil"/>
              <w:left w:val="nil"/>
              <w:bottom w:val="single" w:sz="8" w:space="0" w:color="000000"/>
              <w:right w:val="nil"/>
            </w:tcBorders>
            <w:shd w:val="clear" w:color="auto" w:fill="auto"/>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7.840.000</w:t>
            </w:r>
          </w:p>
        </w:tc>
        <w:tc>
          <w:tcPr>
            <w:tcW w:w="493" w:type="pct"/>
            <w:vMerge w:val="restart"/>
            <w:tcBorders>
              <w:top w:val="nil"/>
              <w:left w:val="nil"/>
              <w:bottom w:val="single" w:sz="8" w:space="0" w:color="000000"/>
              <w:right w:val="nil"/>
            </w:tcBorders>
            <w:shd w:val="clear" w:color="auto" w:fill="auto"/>
            <w:vAlign w:val="center"/>
            <w:hideMark/>
          </w:tcPr>
          <w:p w:rsidR="002474ED" w:rsidRPr="002474ED" w:rsidRDefault="002474ED" w:rsidP="00E75531">
            <w:pPr>
              <w:jc w:val="both"/>
              <w:rPr>
                <w:rFonts w:ascii="Verdana" w:hAnsi="Verdana" w:cs="Calibri"/>
                <w:i/>
                <w:iCs/>
                <w:color w:val="000000"/>
                <w:sz w:val="16"/>
                <w:szCs w:val="16"/>
                <w:lang w:val="nl-BE" w:eastAsia="nl-BE"/>
              </w:rPr>
            </w:pPr>
            <w:r w:rsidRPr="002474ED">
              <w:rPr>
                <w:rFonts w:ascii="Verdana" w:hAnsi="Verdana" w:cs="Calibri"/>
                <w:i/>
                <w:iCs/>
                <w:color w:val="000000"/>
                <w:sz w:val="16"/>
                <w:szCs w:val="16"/>
                <w:lang w:val="en-GB" w:eastAsia="nl-BE"/>
              </w:rPr>
              <w:t>100,00%</w:t>
            </w:r>
          </w:p>
        </w:tc>
        <w:tc>
          <w:tcPr>
            <w:tcW w:w="622" w:type="pct"/>
            <w:vMerge w:val="restart"/>
            <w:tcBorders>
              <w:top w:val="nil"/>
              <w:left w:val="nil"/>
              <w:bottom w:val="single" w:sz="8" w:space="0" w:color="000000"/>
              <w:right w:val="nil"/>
            </w:tcBorders>
            <w:shd w:val="clear" w:color="auto" w:fill="auto"/>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701.680</w:t>
            </w:r>
          </w:p>
        </w:tc>
        <w:tc>
          <w:tcPr>
            <w:tcW w:w="487" w:type="pct"/>
            <w:vMerge w:val="restart"/>
            <w:tcBorders>
              <w:top w:val="nil"/>
              <w:left w:val="nil"/>
              <w:bottom w:val="single" w:sz="8" w:space="0" w:color="000000"/>
              <w:right w:val="nil"/>
            </w:tcBorders>
            <w:shd w:val="clear" w:color="auto" w:fill="auto"/>
            <w:vAlign w:val="center"/>
            <w:hideMark/>
          </w:tcPr>
          <w:p w:rsidR="002474ED" w:rsidRPr="002474ED" w:rsidRDefault="002474ED" w:rsidP="00E75531">
            <w:pPr>
              <w:jc w:val="both"/>
              <w:rPr>
                <w:rFonts w:ascii="Verdana" w:hAnsi="Verdana" w:cs="Calibri"/>
                <w:i/>
                <w:iCs/>
                <w:color w:val="000000"/>
                <w:sz w:val="16"/>
                <w:szCs w:val="16"/>
                <w:lang w:val="nl-BE" w:eastAsia="nl-BE"/>
              </w:rPr>
            </w:pPr>
            <w:r w:rsidRPr="002474ED">
              <w:rPr>
                <w:rFonts w:ascii="Verdana" w:hAnsi="Verdana" w:cs="Calibri"/>
                <w:i/>
                <w:iCs/>
                <w:color w:val="000000"/>
                <w:sz w:val="16"/>
                <w:szCs w:val="16"/>
                <w:lang w:val="en-GB" w:eastAsia="nl-BE"/>
              </w:rPr>
              <w:t>9,00%</w:t>
            </w:r>
          </w:p>
        </w:tc>
        <w:tc>
          <w:tcPr>
            <w:tcW w:w="687" w:type="pct"/>
            <w:vMerge w:val="restart"/>
            <w:tcBorders>
              <w:top w:val="nil"/>
              <w:left w:val="nil"/>
              <w:bottom w:val="single" w:sz="8" w:space="0" w:color="000000"/>
              <w:right w:val="nil"/>
            </w:tcBorders>
            <w:shd w:val="clear" w:color="000000" w:fill="FDE9D9"/>
            <w:vAlign w:val="center"/>
            <w:hideMark/>
          </w:tcPr>
          <w:p w:rsidR="002474ED" w:rsidRPr="007A72E0" w:rsidRDefault="002474ED" w:rsidP="00E75531">
            <w:pPr>
              <w:jc w:val="both"/>
              <w:rPr>
                <w:rFonts w:ascii="Verdana" w:hAnsi="Verdana" w:cs="Calibri"/>
                <w:color w:val="FF0000"/>
                <w:sz w:val="16"/>
                <w:szCs w:val="16"/>
                <w:lang w:val="nl-BE" w:eastAsia="nl-BE"/>
              </w:rPr>
            </w:pPr>
            <w:r w:rsidRPr="007A72E0">
              <w:rPr>
                <w:rFonts w:ascii="Verdana" w:hAnsi="Verdana" w:cs="Calibri"/>
                <w:color w:val="FF0000"/>
                <w:sz w:val="16"/>
                <w:szCs w:val="16"/>
                <w:lang w:val="en-GB" w:eastAsia="nl-BE"/>
              </w:rPr>
              <w:t>4.351.172</w:t>
            </w:r>
          </w:p>
        </w:tc>
        <w:tc>
          <w:tcPr>
            <w:tcW w:w="536" w:type="pct"/>
            <w:vMerge w:val="restart"/>
            <w:tcBorders>
              <w:top w:val="nil"/>
              <w:left w:val="nil"/>
              <w:bottom w:val="single" w:sz="8" w:space="0" w:color="000000"/>
              <w:right w:val="single" w:sz="12" w:space="0" w:color="auto"/>
            </w:tcBorders>
            <w:shd w:val="clear" w:color="auto" w:fill="auto"/>
            <w:vAlign w:val="center"/>
            <w:hideMark/>
          </w:tcPr>
          <w:p w:rsidR="002474ED" w:rsidRPr="002474ED" w:rsidRDefault="002474ED" w:rsidP="00E75531">
            <w:pPr>
              <w:jc w:val="both"/>
              <w:rPr>
                <w:rFonts w:ascii="Verdana" w:hAnsi="Verdana" w:cs="Calibri"/>
                <w:i/>
                <w:iCs/>
                <w:color w:val="000000"/>
                <w:sz w:val="16"/>
                <w:szCs w:val="16"/>
                <w:lang w:val="nl-BE" w:eastAsia="nl-BE"/>
              </w:rPr>
            </w:pPr>
            <w:r w:rsidRPr="002474ED">
              <w:rPr>
                <w:rFonts w:ascii="Verdana" w:hAnsi="Verdana" w:cs="Calibri"/>
                <w:i/>
                <w:iCs/>
                <w:color w:val="000000"/>
                <w:sz w:val="16"/>
                <w:szCs w:val="16"/>
                <w:lang w:val="en-GB" w:eastAsia="nl-BE"/>
              </w:rPr>
              <w:t>55,50%</w:t>
            </w:r>
          </w:p>
        </w:tc>
      </w:tr>
      <w:tr w:rsidR="002474ED" w:rsidRPr="002474ED" w:rsidTr="00455D81">
        <w:trPr>
          <w:trHeight w:val="315"/>
        </w:trPr>
        <w:tc>
          <w:tcPr>
            <w:tcW w:w="627" w:type="pct"/>
            <w:vMerge/>
            <w:tcBorders>
              <w:top w:val="nil"/>
              <w:left w:val="single" w:sz="12" w:space="0" w:color="008080"/>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547"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468"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532"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493"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i/>
                <w:iCs/>
                <w:color w:val="000000"/>
                <w:sz w:val="16"/>
                <w:szCs w:val="16"/>
                <w:lang w:val="nl-BE" w:eastAsia="nl-BE"/>
              </w:rPr>
            </w:pPr>
          </w:p>
        </w:tc>
        <w:tc>
          <w:tcPr>
            <w:tcW w:w="622"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color w:val="000000"/>
                <w:sz w:val="16"/>
                <w:szCs w:val="16"/>
                <w:lang w:val="nl-BE" w:eastAsia="nl-BE"/>
              </w:rPr>
            </w:pPr>
          </w:p>
        </w:tc>
        <w:tc>
          <w:tcPr>
            <w:tcW w:w="487" w:type="pct"/>
            <w:vMerge/>
            <w:tcBorders>
              <w:top w:val="nil"/>
              <w:left w:val="nil"/>
              <w:bottom w:val="single" w:sz="8" w:space="0" w:color="000000"/>
              <w:right w:val="nil"/>
            </w:tcBorders>
            <w:vAlign w:val="center"/>
            <w:hideMark/>
          </w:tcPr>
          <w:p w:rsidR="002474ED" w:rsidRPr="002474ED" w:rsidRDefault="002474ED" w:rsidP="00E75531">
            <w:pPr>
              <w:jc w:val="both"/>
              <w:rPr>
                <w:rFonts w:ascii="Verdana" w:hAnsi="Verdana" w:cs="Calibri"/>
                <w:i/>
                <w:iCs/>
                <w:color w:val="000000"/>
                <w:sz w:val="16"/>
                <w:szCs w:val="16"/>
                <w:lang w:val="nl-BE" w:eastAsia="nl-BE"/>
              </w:rPr>
            </w:pPr>
          </w:p>
        </w:tc>
        <w:tc>
          <w:tcPr>
            <w:tcW w:w="687" w:type="pct"/>
            <w:vMerge/>
            <w:tcBorders>
              <w:top w:val="nil"/>
              <w:left w:val="nil"/>
              <w:bottom w:val="single" w:sz="8" w:space="0" w:color="000000"/>
              <w:right w:val="nil"/>
            </w:tcBorders>
            <w:vAlign w:val="center"/>
            <w:hideMark/>
          </w:tcPr>
          <w:p w:rsidR="002474ED" w:rsidRPr="007A72E0" w:rsidRDefault="002474ED" w:rsidP="00E75531">
            <w:pPr>
              <w:jc w:val="both"/>
              <w:rPr>
                <w:rFonts w:ascii="Verdana" w:hAnsi="Verdana" w:cs="Calibri"/>
                <w:color w:val="FF0000"/>
                <w:sz w:val="16"/>
                <w:szCs w:val="16"/>
                <w:lang w:val="nl-BE" w:eastAsia="nl-BE"/>
              </w:rPr>
            </w:pPr>
          </w:p>
        </w:tc>
        <w:tc>
          <w:tcPr>
            <w:tcW w:w="536" w:type="pct"/>
            <w:vMerge/>
            <w:tcBorders>
              <w:top w:val="nil"/>
              <w:left w:val="nil"/>
              <w:bottom w:val="single" w:sz="8" w:space="0" w:color="000000"/>
              <w:right w:val="single" w:sz="12" w:space="0" w:color="auto"/>
            </w:tcBorders>
            <w:vAlign w:val="center"/>
            <w:hideMark/>
          </w:tcPr>
          <w:p w:rsidR="002474ED" w:rsidRPr="002474ED" w:rsidRDefault="002474ED" w:rsidP="00E75531">
            <w:pPr>
              <w:jc w:val="both"/>
              <w:rPr>
                <w:rFonts w:ascii="Verdana" w:hAnsi="Verdana" w:cs="Calibri"/>
                <w:i/>
                <w:iCs/>
                <w:color w:val="000000"/>
                <w:sz w:val="16"/>
                <w:szCs w:val="16"/>
                <w:lang w:val="nl-BE" w:eastAsia="nl-BE"/>
              </w:rPr>
            </w:pPr>
          </w:p>
        </w:tc>
      </w:tr>
      <w:tr w:rsidR="002474ED" w:rsidRPr="002474ED" w:rsidTr="00455D81">
        <w:trPr>
          <w:trHeight w:val="645"/>
        </w:trPr>
        <w:tc>
          <w:tcPr>
            <w:tcW w:w="627" w:type="pct"/>
            <w:tcBorders>
              <w:top w:val="nil"/>
              <w:left w:val="single" w:sz="12" w:space="0" w:color="008080"/>
              <w:bottom w:val="single" w:sz="12" w:space="0" w:color="008080"/>
              <w:right w:val="nil"/>
            </w:tcBorders>
            <w:shd w:val="clear" w:color="auto" w:fill="auto"/>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 xml:space="preserve">Vesalius Biocapital ARKIV </w:t>
            </w:r>
          </w:p>
        </w:tc>
        <w:tc>
          <w:tcPr>
            <w:tcW w:w="547" w:type="pct"/>
            <w:tcBorders>
              <w:top w:val="nil"/>
              <w:left w:val="nil"/>
              <w:bottom w:val="single" w:sz="12" w:space="0" w:color="00808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4.990.000</w:t>
            </w:r>
          </w:p>
        </w:tc>
        <w:tc>
          <w:tcPr>
            <w:tcW w:w="468" w:type="pct"/>
            <w:tcBorders>
              <w:top w:val="nil"/>
              <w:left w:val="nil"/>
              <w:bottom w:val="single" w:sz="12" w:space="0" w:color="00808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4.990.000</w:t>
            </w:r>
          </w:p>
        </w:tc>
        <w:tc>
          <w:tcPr>
            <w:tcW w:w="532" w:type="pct"/>
            <w:tcBorders>
              <w:top w:val="nil"/>
              <w:left w:val="nil"/>
              <w:bottom w:val="single" w:sz="12" w:space="0" w:color="00808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2.994.000</w:t>
            </w:r>
          </w:p>
        </w:tc>
        <w:tc>
          <w:tcPr>
            <w:tcW w:w="493" w:type="pct"/>
            <w:tcBorders>
              <w:top w:val="nil"/>
              <w:left w:val="nil"/>
              <w:bottom w:val="single" w:sz="12" w:space="0" w:color="008080"/>
              <w:right w:val="nil"/>
            </w:tcBorders>
            <w:shd w:val="clear" w:color="000000" w:fill="FFFFFF"/>
            <w:vAlign w:val="center"/>
            <w:hideMark/>
          </w:tcPr>
          <w:p w:rsidR="002474ED" w:rsidRPr="002474ED" w:rsidRDefault="002474ED" w:rsidP="00E75531">
            <w:pPr>
              <w:jc w:val="both"/>
              <w:rPr>
                <w:rFonts w:ascii="Verdana" w:hAnsi="Verdana" w:cs="Calibri"/>
                <w:i/>
                <w:iCs/>
                <w:color w:val="000000"/>
                <w:sz w:val="16"/>
                <w:szCs w:val="16"/>
                <w:lang w:val="nl-BE" w:eastAsia="nl-BE"/>
              </w:rPr>
            </w:pPr>
            <w:r w:rsidRPr="002474ED">
              <w:rPr>
                <w:rFonts w:ascii="Verdana" w:hAnsi="Verdana" w:cs="Calibri"/>
                <w:i/>
                <w:iCs/>
                <w:color w:val="000000"/>
                <w:sz w:val="16"/>
                <w:szCs w:val="16"/>
                <w:lang w:val="en-GB" w:eastAsia="nl-BE"/>
              </w:rPr>
              <w:t>60,00%</w:t>
            </w:r>
          </w:p>
        </w:tc>
        <w:tc>
          <w:tcPr>
            <w:tcW w:w="622" w:type="pct"/>
            <w:tcBorders>
              <w:top w:val="nil"/>
              <w:left w:val="nil"/>
              <w:bottom w:val="single" w:sz="12" w:space="0" w:color="008080"/>
              <w:right w:val="nil"/>
            </w:tcBorders>
            <w:shd w:val="clear" w:color="000000" w:fill="FFFFFF"/>
            <w:vAlign w:val="center"/>
            <w:hideMark/>
          </w:tcPr>
          <w:p w:rsidR="002474ED" w:rsidRPr="002474ED" w:rsidRDefault="002474ED" w:rsidP="00E75531">
            <w:pPr>
              <w:jc w:val="both"/>
              <w:rPr>
                <w:rFonts w:ascii="Verdana" w:hAnsi="Verdana" w:cs="Calibri"/>
                <w:color w:val="000000"/>
                <w:sz w:val="16"/>
                <w:szCs w:val="16"/>
                <w:lang w:val="nl-BE" w:eastAsia="nl-BE"/>
              </w:rPr>
            </w:pPr>
            <w:r w:rsidRPr="002474ED">
              <w:rPr>
                <w:rFonts w:ascii="Verdana" w:hAnsi="Verdana" w:cs="Calibri"/>
                <w:color w:val="000000"/>
                <w:sz w:val="16"/>
                <w:szCs w:val="16"/>
                <w:lang w:val="en-GB" w:eastAsia="nl-BE"/>
              </w:rPr>
              <w:t>-</w:t>
            </w:r>
          </w:p>
        </w:tc>
        <w:tc>
          <w:tcPr>
            <w:tcW w:w="487" w:type="pct"/>
            <w:tcBorders>
              <w:top w:val="nil"/>
              <w:left w:val="nil"/>
              <w:bottom w:val="single" w:sz="12" w:space="0" w:color="008080"/>
              <w:right w:val="nil"/>
            </w:tcBorders>
            <w:shd w:val="clear" w:color="000000" w:fill="FFFFFF"/>
            <w:vAlign w:val="center"/>
            <w:hideMark/>
          </w:tcPr>
          <w:p w:rsidR="002474ED" w:rsidRPr="002474ED" w:rsidRDefault="002474ED" w:rsidP="00E75531">
            <w:pPr>
              <w:jc w:val="both"/>
              <w:rPr>
                <w:rFonts w:ascii="Verdana" w:hAnsi="Verdana" w:cs="Calibri"/>
                <w:i/>
                <w:iCs/>
                <w:color w:val="000000"/>
                <w:sz w:val="16"/>
                <w:szCs w:val="16"/>
                <w:lang w:val="nl-BE" w:eastAsia="nl-BE"/>
              </w:rPr>
            </w:pPr>
            <w:r w:rsidRPr="002474ED">
              <w:rPr>
                <w:rFonts w:ascii="Verdana" w:hAnsi="Verdana" w:cs="Calibri"/>
                <w:i/>
                <w:iCs/>
                <w:color w:val="000000"/>
                <w:sz w:val="16"/>
                <w:szCs w:val="16"/>
                <w:lang w:val="en-GB" w:eastAsia="nl-BE"/>
              </w:rPr>
              <w:t>-</w:t>
            </w:r>
          </w:p>
        </w:tc>
        <w:tc>
          <w:tcPr>
            <w:tcW w:w="687" w:type="pct"/>
            <w:tcBorders>
              <w:top w:val="nil"/>
              <w:left w:val="nil"/>
              <w:bottom w:val="single" w:sz="12" w:space="0" w:color="008080"/>
              <w:right w:val="nil"/>
            </w:tcBorders>
            <w:shd w:val="clear" w:color="000000" w:fill="FDE9D9"/>
            <w:vAlign w:val="center"/>
            <w:hideMark/>
          </w:tcPr>
          <w:p w:rsidR="002474ED" w:rsidRPr="007A72E0" w:rsidRDefault="002474ED" w:rsidP="00E75531">
            <w:pPr>
              <w:jc w:val="both"/>
              <w:rPr>
                <w:rFonts w:ascii="Verdana" w:hAnsi="Verdana" w:cs="Calibri"/>
                <w:color w:val="FF0000"/>
                <w:sz w:val="16"/>
                <w:szCs w:val="16"/>
                <w:lang w:val="nl-BE" w:eastAsia="nl-BE"/>
              </w:rPr>
            </w:pPr>
            <w:r w:rsidRPr="007A72E0">
              <w:rPr>
                <w:rFonts w:ascii="Verdana" w:hAnsi="Verdana" w:cs="Calibri"/>
                <w:color w:val="FF0000"/>
                <w:sz w:val="16"/>
                <w:szCs w:val="16"/>
                <w:lang w:val="en-GB" w:eastAsia="nl-BE"/>
              </w:rPr>
              <w:t>-</w:t>
            </w:r>
          </w:p>
        </w:tc>
        <w:tc>
          <w:tcPr>
            <w:tcW w:w="536" w:type="pct"/>
            <w:tcBorders>
              <w:top w:val="nil"/>
              <w:left w:val="nil"/>
              <w:bottom w:val="single" w:sz="12" w:space="0" w:color="008080"/>
              <w:right w:val="single" w:sz="12" w:space="0" w:color="auto"/>
            </w:tcBorders>
            <w:shd w:val="clear" w:color="000000" w:fill="FFFFFF"/>
            <w:vAlign w:val="center"/>
            <w:hideMark/>
          </w:tcPr>
          <w:p w:rsidR="002474ED" w:rsidRPr="002474ED" w:rsidRDefault="002474ED" w:rsidP="00E75531">
            <w:pPr>
              <w:jc w:val="both"/>
              <w:rPr>
                <w:rFonts w:ascii="Verdana" w:hAnsi="Verdana" w:cs="Calibri"/>
                <w:i/>
                <w:iCs/>
                <w:color w:val="000000"/>
                <w:sz w:val="16"/>
                <w:szCs w:val="16"/>
                <w:lang w:val="nl-BE" w:eastAsia="nl-BE"/>
              </w:rPr>
            </w:pPr>
            <w:r w:rsidRPr="002474ED">
              <w:rPr>
                <w:rFonts w:ascii="Verdana" w:hAnsi="Verdana" w:cs="Calibri"/>
                <w:i/>
                <w:iCs/>
                <w:color w:val="000000"/>
                <w:sz w:val="16"/>
                <w:szCs w:val="16"/>
                <w:lang w:val="en-GB" w:eastAsia="nl-BE"/>
              </w:rPr>
              <w:t>-</w:t>
            </w:r>
          </w:p>
        </w:tc>
      </w:tr>
      <w:tr w:rsidR="002474ED" w:rsidRPr="002474ED" w:rsidTr="00455D81">
        <w:trPr>
          <w:trHeight w:val="330"/>
        </w:trPr>
        <w:tc>
          <w:tcPr>
            <w:tcW w:w="627" w:type="pct"/>
            <w:tcBorders>
              <w:top w:val="nil"/>
              <w:left w:val="single" w:sz="12" w:space="0" w:color="008080"/>
              <w:bottom w:val="single" w:sz="12" w:space="0" w:color="008080"/>
              <w:right w:val="nil"/>
            </w:tcBorders>
            <w:shd w:val="clear" w:color="auto" w:fill="auto"/>
            <w:vAlign w:val="center"/>
            <w:hideMark/>
          </w:tcPr>
          <w:p w:rsidR="002474ED" w:rsidRPr="002474ED" w:rsidRDefault="002474ED" w:rsidP="00E75531">
            <w:pPr>
              <w:jc w:val="both"/>
              <w:rPr>
                <w:rFonts w:ascii="Verdana" w:hAnsi="Verdana" w:cs="Calibri"/>
                <w:b/>
                <w:bCs/>
                <w:color w:val="808080"/>
                <w:sz w:val="16"/>
                <w:szCs w:val="16"/>
                <w:lang w:val="nl-BE" w:eastAsia="nl-BE"/>
              </w:rPr>
            </w:pPr>
            <w:r w:rsidRPr="002474ED">
              <w:rPr>
                <w:rFonts w:ascii="Verdana" w:hAnsi="Verdana" w:cs="Calibri"/>
                <w:b/>
                <w:bCs/>
                <w:color w:val="808080"/>
                <w:sz w:val="16"/>
                <w:szCs w:val="16"/>
                <w:lang w:eastAsia="nl-BE"/>
              </w:rPr>
              <w:t>TOTAAL</w:t>
            </w:r>
          </w:p>
        </w:tc>
        <w:tc>
          <w:tcPr>
            <w:tcW w:w="547" w:type="pct"/>
            <w:tcBorders>
              <w:top w:val="nil"/>
              <w:left w:val="nil"/>
              <w:bottom w:val="single" w:sz="12" w:space="0" w:color="008080"/>
              <w:right w:val="nil"/>
            </w:tcBorders>
            <w:shd w:val="clear" w:color="000000" w:fill="FFFFFF"/>
            <w:vAlign w:val="center"/>
            <w:hideMark/>
          </w:tcPr>
          <w:p w:rsidR="002474ED" w:rsidRPr="002474ED" w:rsidRDefault="002474ED" w:rsidP="00E75531">
            <w:pPr>
              <w:jc w:val="both"/>
              <w:rPr>
                <w:rFonts w:ascii="Verdana" w:hAnsi="Verdana" w:cs="Calibri"/>
                <w:b/>
                <w:bCs/>
                <w:color w:val="808080"/>
                <w:sz w:val="16"/>
                <w:szCs w:val="16"/>
                <w:lang w:val="nl-BE" w:eastAsia="nl-BE"/>
              </w:rPr>
            </w:pPr>
            <w:r w:rsidRPr="002474ED">
              <w:rPr>
                <w:rFonts w:ascii="Verdana" w:hAnsi="Verdana" w:cs="Calibri"/>
                <w:b/>
                <w:bCs/>
                <w:color w:val="808080"/>
                <w:sz w:val="16"/>
                <w:szCs w:val="16"/>
                <w:lang w:eastAsia="nl-BE"/>
              </w:rPr>
              <w:t>104.705.962</w:t>
            </w:r>
          </w:p>
        </w:tc>
        <w:tc>
          <w:tcPr>
            <w:tcW w:w="468" w:type="pct"/>
            <w:tcBorders>
              <w:top w:val="nil"/>
              <w:left w:val="nil"/>
              <w:bottom w:val="single" w:sz="12" w:space="0" w:color="008080"/>
              <w:right w:val="nil"/>
            </w:tcBorders>
            <w:shd w:val="clear" w:color="000000" w:fill="FFFFFF"/>
            <w:vAlign w:val="center"/>
            <w:hideMark/>
          </w:tcPr>
          <w:p w:rsidR="002474ED" w:rsidRPr="002474ED" w:rsidRDefault="002474ED" w:rsidP="00E75531">
            <w:pPr>
              <w:jc w:val="both"/>
              <w:rPr>
                <w:rFonts w:ascii="Verdana" w:hAnsi="Verdana" w:cs="Calibri"/>
                <w:b/>
                <w:bCs/>
                <w:color w:val="808080"/>
                <w:sz w:val="16"/>
                <w:szCs w:val="16"/>
                <w:lang w:val="nl-BE" w:eastAsia="nl-BE"/>
              </w:rPr>
            </w:pPr>
            <w:r w:rsidRPr="002474ED">
              <w:rPr>
                <w:rFonts w:ascii="Verdana" w:hAnsi="Verdana" w:cs="Calibri"/>
                <w:b/>
                <w:bCs/>
                <w:color w:val="808080"/>
                <w:sz w:val="16"/>
                <w:szCs w:val="16"/>
                <w:lang w:eastAsia="nl-BE"/>
              </w:rPr>
              <w:t>102.459.362</w:t>
            </w:r>
          </w:p>
        </w:tc>
        <w:tc>
          <w:tcPr>
            <w:tcW w:w="532" w:type="pct"/>
            <w:tcBorders>
              <w:top w:val="nil"/>
              <w:left w:val="nil"/>
              <w:bottom w:val="single" w:sz="12" w:space="0" w:color="008080"/>
              <w:right w:val="nil"/>
            </w:tcBorders>
            <w:shd w:val="clear" w:color="000000" w:fill="FFFFFF"/>
            <w:vAlign w:val="center"/>
            <w:hideMark/>
          </w:tcPr>
          <w:p w:rsidR="002474ED" w:rsidRPr="002474ED" w:rsidRDefault="002474ED" w:rsidP="00E75531">
            <w:pPr>
              <w:jc w:val="both"/>
              <w:rPr>
                <w:rFonts w:ascii="Verdana" w:hAnsi="Verdana" w:cs="Calibri"/>
                <w:b/>
                <w:bCs/>
                <w:color w:val="808080"/>
                <w:sz w:val="16"/>
                <w:szCs w:val="16"/>
                <w:lang w:val="nl-BE" w:eastAsia="nl-BE"/>
              </w:rPr>
            </w:pPr>
            <w:r w:rsidRPr="002474ED">
              <w:rPr>
                <w:rFonts w:ascii="Verdana" w:hAnsi="Verdana" w:cs="Calibri"/>
                <w:b/>
                <w:bCs/>
                <w:color w:val="808080"/>
                <w:sz w:val="16"/>
                <w:szCs w:val="16"/>
                <w:lang w:val="nl-BE" w:eastAsia="nl-BE"/>
              </w:rPr>
              <w:t>85.573.305</w:t>
            </w:r>
          </w:p>
        </w:tc>
        <w:tc>
          <w:tcPr>
            <w:tcW w:w="493" w:type="pct"/>
            <w:tcBorders>
              <w:top w:val="nil"/>
              <w:left w:val="nil"/>
              <w:bottom w:val="single" w:sz="12" w:space="0" w:color="008080"/>
              <w:right w:val="nil"/>
            </w:tcBorders>
            <w:shd w:val="clear" w:color="000000" w:fill="FFFFFF"/>
            <w:vAlign w:val="center"/>
            <w:hideMark/>
          </w:tcPr>
          <w:p w:rsidR="002474ED" w:rsidRPr="002474ED" w:rsidRDefault="002474ED" w:rsidP="00E75531">
            <w:pPr>
              <w:jc w:val="both"/>
              <w:rPr>
                <w:rFonts w:ascii="Verdana" w:hAnsi="Verdana" w:cs="Calibri"/>
                <w:b/>
                <w:bCs/>
                <w:i/>
                <w:iCs/>
                <w:color w:val="808080"/>
                <w:sz w:val="16"/>
                <w:szCs w:val="16"/>
                <w:lang w:val="nl-BE" w:eastAsia="nl-BE"/>
              </w:rPr>
            </w:pPr>
            <w:r w:rsidRPr="002474ED">
              <w:rPr>
                <w:rFonts w:ascii="Verdana" w:hAnsi="Verdana" w:cs="Calibri"/>
                <w:b/>
                <w:bCs/>
                <w:i/>
                <w:iCs/>
                <w:color w:val="808080"/>
                <w:sz w:val="16"/>
                <w:szCs w:val="16"/>
                <w:lang w:eastAsia="nl-BE"/>
              </w:rPr>
              <w:t>81,70%</w:t>
            </w:r>
          </w:p>
        </w:tc>
        <w:tc>
          <w:tcPr>
            <w:tcW w:w="622" w:type="pct"/>
            <w:tcBorders>
              <w:top w:val="nil"/>
              <w:left w:val="nil"/>
              <w:bottom w:val="single" w:sz="12" w:space="0" w:color="008080"/>
              <w:right w:val="nil"/>
            </w:tcBorders>
            <w:shd w:val="clear" w:color="000000" w:fill="FFFFFF"/>
            <w:vAlign w:val="center"/>
            <w:hideMark/>
          </w:tcPr>
          <w:p w:rsidR="002474ED" w:rsidRPr="002474ED" w:rsidRDefault="002474ED" w:rsidP="00E75531">
            <w:pPr>
              <w:jc w:val="both"/>
              <w:rPr>
                <w:rFonts w:ascii="Verdana" w:hAnsi="Verdana" w:cs="Calibri"/>
                <w:b/>
                <w:bCs/>
                <w:color w:val="808080"/>
                <w:sz w:val="16"/>
                <w:szCs w:val="16"/>
                <w:lang w:val="nl-BE" w:eastAsia="nl-BE"/>
              </w:rPr>
            </w:pPr>
            <w:r w:rsidRPr="002474ED">
              <w:rPr>
                <w:rFonts w:ascii="Verdana" w:hAnsi="Verdana" w:cs="Calibri"/>
                <w:b/>
                <w:bCs/>
                <w:color w:val="808080"/>
                <w:sz w:val="16"/>
                <w:szCs w:val="16"/>
                <w:lang w:val="nl-BE" w:eastAsia="nl-BE"/>
              </w:rPr>
              <w:t>8.477.698</w:t>
            </w:r>
          </w:p>
        </w:tc>
        <w:tc>
          <w:tcPr>
            <w:tcW w:w="487" w:type="pct"/>
            <w:tcBorders>
              <w:top w:val="nil"/>
              <w:left w:val="nil"/>
              <w:bottom w:val="single" w:sz="12" w:space="0" w:color="008080"/>
              <w:right w:val="nil"/>
            </w:tcBorders>
            <w:shd w:val="clear" w:color="000000" w:fill="FFFFFF"/>
            <w:vAlign w:val="center"/>
            <w:hideMark/>
          </w:tcPr>
          <w:p w:rsidR="002474ED" w:rsidRPr="002474ED" w:rsidRDefault="002474ED" w:rsidP="00E75531">
            <w:pPr>
              <w:jc w:val="both"/>
              <w:rPr>
                <w:rFonts w:ascii="Verdana" w:hAnsi="Verdana" w:cs="Calibri"/>
                <w:b/>
                <w:bCs/>
                <w:i/>
                <w:iCs/>
                <w:color w:val="808080"/>
                <w:sz w:val="16"/>
                <w:szCs w:val="16"/>
                <w:lang w:val="nl-BE" w:eastAsia="nl-BE"/>
              </w:rPr>
            </w:pPr>
            <w:r w:rsidRPr="002474ED">
              <w:rPr>
                <w:rFonts w:ascii="Verdana" w:hAnsi="Verdana" w:cs="Calibri"/>
                <w:b/>
                <w:bCs/>
                <w:i/>
                <w:iCs/>
                <w:color w:val="808080"/>
                <w:sz w:val="16"/>
                <w:szCs w:val="16"/>
                <w:lang w:val="nl-BE" w:eastAsia="nl-BE"/>
              </w:rPr>
              <w:t>8,30%</w:t>
            </w:r>
          </w:p>
        </w:tc>
        <w:tc>
          <w:tcPr>
            <w:tcW w:w="687" w:type="pct"/>
            <w:tcBorders>
              <w:top w:val="nil"/>
              <w:left w:val="nil"/>
              <w:bottom w:val="single" w:sz="12" w:space="0" w:color="008080"/>
              <w:right w:val="nil"/>
            </w:tcBorders>
            <w:shd w:val="clear" w:color="000000" w:fill="FDE9D9"/>
            <w:vAlign w:val="center"/>
            <w:hideMark/>
          </w:tcPr>
          <w:p w:rsidR="002474ED" w:rsidRPr="007A72E0" w:rsidRDefault="002474ED" w:rsidP="00E75531">
            <w:pPr>
              <w:jc w:val="both"/>
              <w:rPr>
                <w:rFonts w:ascii="Verdana" w:hAnsi="Verdana" w:cs="Calibri"/>
                <w:color w:val="FF0000"/>
                <w:sz w:val="16"/>
                <w:szCs w:val="16"/>
                <w:lang w:val="nl-BE" w:eastAsia="nl-BE"/>
              </w:rPr>
            </w:pPr>
            <w:r w:rsidRPr="007A72E0">
              <w:rPr>
                <w:rFonts w:ascii="Verdana" w:hAnsi="Verdana" w:cs="Calibri"/>
                <w:color w:val="FF0000"/>
                <w:sz w:val="16"/>
                <w:szCs w:val="16"/>
                <w:lang w:val="nl-BE" w:eastAsia="nl-BE"/>
              </w:rPr>
              <w:t>18.216.520</w:t>
            </w:r>
          </w:p>
        </w:tc>
        <w:tc>
          <w:tcPr>
            <w:tcW w:w="536" w:type="pct"/>
            <w:tcBorders>
              <w:top w:val="nil"/>
              <w:left w:val="nil"/>
              <w:bottom w:val="single" w:sz="12" w:space="0" w:color="008080"/>
              <w:right w:val="single" w:sz="12" w:space="0" w:color="auto"/>
            </w:tcBorders>
            <w:shd w:val="clear" w:color="000000" w:fill="FFFFFF"/>
            <w:vAlign w:val="center"/>
            <w:hideMark/>
          </w:tcPr>
          <w:p w:rsidR="002474ED" w:rsidRPr="002474ED" w:rsidRDefault="002474ED" w:rsidP="00E75531">
            <w:pPr>
              <w:jc w:val="both"/>
              <w:rPr>
                <w:rFonts w:ascii="Verdana" w:hAnsi="Verdana" w:cs="Calibri"/>
                <w:b/>
                <w:bCs/>
                <w:i/>
                <w:iCs/>
                <w:color w:val="808080"/>
                <w:sz w:val="16"/>
                <w:szCs w:val="16"/>
                <w:lang w:val="nl-BE" w:eastAsia="nl-BE"/>
              </w:rPr>
            </w:pPr>
            <w:r w:rsidRPr="002474ED">
              <w:rPr>
                <w:rFonts w:ascii="Verdana" w:hAnsi="Verdana" w:cs="Calibri"/>
                <w:b/>
                <w:bCs/>
                <w:i/>
                <w:iCs/>
                <w:color w:val="808080"/>
                <w:sz w:val="16"/>
                <w:szCs w:val="16"/>
                <w:lang w:eastAsia="nl-BE"/>
              </w:rPr>
              <w:t>21,30%</w:t>
            </w:r>
          </w:p>
        </w:tc>
      </w:tr>
    </w:tbl>
    <w:p w:rsidR="002474ED" w:rsidRDefault="002474ED" w:rsidP="00E75531">
      <w:pPr>
        <w:pStyle w:val="StandaardSV"/>
        <w:ind w:left="360"/>
      </w:pPr>
    </w:p>
    <w:p w:rsidR="007503AC" w:rsidRPr="00313FAD" w:rsidRDefault="007503AC" w:rsidP="00E75531">
      <w:pPr>
        <w:pStyle w:val="StandaardSV"/>
      </w:pPr>
    </w:p>
    <w:p w:rsidR="00C858DC" w:rsidRDefault="00C858DC" w:rsidP="00E75531">
      <w:pPr>
        <w:pStyle w:val="StandaardSV"/>
        <w:numPr>
          <w:ilvl w:val="0"/>
          <w:numId w:val="18"/>
        </w:numPr>
        <w:sectPr w:rsidR="00C858DC" w:rsidSect="002735D4">
          <w:pgSz w:w="16838" w:h="11906" w:orient="landscape"/>
          <w:pgMar w:top="1418" w:right="1418" w:bottom="1418" w:left="1418" w:header="709" w:footer="709" w:gutter="0"/>
          <w:cols w:space="708"/>
        </w:sectPr>
      </w:pPr>
    </w:p>
    <w:p w:rsidR="00EC7CDE" w:rsidRPr="00FA7668" w:rsidRDefault="00EC7CDE" w:rsidP="00E75531">
      <w:pPr>
        <w:pStyle w:val="StandaardSV"/>
        <w:numPr>
          <w:ilvl w:val="0"/>
          <w:numId w:val="25"/>
        </w:numPr>
      </w:pPr>
      <w:r w:rsidRPr="00FA7668">
        <w:lastRenderedPageBreak/>
        <w:t xml:space="preserve">Zoals toegelicht in </w:t>
      </w:r>
      <w:r w:rsidR="00FA7668">
        <w:t>het antwoord op deelvraag 1</w:t>
      </w:r>
      <w:r w:rsidRPr="00FA7668">
        <w:t xml:space="preserve"> heeft het ARKimedes-Fonds geen tussentijdse inkomsten, moet zij wachten tot wanneer de ARKIV</w:t>
      </w:r>
      <w:r w:rsidR="00344DD7" w:rsidRPr="00FA7668">
        <w:t>’</w:t>
      </w:r>
      <w:r w:rsidRPr="00FA7668">
        <w:t xml:space="preserve">s </w:t>
      </w:r>
      <w:r w:rsidR="00344DD7" w:rsidRPr="00FA7668">
        <w:t xml:space="preserve">hun </w:t>
      </w:r>
      <w:r w:rsidRPr="00FA7668">
        <w:t xml:space="preserve">participarties </w:t>
      </w:r>
      <w:r w:rsidR="00880808" w:rsidRPr="00FA7668">
        <w:t xml:space="preserve">in doorgaans jonge ondernemingen </w:t>
      </w:r>
      <w:r w:rsidRPr="00FA7668">
        <w:t>met winst verzilveren</w:t>
      </w:r>
      <w:r w:rsidR="00880808" w:rsidRPr="00FA7668">
        <w:t xml:space="preserve">, maar </w:t>
      </w:r>
      <w:r w:rsidR="00344DD7" w:rsidRPr="00FA7668">
        <w:t xml:space="preserve">boekt </w:t>
      </w:r>
      <w:r w:rsidR="00880808" w:rsidRPr="00FA7668">
        <w:t xml:space="preserve">zij inmiddels wel </w:t>
      </w:r>
      <w:r w:rsidR="000C3D68" w:rsidRPr="00FA7668">
        <w:t>de</w:t>
      </w:r>
      <w:r w:rsidR="00880808" w:rsidRPr="00FA7668">
        <w:t xml:space="preserve"> gebruikelijke werkingskosten en voorzichtigheids</w:t>
      </w:r>
      <w:r w:rsidR="00F75DE9" w:rsidRPr="00FA7668">
        <w:t>halve</w:t>
      </w:r>
      <w:r w:rsidR="00880808" w:rsidRPr="00FA7668">
        <w:t xml:space="preserve"> waardeverminderingen op ARKIV</w:t>
      </w:r>
      <w:r w:rsidR="00344DD7" w:rsidRPr="00FA7668">
        <w:t>’</w:t>
      </w:r>
      <w:r w:rsidR="00880808" w:rsidRPr="00FA7668">
        <w:t xml:space="preserve">s </w:t>
      </w:r>
      <w:r w:rsidR="00AE252F" w:rsidRPr="00FA7668">
        <w:t>(</w:t>
      </w:r>
      <w:r w:rsidR="00344DD7" w:rsidRPr="00FA7668">
        <w:t xml:space="preserve">en dit </w:t>
      </w:r>
      <w:r w:rsidR="00AE252F" w:rsidRPr="00FA7668">
        <w:t xml:space="preserve">laatste </w:t>
      </w:r>
      <w:r w:rsidR="00880808" w:rsidRPr="00FA7668">
        <w:t>los van het financieel plan van elke onderliggende ARKIV</w:t>
      </w:r>
      <w:r w:rsidR="00AE252F" w:rsidRPr="00FA7668">
        <w:t>)</w:t>
      </w:r>
      <w:r w:rsidR="00880808" w:rsidRPr="00FA7668">
        <w:t>.</w:t>
      </w:r>
    </w:p>
    <w:p w:rsidR="00EC7CDE" w:rsidRPr="00FA7668" w:rsidRDefault="00EC7CDE" w:rsidP="00E75531">
      <w:pPr>
        <w:pStyle w:val="StandaardSV"/>
        <w:ind w:left="360"/>
      </w:pPr>
    </w:p>
    <w:p w:rsidR="00313FAD" w:rsidRPr="00FA7668" w:rsidRDefault="00880808" w:rsidP="00E75531">
      <w:pPr>
        <w:pStyle w:val="StandaardSV"/>
        <w:ind w:left="360"/>
      </w:pPr>
      <w:r w:rsidRPr="00FA7668">
        <w:t>Dientengevolge zullen de</w:t>
      </w:r>
      <w:r w:rsidR="00CB6989" w:rsidRPr="00FA7668">
        <w:t xml:space="preserve"> resultaten van het ARKimedes-Fonds nv als dakfonds pas</w:t>
      </w:r>
      <w:r w:rsidR="005748C7">
        <w:t xml:space="preserve"> meer definitieve</w:t>
      </w:r>
      <w:r w:rsidR="00CB6989" w:rsidRPr="00FA7668">
        <w:t xml:space="preserve"> vorm krijgen naar </w:t>
      </w:r>
      <w:r w:rsidRPr="00FA7668">
        <w:t>d</w:t>
      </w:r>
      <w:r w:rsidR="00910FCD" w:rsidRPr="00FA7668">
        <w:t>e</w:t>
      </w:r>
      <w:r w:rsidR="00CB6989" w:rsidRPr="00FA7668">
        <w:t xml:space="preserve"> eind</w:t>
      </w:r>
      <w:r w:rsidR="00C858DC" w:rsidRPr="00FA7668">
        <w:t>datum (31 december 2018),</w:t>
      </w:r>
      <w:r w:rsidR="00CB6989" w:rsidRPr="00FA7668">
        <w:t xml:space="preserve"> </w:t>
      </w:r>
      <w:r w:rsidR="00192E13" w:rsidRPr="00FA7668">
        <w:t>naarmate</w:t>
      </w:r>
      <w:r w:rsidR="00CB6989" w:rsidRPr="00FA7668">
        <w:t xml:space="preserve"> de ARKIV’s hun resterende participaties met winst kunnen verzilveren.</w:t>
      </w:r>
    </w:p>
    <w:p w:rsidR="00CB6989" w:rsidRPr="00FA7668" w:rsidRDefault="00CB6989" w:rsidP="00E75531">
      <w:pPr>
        <w:pStyle w:val="StandaardSV"/>
        <w:ind w:left="360"/>
      </w:pPr>
    </w:p>
    <w:p w:rsidR="00344DD7" w:rsidRPr="00FA7668" w:rsidRDefault="00192E13" w:rsidP="00E75531">
      <w:pPr>
        <w:pStyle w:val="StandaardSV"/>
        <w:ind w:left="360"/>
      </w:pPr>
      <w:r w:rsidRPr="00FA7668">
        <w:t xml:space="preserve">Daarbij </w:t>
      </w:r>
      <w:r w:rsidR="005748C7">
        <w:t>kunnen we vaststellen</w:t>
      </w:r>
      <w:r w:rsidR="00CB6989" w:rsidRPr="00FA7668">
        <w:t xml:space="preserve"> dat ook de doelondernemingen de impact van de aanhoudende economische crisis ondergaan</w:t>
      </w:r>
      <w:r w:rsidR="00C858DC" w:rsidRPr="00FA7668">
        <w:t>,</w:t>
      </w:r>
      <w:r w:rsidR="00CB6989" w:rsidRPr="00FA7668">
        <w:t xml:space="preserve"> wat maakt dat ARKIV</w:t>
      </w:r>
      <w:r w:rsidR="00910FCD" w:rsidRPr="00FA7668">
        <w:t>’</w:t>
      </w:r>
      <w:r w:rsidR="00CB6989" w:rsidRPr="00FA7668">
        <w:t xml:space="preserve">s </w:t>
      </w:r>
      <w:r w:rsidR="00910FCD" w:rsidRPr="00FA7668">
        <w:t xml:space="preserve">sinds 2009 </w:t>
      </w:r>
      <w:r w:rsidR="00CB6989" w:rsidRPr="00FA7668">
        <w:t>hun zw</w:t>
      </w:r>
      <w:r w:rsidR="00CC7CE6" w:rsidRPr="00FA7668">
        <w:t>a</w:t>
      </w:r>
      <w:r w:rsidR="00CB6989" w:rsidRPr="00FA7668">
        <w:t xml:space="preserve">kste dossiers sneller </w:t>
      </w:r>
      <w:r w:rsidR="005748C7">
        <w:t>te desinvesteren al dan niet vrijwillig,</w:t>
      </w:r>
      <w:r w:rsidR="00CB6989" w:rsidRPr="00FA7668">
        <w:t xml:space="preserve"> teneinde hun middelen in te zetten op deze </w:t>
      </w:r>
      <w:r w:rsidR="00910FCD" w:rsidRPr="00FA7668">
        <w:t>doel</w:t>
      </w:r>
      <w:r w:rsidR="00CB6989" w:rsidRPr="00FA7668">
        <w:t xml:space="preserve">ondernemingen met de beste toekomstvooruitzichten. </w:t>
      </w:r>
    </w:p>
    <w:p w:rsidR="00910FCD" w:rsidRPr="00FA7668" w:rsidRDefault="00910FCD" w:rsidP="00E75531">
      <w:pPr>
        <w:pStyle w:val="StandaardSV"/>
        <w:ind w:left="360"/>
      </w:pPr>
    </w:p>
    <w:p w:rsidR="00910FCD" w:rsidRPr="00FA7668" w:rsidRDefault="00CB6989" w:rsidP="00E75531">
      <w:pPr>
        <w:pStyle w:val="StandaardSV"/>
        <w:ind w:left="360"/>
      </w:pPr>
      <w:r w:rsidRPr="00FA7668">
        <w:t xml:space="preserve">En voorts heeft de economische crisis ook de exit-window voor de ARKIV’s een stuk in tijd </w:t>
      </w:r>
      <w:r w:rsidR="005748C7">
        <w:t>achter</w:t>
      </w:r>
      <w:r w:rsidRPr="00FA7668">
        <w:t xml:space="preserve">uit geschoven alsmede beperkt </w:t>
      </w:r>
      <w:r w:rsidR="00910FCD" w:rsidRPr="00FA7668">
        <w:t xml:space="preserve">qua aantal kanalen. Op vandaag is de exit via een handelsverkoop de enige gangbare piste en ook hier </w:t>
      </w:r>
      <w:r w:rsidR="00192E13" w:rsidRPr="00FA7668">
        <w:t xml:space="preserve">springen </w:t>
      </w:r>
      <w:r w:rsidR="00910FCD" w:rsidRPr="00FA7668">
        <w:t>heel wat potentiële kandidaat</w:t>
      </w:r>
      <w:r w:rsidR="00C858DC" w:rsidRPr="00FA7668">
        <w:t>-</w:t>
      </w:r>
      <w:r w:rsidR="00910FCD" w:rsidRPr="00FA7668">
        <w:t xml:space="preserve">kopers </w:t>
      </w:r>
      <w:r w:rsidR="00C858DC" w:rsidRPr="00FA7668">
        <w:t xml:space="preserve">vandaag de dag </w:t>
      </w:r>
      <w:r w:rsidR="009F3CB2" w:rsidRPr="00FA7668">
        <w:t xml:space="preserve">voorzichtig om met hun beschikbare liquiditeiten </w:t>
      </w:r>
      <w:r w:rsidR="00827511" w:rsidRPr="00FA7668">
        <w:t>omwille van</w:t>
      </w:r>
      <w:r w:rsidR="00C858DC" w:rsidRPr="00FA7668">
        <w:t xml:space="preserve"> de</w:t>
      </w:r>
      <w:r w:rsidR="009F3CB2" w:rsidRPr="00FA7668">
        <w:t xml:space="preserve"> crisis.</w:t>
      </w:r>
      <w:r w:rsidR="00192E13" w:rsidRPr="00FA7668">
        <w:t xml:space="preserve"> De </w:t>
      </w:r>
      <w:proofErr w:type="spellStart"/>
      <w:r w:rsidR="00192E13" w:rsidRPr="00FA7668">
        <w:t>ARKIV’s</w:t>
      </w:r>
      <w:proofErr w:type="spellEnd"/>
      <w:r w:rsidR="00192E13" w:rsidRPr="00FA7668">
        <w:t xml:space="preserve"> dienen d</w:t>
      </w:r>
      <w:r w:rsidR="005748C7">
        <w:t>oor al deze factoren</w:t>
      </w:r>
      <w:r w:rsidR="00192E13" w:rsidRPr="00FA7668">
        <w:t xml:space="preserve"> meer middelen per participatie in te zetten.</w:t>
      </w:r>
    </w:p>
    <w:p w:rsidR="009F3CB2" w:rsidRPr="00FA7668" w:rsidRDefault="009F3CB2" w:rsidP="00E75531">
      <w:pPr>
        <w:pStyle w:val="StandaardSV"/>
        <w:ind w:left="360"/>
      </w:pPr>
    </w:p>
    <w:p w:rsidR="00344DD7" w:rsidRPr="00FA7668" w:rsidRDefault="00344DD7" w:rsidP="00E75531">
      <w:pPr>
        <w:pStyle w:val="StandaardSV"/>
        <w:ind w:left="360"/>
      </w:pPr>
      <w:r w:rsidRPr="00FA7668">
        <w:t xml:space="preserve">Het ARKimedes-Fonds volgt de diverse ARKIV’s van nabij op, doch intervenieert </w:t>
      </w:r>
      <w:r w:rsidR="00192E13" w:rsidRPr="00FA7668">
        <w:t xml:space="preserve">als dakfonds </w:t>
      </w:r>
      <w:r w:rsidRPr="00FA7668">
        <w:t>niet in de individuele beslissingen van een ARKIV om al dan niet te investeren of te desinvesteren. Het AR</w:t>
      </w:r>
      <w:r w:rsidR="00192E13" w:rsidRPr="00FA7668">
        <w:t>K</w:t>
      </w:r>
      <w:r w:rsidRPr="00FA7668">
        <w:t>i</w:t>
      </w:r>
      <w:r w:rsidR="00217009" w:rsidRPr="00FA7668">
        <w:t>medes-F</w:t>
      </w:r>
      <w:r w:rsidRPr="00FA7668">
        <w:t xml:space="preserve">onds heeft doorgaans één bestuurder in de raad van bestuur van elke ARKIV van waaruit het de beheerders van de ARKIV’s aanzet om alles in het werk te blijven stellen om hun participaties door de economische crisis te helpen loodsen en </w:t>
      </w:r>
      <w:r w:rsidR="00A245A5" w:rsidRPr="00FA7668">
        <w:t xml:space="preserve">deze op het juiste moment </w:t>
      </w:r>
      <w:r w:rsidRPr="00FA7668">
        <w:t xml:space="preserve">te </w:t>
      </w:r>
      <w:r w:rsidR="00A245A5" w:rsidRPr="00FA7668">
        <w:t xml:space="preserve">proberen </w:t>
      </w:r>
      <w:r w:rsidRPr="00FA7668">
        <w:t xml:space="preserve">valoriseren. </w:t>
      </w:r>
    </w:p>
    <w:p w:rsidR="00827511" w:rsidRPr="00FA7668" w:rsidRDefault="00827511" w:rsidP="00E75531">
      <w:pPr>
        <w:pStyle w:val="StandaardSV"/>
        <w:ind w:left="360"/>
      </w:pPr>
    </w:p>
    <w:p w:rsidR="000C3D68" w:rsidRPr="00FA7668" w:rsidRDefault="00344DD7" w:rsidP="00E75531">
      <w:pPr>
        <w:pStyle w:val="StandaardSV"/>
        <w:ind w:left="360"/>
      </w:pPr>
      <w:r w:rsidRPr="00FA7668">
        <w:t>Het uiteindelijke resultaat van het dakfonds zal pas naar diens einddatum 2018 duidelijk worden.</w:t>
      </w:r>
      <w:r w:rsidR="00192E13" w:rsidRPr="00FA7668">
        <w:t xml:space="preserve"> </w:t>
      </w:r>
      <w:r w:rsidR="005748C7">
        <w:t>Of d</w:t>
      </w:r>
      <w:r w:rsidR="0019161B" w:rsidRPr="00FA7668">
        <w:t>e 90%</w:t>
      </w:r>
      <w:r w:rsidR="001041D4">
        <w:t>-</w:t>
      </w:r>
      <w:r w:rsidR="0019161B" w:rsidRPr="00FA7668">
        <w:t xml:space="preserve">waarborg </w:t>
      </w:r>
      <w:r w:rsidR="005748C7">
        <w:t>zal worden afgeroepen is nog niet duidelijk</w:t>
      </w:r>
      <w:r w:rsidR="0019161B" w:rsidRPr="00FA7668">
        <w:t xml:space="preserve">, doch </w:t>
      </w:r>
      <w:r w:rsidR="00A245A5" w:rsidRPr="00FA7668">
        <w:t xml:space="preserve">dit </w:t>
      </w:r>
      <w:r w:rsidR="005748C7">
        <w:t>dient</w:t>
      </w:r>
      <w:r w:rsidR="00A245A5" w:rsidRPr="00FA7668">
        <w:t xml:space="preserve"> o</w:t>
      </w:r>
      <w:r w:rsidR="0019161B" w:rsidRPr="00FA7668">
        <w:t>p</w:t>
      </w:r>
      <w:r w:rsidR="005748C7">
        <w:t>ge</w:t>
      </w:r>
      <w:r w:rsidR="0019161B" w:rsidRPr="00FA7668">
        <w:t>volg</w:t>
      </w:r>
      <w:r w:rsidR="005748C7">
        <w:t>d te worden o.a.</w:t>
      </w:r>
      <w:r w:rsidR="0019161B" w:rsidRPr="00FA7668">
        <w:t xml:space="preserve"> in functie van de duur en verdere impact van de economische crisis.</w:t>
      </w:r>
      <w:r w:rsidR="000C3D68" w:rsidRPr="00FA7668">
        <w:t xml:space="preserve"> </w:t>
      </w:r>
    </w:p>
    <w:p w:rsidR="0019161B" w:rsidRPr="00FA7668" w:rsidRDefault="0019161B" w:rsidP="00E75531">
      <w:pPr>
        <w:pStyle w:val="StandaardSV"/>
        <w:ind w:left="360"/>
      </w:pPr>
    </w:p>
    <w:p w:rsidR="0019161B" w:rsidRPr="00FA7668" w:rsidRDefault="0019161B" w:rsidP="00E75531">
      <w:pPr>
        <w:pStyle w:val="StandaardSV"/>
        <w:ind w:left="360"/>
      </w:pPr>
      <w:r w:rsidRPr="00FA7668">
        <w:t xml:space="preserve">Ook het aantal private marktspelers voor vervolgfinanciering voor investeringsrondes tot 8 </w:t>
      </w:r>
      <w:r w:rsidR="001041D4">
        <w:t>miljoen</w:t>
      </w:r>
      <w:r w:rsidRPr="00FA7668">
        <w:t xml:space="preserve"> euro is ten gevolge van de economische crisis zeer dun </w:t>
      </w:r>
      <w:r w:rsidR="005748C7">
        <w:t>g</w:t>
      </w:r>
      <w:r w:rsidRPr="00FA7668">
        <w:t>ezaaid en een aandachtspunt.</w:t>
      </w:r>
    </w:p>
    <w:p w:rsidR="006F29F5" w:rsidRDefault="006F29F5" w:rsidP="00E75531">
      <w:pPr>
        <w:pStyle w:val="StandaardSV"/>
      </w:pPr>
    </w:p>
    <w:sectPr w:rsidR="006F29F5" w:rsidSect="00C858DC">
      <w:pgSz w:w="11906" w:h="16838"/>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Tahoma"/>
        <w:sz w:val="18"/>
        <w:szCs w:val="18"/>
      </w:rPr>
    </w:lvl>
    <w:lvl w:ilvl="1">
      <w:start w:val="1"/>
      <w:numFmt w:val="bullet"/>
      <w:lvlText w:val=""/>
      <w:lvlJc w:val="left"/>
      <w:pPr>
        <w:tabs>
          <w:tab w:val="num" w:pos="1080"/>
        </w:tabs>
        <w:ind w:left="1080" w:hanging="360"/>
      </w:pPr>
      <w:rPr>
        <w:rFonts w:ascii="Wingdings" w:hAnsi="Wingdings" w:cs="Tahoma"/>
        <w:sz w:val="18"/>
        <w:szCs w:val="18"/>
      </w:rPr>
    </w:lvl>
    <w:lvl w:ilvl="2">
      <w:start w:val="1"/>
      <w:numFmt w:val="bullet"/>
      <w:lvlText w:val=""/>
      <w:lvlJc w:val="left"/>
      <w:pPr>
        <w:tabs>
          <w:tab w:val="num" w:pos="1440"/>
        </w:tabs>
        <w:ind w:left="1440" w:hanging="360"/>
      </w:pPr>
      <w:rPr>
        <w:rFonts w:ascii="Wingdings" w:hAnsi="Wingdings" w:cs="Tahoma"/>
        <w:sz w:val="18"/>
        <w:szCs w:val="18"/>
      </w:rPr>
    </w:lvl>
    <w:lvl w:ilvl="3">
      <w:start w:val="1"/>
      <w:numFmt w:val="bullet"/>
      <w:lvlText w:val=""/>
      <w:lvlJc w:val="left"/>
      <w:pPr>
        <w:tabs>
          <w:tab w:val="num" w:pos="1800"/>
        </w:tabs>
        <w:ind w:left="1800" w:hanging="360"/>
      </w:pPr>
      <w:rPr>
        <w:rFonts w:ascii="Wingdings" w:hAnsi="Wingdings" w:cs="Tahoma"/>
        <w:sz w:val="18"/>
        <w:szCs w:val="18"/>
      </w:rPr>
    </w:lvl>
    <w:lvl w:ilvl="4">
      <w:start w:val="1"/>
      <w:numFmt w:val="bullet"/>
      <w:lvlText w:val=""/>
      <w:lvlJc w:val="left"/>
      <w:pPr>
        <w:tabs>
          <w:tab w:val="num" w:pos="2160"/>
        </w:tabs>
        <w:ind w:left="2160" w:hanging="360"/>
      </w:pPr>
      <w:rPr>
        <w:rFonts w:ascii="Wingdings" w:hAnsi="Wingdings" w:cs="Tahoma"/>
        <w:sz w:val="18"/>
        <w:szCs w:val="18"/>
      </w:rPr>
    </w:lvl>
    <w:lvl w:ilvl="5">
      <w:start w:val="1"/>
      <w:numFmt w:val="bullet"/>
      <w:lvlText w:val=""/>
      <w:lvlJc w:val="left"/>
      <w:pPr>
        <w:tabs>
          <w:tab w:val="num" w:pos="2520"/>
        </w:tabs>
        <w:ind w:left="2520" w:hanging="360"/>
      </w:pPr>
      <w:rPr>
        <w:rFonts w:ascii="Wingdings" w:hAnsi="Wingdings" w:cs="Tahoma"/>
        <w:sz w:val="18"/>
        <w:szCs w:val="18"/>
      </w:rPr>
    </w:lvl>
    <w:lvl w:ilvl="6">
      <w:start w:val="1"/>
      <w:numFmt w:val="bullet"/>
      <w:lvlText w:val=""/>
      <w:lvlJc w:val="left"/>
      <w:pPr>
        <w:tabs>
          <w:tab w:val="num" w:pos="2880"/>
        </w:tabs>
        <w:ind w:left="2880" w:hanging="360"/>
      </w:pPr>
      <w:rPr>
        <w:rFonts w:ascii="Wingdings" w:hAnsi="Wingdings" w:cs="Tahoma"/>
        <w:sz w:val="18"/>
        <w:szCs w:val="18"/>
      </w:rPr>
    </w:lvl>
    <w:lvl w:ilvl="7">
      <w:start w:val="1"/>
      <w:numFmt w:val="bullet"/>
      <w:lvlText w:val=""/>
      <w:lvlJc w:val="left"/>
      <w:pPr>
        <w:tabs>
          <w:tab w:val="num" w:pos="3240"/>
        </w:tabs>
        <w:ind w:left="3240" w:hanging="360"/>
      </w:pPr>
      <w:rPr>
        <w:rFonts w:ascii="Wingdings" w:hAnsi="Wingdings" w:cs="Tahoma"/>
        <w:sz w:val="18"/>
        <w:szCs w:val="18"/>
      </w:rPr>
    </w:lvl>
    <w:lvl w:ilvl="8">
      <w:start w:val="1"/>
      <w:numFmt w:val="bullet"/>
      <w:lvlText w:val=""/>
      <w:lvlJc w:val="left"/>
      <w:pPr>
        <w:tabs>
          <w:tab w:val="num" w:pos="3600"/>
        </w:tabs>
        <w:ind w:left="3600" w:hanging="360"/>
      </w:pPr>
      <w:rPr>
        <w:rFonts w:ascii="Wingdings" w:hAnsi="Wingdings" w:cs="Tahoma"/>
        <w:sz w:val="18"/>
        <w:szCs w:val="18"/>
      </w:rPr>
    </w:lvl>
  </w:abstractNum>
  <w:abstractNum w:abstractNumId="1">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20C29F4"/>
    <w:multiLevelType w:val="hybridMultilevel"/>
    <w:tmpl w:val="8496D4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CAE2DB2"/>
    <w:multiLevelType w:val="hybridMultilevel"/>
    <w:tmpl w:val="B78AA0B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0D872961"/>
    <w:multiLevelType w:val="hybridMultilevel"/>
    <w:tmpl w:val="901C1F16"/>
    <w:lvl w:ilvl="0" w:tplc="938E5D9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670018F"/>
    <w:multiLevelType w:val="hybridMultilevel"/>
    <w:tmpl w:val="078E47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41C6FC5"/>
    <w:multiLevelType w:val="hybridMultilevel"/>
    <w:tmpl w:val="EF80C4CC"/>
    <w:lvl w:ilvl="0" w:tplc="840C499A">
      <w:start w:val="137"/>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8ED4DCD"/>
    <w:multiLevelType w:val="hybridMultilevel"/>
    <w:tmpl w:val="023609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2B3D7ABA"/>
    <w:multiLevelType w:val="hybridMultilevel"/>
    <w:tmpl w:val="9FD4F3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2CFC0BAC"/>
    <w:multiLevelType w:val="hybridMultilevel"/>
    <w:tmpl w:val="0B5E537C"/>
    <w:lvl w:ilvl="0" w:tplc="2D26936C">
      <w:start w:val="137"/>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43DC1A1D"/>
    <w:multiLevelType w:val="hybridMultilevel"/>
    <w:tmpl w:val="18EA3A00"/>
    <w:lvl w:ilvl="0" w:tplc="04130011">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4">
    <w:nsid w:val="4A304CD7"/>
    <w:multiLevelType w:val="hybridMultilevel"/>
    <w:tmpl w:val="7102B5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51BB3548"/>
    <w:multiLevelType w:val="hybridMultilevel"/>
    <w:tmpl w:val="F5AC54C4"/>
    <w:lvl w:ilvl="0" w:tplc="F5882D6C">
      <w:start w:val="137"/>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6F665DF"/>
    <w:multiLevelType w:val="hybridMultilevel"/>
    <w:tmpl w:val="EB8E5506"/>
    <w:lvl w:ilvl="0" w:tplc="7932E5AE">
      <w:start w:val="137"/>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68695034"/>
    <w:multiLevelType w:val="hybridMultilevel"/>
    <w:tmpl w:val="271CA88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nsid w:val="69220547"/>
    <w:multiLevelType w:val="hybridMultilevel"/>
    <w:tmpl w:val="4AD2B94C"/>
    <w:lvl w:ilvl="0" w:tplc="3196A6A0">
      <w:start w:val="3"/>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6C263253"/>
    <w:multiLevelType w:val="hybridMultilevel"/>
    <w:tmpl w:val="9AB24C6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nsid w:val="6FD34DD3"/>
    <w:multiLevelType w:val="hybridMultilevel"/>
    <w:tmpl w:val="F734068A"/>
    <w:lvl w:ilvl="0" w:tplc="91F4DDAE">
      <w:start w:val="137"/>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0DA3B38"/>
    <w:multiLevelType w:val="hybridMultilevel"/>
    <w:tmpl w:val="A150E81A"/>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6"/>
  </w:num>
  <w:num w:numId="2">
    <w:abstractNumId w:val="6"/>
  </w:num>
  <w:num w:numId="3">
    <w:abstractNumId w:val="1"/>
  </w:num>
  <w:num w:numId="4">
    <w:abstractNumId w:val="17"/>
  </w:num>
  <w:num w:numId="5">
    <w:abstractNumId w:val="12"/>
  </w:num>
  <w:num w:numId="6">
    <w:abstractNumId w:val="5"/>
  </w:num>
  <w:num w:numId="7">
    <w:abstractNumId w:val="4"/>
  </w:num>
  <w:num w:numId="8">
    <w:abstractNumId w:val="14"/>
  </w:num>
  <w:num w:numId="9">
    <w:abstractNumId w:val="9"/>
  </w:num>
  <w:num w:numId="10">
    <w:abstractNumId w:val="0"/>
  </w:num>
  <w:num w:numId="11">
    <w:abstractNumId w:val="18"/>
  </w:num>
  <w:num w:numId="12">
    <w:abstractNumId w:val="2"/>
  </w:num>
  <w:num w:numId="13">
    <w:abstractNumId w:val="1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5"/>
  </w:num>
  <w:num w:numId="20">
    <w:abstractNumId w:val="21"/>
  </w:num>
  <w:num w:numId="21">
    <w:abstractNumId w:val="8"/>
  </w:num>
  <w:num w:numId="22">
    <w:abstractNumId w:val="16"/>
  </w:num>
  <w:num w:numId="23">
    <w:abstractNumId w:val="11"/>
  </w:num>
  <w:num w:numId="24">
    <w:abstractNumId w:val="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941198"/>
    <w:rsid w:val="000063D1"/>
    <w:rsid w:val="000464A2"/>
    <w:rsid w:val="00070064"/>
    <w:rsid w:val="00071DA4"/>
    <w:rsid w:val="00080040"/>
    <w:rsid w:val="000C3D68"/>
    <w:rsid w:val="001041D4"/>
    <w:rsid w:val="00171F2E"/>
    <w:rsid w:val="001815DE"/>
    <w:rsid w:val="00187BFC"/>
    <w:rsid w:val="0019161B"/>
    <w:rsid w:val="00192E13"/>
    <w:rsid w:val="001C0AE8"/>
    <w:rsid w:val="001E4BBA"/>
    <w:rsid w:val="001F4400"/>
    <w:rsid w:val="00217009"/>
    <w:rsid w:val="00226C91"/>
    <w:rsid w:val="002474ED"/>
    <w:rsid w:val="0025613E"/>
    <w:rsid w:val="00257824"/>
    <w:rsid w:val="002735D4"/>
    <w:rsid w:val="002854DF"/>
    <w:rsid w:val="002E3EA2"/>
    <w:rsid w:val="00303749"/>
    <w:rsid w:val="00311313"/>
    <w:rsid w:val="00313FAD"/>
    <w:rsid w:val="00343A8F"/>
    <w:rsid w:val="00344DD7"/>
    <w:rsid w:val="00373993"/>
    <w:rsid w:val="00376086"/>
    <w:rsid w:val="0038492D"/>
    <w:rsid w:val="00403EFA"/>
    <w:rsid w:val="00427E2D"/>
    <w:rsid w:val="00455D81"/>
    <w:rsid w:val="00462159"/>
    <w:rsid w:val="004B6D3D"/>
    <w:rsid w:val="004D7979"/>
    <w:rsid w:val="005051B9"/>
    <w:rsid w:val="005748C7"/>
    <w:rsid w:val="005A0D53"/>
    <w:rsid w:val="005A7DC8"/>
    <w:rsid w:val="005B1A13"/>
    <w:rsid w:val="00630E65"/>
    <w:rsid w:val="00660C74"/>
    <w:rsid w:val="00667CE6"/>
    <w:rsid w:val="00686499"/>
    <w:rsid w:val="00693743"/>
    <w:rsid w:val="006C7239"/>
    <w:rsid w:val="006E54BF"/>
    <w:rsid w:val="006E7A7E"/>
    <w:rsid w:val="006F29F5"/>
    <w:rsid w:val="006F49EA"/>
    <w:rsid w:val="007503AC"/>
    <w:rsid w:val="007626EE"/>
    <w:rsid w:val="00774489"/>
    <w:rsid w:val="0078435B"/>
    <w:rsid w:val="007A72E0"/>
    <w:rsid w:val="007A7738"/>
    <w:rsid w:val="007E2BBA"/>
    <w:rsid w:val="00827511"/>
    <w:rsid w:val="00836572"/>
    <w:rsid w:val="0083747B"/>
    <w:rsid w:val="00842F2E"/>
    <w:rsid w:val="00844521"/>
    <w:rsid w:val="00844933"/>
    <w:rsid w:val="00880808"/>
    <w:rsid w:val="00910FCD"/>
    <w:rsid w:val="00941198"/>
    <w:rsid w:val="00985D6D"/>
    <w:rsid w:val="009864CE"/>
    <w:rsid w:val="00997199"/>
    <w:rsid w:val="009C170D"/>
    <w:rsid w:val="009F10A6"/>
    <w:rsid w:val="009F3CB2"/>
    <w:rsid w:val="00A24132"/>
    <w:rsid w:val="00A245A5"/>
    <w:rsid w:val="00A447B9"/>
    <w:rsid w:val="00A759B7"/>
    <w:rsid w:val="00AD78E8"/>
    <w:rsid w:val="00AE17A7"/>
    <w:rsid w:val="00AE252F"/>
    <w:rsid w:val="00B16265"/>
    <w:rsid w:val="00B6547D"/>
    <w:rsid w:val="00BC1A00"/>
    <w:rsid w:val="00BD07FB"/>
    <w:rsid w:val="00C1551D"/>
    <w:rsid w:val="00C75C7E"/>
    <w:rsid w:val="00C858DC"/>
    <w:rsid w:val="00CB042A"/>
    <w:rsid w:val="00CB2006"/>
    <w:rsid w:val="00CB6989"/>
    <w:rsid w:val="00CC63C8"/>
    <w:rsid w:val="00CC7CE6"/>
    <w:rsid w:val="00CF4E65"/>
    <w:rsid w:val="00D7593B"/>
    <w:rsid w:val="00DD5FB0"/>
    <w:rsid w:val="00DF6517"/>
    <w:rsid w:val="00E22050"/>
    <w:rsid w:val="00E75531"/>
    <w:rsid w:val="00E87E1E"/>
    <w:rsid w:val="00EC7CDE"/>
    <w:rsid w:val="00EF296F"/>
    <w:rsid w:val="00F52CAF"/>
    <w:rsid w:val="00F733B4"/>
    <w:rsid w:val="00F75DE9"/>
    <w:rsid w:val="00F862E0"/>
    <w:rsid w:val="00F90363"/>
    <w:rsid w:val="00FA7668"/>
    <w:rsid w:val="00FC1093"/>
    <w:rsid w:val="00FC48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87E1E"/>
    <w:rPr>
      <w:sz w:val="24"/>
      <w:lang w:val="nl-NL" w:eastAsia="nl-NL"/>
    </w:rPr>
  </w:style>
  <w:style w:type="paragraph" w:styleId="Kop1">
    <w:name w:val="heading 1"/>
    <w:basedOn w:val="Standaard"/>
    <w:next w:val="Standaard"/>
    <w:qFormat/>
    <w:rsid w:val="00E87E1E"/>
    <w:pPr>
      <w:keepNext/>
      <w:numPr>
        <w:numId w:val="2"/>
      </w:numPr>
      <w:jc w:val="both"/>
      <w:outlineLvl w:val="0"/>
    </w:pPr>
    <w:rPr>
      <w:b/>
      <w:caps/>
    </w:rPr>
  </w:style>
  <w:style w:type="paragraph" w:styleId="Kop2">
    <w:name w:val="heading 2"/>
    <w:basedOn w:val="Standaard"/>
    <w:next w:val="Standaard"/>
    <w:qFormat/>
    <w:rsid w:val="00E87E1E"/>
    <w:pPr>
      <w:keepNext/>
      <w:tabs>
        <w:tab w:val="num" w:pos="567"/>
      </w:tabs>
      <w:ind w:left="567" w:hanging="567"/>
      <w:outlineLvl w:val="1"/>
    </w:pPr>
    <w:rPr>
      <w:b/>
    </w:rPr>
  </w:style>
  <w:style w:type="paragraph" w:styleId="Kop3">
    <w:name w:val="heading 3"/>
    <w:basedOn w:val="Standaard"/>
    <w:next w:val="Standaard"/>
    <w:qFormat/>
    <w:rsid w:val="00E87E1E"/>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E87E1E"/>
    <w:pPr>
      <w:framePr w:w="7920" w:h="1980" w:hRule="exact" w:hSpace="141" w:wrap="auto" w:hAnchor="page" w:xAlign="center" w:yAlign="bottom"/>
      <w:ind w:left="2880"/>
    </w:pPr>
  </w:style>
  <w:style w:type="paragraph" w:styleId="Afzender">
    <w:name w:val="envelope return"/>
    <w:basedOn w:val="Standaard"/>
    <w:rsid w:val="00E87E1E"/>
  </w:style>
  <w:style w:type="paragraph" w:styleId="Inhopg1">
    <w:name w:val="toc 1"/>
    <w:basedOn w:val="Standaard"/>
    <w:next w:val="Standaard"/>
    <w:autoRedefine/>
    <w:semiHidden/>
    <w:rsid w:val="00E87E1E"/>
    <w:pPr>
      <w:tabs>
        <w:tab w:val="right" w:leader="dot" w:pos="9741"/>
      </w:tabs>
      <w:spacing w:before="180" w:after="180"/>
      <w:ind w:left="567" w:hanging="567"/>
    </w:pPr>
    <w:rPr>
      <w:b/>
      <w:caps/>
      <w:noProof/>
    </w:rPr>
  </w:style>
  <w:style w:type="paragraph" w:styleId="Inhopg2">
    <w:name w:val="toc 2"/>
    <w:basedOn w:val="Standaard"/>
    <w:next w:val="Standaard"/>
    <w:autoRedefine/>
    <w:semiHidden/>
    <w:rsid w:val="00E87E1E"/>
    <w:pPr>
      <w:tabs>
        <w:tab w:val="right" w:leader="dot" w:pos="9741"/>
      </w:tabs>
      <w:spacing w:before="80" w:after="80"/>
      <w:ind w:left="1134" w:hanging="567"/>
    </w:pPr>
    <w:rPr>
      <w:noProof/>
    </w:rPr>
  </w:style>
  <w:style w:type="paragraph" w:styleId="Inhopg3">
    <w:name w:val="toc 3"/>
    <w:basedOn w:val="Standaard"/>
    <w:next w:val="Standaard"/>
    <w:autoRedefine/>
    <w:semiHidden/>
    <w:rsid w:val="00E87E1E"/>
    <w:pPr>
      <w:tabs>
        <w:tab w:val="right" w:leader="dot" w:pos="9741"/>
      </w:tabs>
      <w:spacing w:before="40" w:after="40"/>
      <w:ind w:left="1701" w:hanging="567"/>
    </w:pPr>
    <w:rPr>
      <w:i/>
    </w:rPr>
  </w:style>
  <w:style w:type="paragraph" w:styleId="Plattetekst2">
    <w:name w:val="Body Text 2"/>
    <w:basedOn w:val="Standaard"/>
    <w:rsid w:val="00E87E1E"/>
    <w:pPr>
      <w:jc w:val="both"/>
    </w:pPr>
    <w:rPr>
      <w:i/>
      <w:sz w:val="22"/>
    </w:rPr>
  </w:style>
  <w:style w:type="paragraph" w:styleId="Normaalweb">
    <w:name w:val="Normal (Web)"/>
    <w:basedOn w:val="Standaard"/>
    <w:uiPriority w:val="99"/>
    <w:unhideWhenUsed/>
    <w:rsid w:val="00313FAD"/>
    <w:pPr>
      <w:spacing w:after="180"/>
    </w:pPr>
    <w:rPr>
      <w:rFonts w:eastAsia="Calibri"/>
      <w:szCs w:val="24"/>
      <w:lang w:val="nl-BE" w:eastAsia="nl-BE"/>
    </w:rPr>
  </w:style>
  <w:style w:type="paragraph" w:customStyle="1" w:styleId="SVVlaamsParlement">
    <w:name w:val="SV Vlaams Parlement"/>
    <w:basedOn w:val="Standaard"/>
    <w:rsid w:val="00E87E1E"/>
    <w:pPr>
      <w:jc w:val="both"/>
    </w:pPr>
    <w:rPr>
      <w:b/>
      <w:smallCaps/>
      <w:sz w:val="22"/>
    </w:rPr>
  </w:style>
  <w:style w:type="paragraph" w:customStyle="1" w:styleId="SVTitel">
    <w:name w:val="SV Titel"/>
    <w:basedOn w:val="Standaard"/>
    <w:rsid w:val="00E87E1E"/>
    <w:pPr>
      <w:jc w:val="both"/>
    </w:pPr>
    <w:rPr>
      <w:i/>
      <w:sz w:val="22"/>
    </w:rPr>
  </w:style>
  <w:style w:type="paragraph" w:customStyle="1" w:styleId="StandaardSV">
    <w:name w:val="Standaard SV"/>
    <w:basedOn w:val="Standaard"/>
    <w:rsid w:val="00E87E1E"/>
    <w:pPr>
      <w:jc w:val="both"/>
    </w:pPr>
    <w:rPr>
      <w:sz w:val="22"/>
    </w:rPr>
  </w:style>
  <w:style w:type="paragraph" w:styleId="Ballontekst">
    <w:name w:val="Balloon Text"/>
    <w:basedOn w:val="Standaard"/>
    <w:link w:val="BallontekstChar"/>
    <w:rsid w:val="002854DF"/>
    <w:rPr>
      <w:rFonts w:ascii="Tahoma" w:hAnsi="Tahoma"/>
      <w:sz w:val="16"/>
      <w:szCs w:val="16"/>
    </w:rPr>
  </w:style>
  <w:style w:type="character" w:customStyle="1" w:styleId="BallontekstChar">
    <w:name w:val="Ballontekst Char"/>
    <w:link w:val="Ballontekst"/>
    <w:rsid w:val="002854DF"/>
    <w:rPr>
      <w:rFonts w:ascii="Tahoma" w:hAnsi="Tahoma" w:cs="Tahoma"/>
      <w:sz w:val="16"/>
      <w:szCs w:val="16"/>
      <w:lang w:val="nl-NL" w:eastAsia="nl-NL"/>
    </w:rPr>
  </w:style>
  <w:style w:type="table" w:styleId="Tabelraster">
    <w:name w:val="Table Grid"/>
    <w:basedOn w:val="Standaardtabel"/>
    <w:rsid w:val="00462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FA76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paragraph" w:styleId="Normaalweb">
    <w:name w:val="Normal (Web)"/>
    <w:basedOn w:val="Standaard"/>
    <w:uiPriority w:val="99"/>
    <w:unhideWhenUsed/>
    <w:rsid w:val="00313FAD"/>
    <w:pPr>
      <w:spacing w:after="180"/>
    </w:pPr>
    <w:rPr>
      <w:rFonts w:eastAsia="Calibri"/>
      <w:szCs w:val="24"/>
      <w:lang w:val="nl-BE" w:eastAsia="nl-BE"/>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Ballontekst">
    <w:name w:val="Balloon Text"/>
    <w:basedOn w:val="Standaard"/>
    <w:link w:val="BallontekstChar"/>
    <w:rsid w:val="002854DF"/>
    <w:rPr>
      <w:rFonts w:ascii="Tahoma" w:hAnsi="Tahoma"/>
      <w:sz w:val="16"/>
      <w:szCs w:val="16"/>
    </w:rPr>
  </w:style>
  <w:style w:type="character" w:customStyle="1" w:styleId="BallontekstChar">
    <w:name w:val="Ballontekst Char"/>
    <w:link w:val="Ballontekst"/>
    <w:rsid w:val="002854DF"/>
    <w:rPr>
      <w:rFonts w:ascii="Tahoma" w:hAnsi="Tahoma" w:cs="Tahoma"/>
      <w:sz w:val="16"/>
      <w:szCs w:val="16"/>
      <w:lang w:val="nl-NL" w:eastAsia="nl-NL"/>
    </w:rPr>
  </w:style>
  <w:style w:type="table" w:styleId="Tabelraster">
    <w:name w:val="Table Grid"/>
    <w:basedOn w:val="Standaardtabel"/>
    <w:rsid w:val="00462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FA76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29855">
      <w:bodyDiv w:val="1"/>
      <w:marLeft w:val="0"/>
      <w:marRight w:val="0"/>
      <w:marTop w:val="0"/>
      <w:marBottom w:val="0"/>
      <w:divBdr>
        <w:top w:val="none" w:sz="0" w:space="0" w:color="auto"/>
        <w:left w:val="none" w:sz="0" w:space="0" w:color="auto"/>
        <w:bottom w:val="none" w:sz="0" w:space="0" w:color="auto"/>
        <w:right w:val="none" w:sz="0" w:space="0" w:color="auto"/>
      </w:divBdr>
    </w:div>
    <w:div w:id="998118750">
      <w:bodyDiv w:val="1"/>
      <w:marLeft w:val="0"/>
      <w:marRight w:val="0"/>
      <w:marTop w:val="0"/>
      <w:marBottom w:val="0"/>
      <w:divBdr>
        <w:top w:val="none" w:sz="0" w:space="0" w:color="auto"/>
        <w:left w:val="none" w:sz="0" w:space="0" w:color="auto"/>
        <w:bottom w:val="none" w:sz="0" w:space="0" w:color="auto"/>
        <w:right w:val="none" w:sz="0" w:space="0" w:color="auto"/>
      </w:divBdr>
    </w:div>
    <w:div w:id="1124740011">
      <w:bodyDiv w:val="1"/>
      <w:marLeft w:val="0"/>
      <w:marRight w:val="0"/>
      <w:marTop w:val="0"/>
      <w:marBottom w:val="0"/>
      <w:divBdr>
        <w:top w:val="none" w:sz="0" w:space="0" w:color="auto"/>
        <w:left w:val="none" w:sz="0" w:space="0" w:color="auto"/>
        <w:bottom w:val="none" w:sz="0" w:space="0" w:color="auto"/>
        <w:right w:val="none" w:sz="0" w:space="0" w:color="auto"/>
      </w:divBdr>
    </w:div>
    <w:div w:id="18615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kimedes.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5716</Characters>
  <Application>Microsoft Office Word</Application>
  <DocSecurity>4</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VLAAMS PARLEMENT</vt:lpstr>
      <vt:lpstr>VLAAMS PARLEMENT</vt:lpstr>
    </vt:vector>
  </TitlesOfParts>
  <Company>Vlaams Parlement</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Vlaams Parlement</cp:lastModifiedBy>
  <cp:revision>2</cp:revision>
  <cp:lastPrinted>2013-01-17T16:21:00Z</cp:lastPrinted>
  <dcterms:created xsi:type="dcterms:W3CDTF">2013-01-17T16:21:00Z</dcterms:created>
  <dcterms:modified xsi:type="dcterms:W3CDTF">2013-01-17T16:21:00Z</dcterms:modified>
</cp:coreProperties>
</file>