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C7" w:rsidRDefault="001F0937">
      <w:pPr>
        <w:rPr>
          <w:b/>
          <w:smallCaps/>
          <w:sz w:val="22"/>
        </w:rPr>
      </w:pPr>
      <w:bookmarkStart w:id="0" w:name="_GoBack"/>
      <w:bookmarkEnd w:id="0"/>
      <w:r>
        <w:rPr>
          <w:b/>
          <w:smallCaps/>
          <w:sz w:val="22"/>
        </w:rPr>
        <w:t>ingrid  lieten</w:t>
      </w:r>
    </w:p>
    <w:p w:rsidR="005431C7" w:rsidRDefault="005431C7">
      <w:pPr>
        <w:pStyle w:val="StandaardSV"/>
        <w:rPr>
          <w:smallCaps/>
        </w:rPr>
      </w:pPr>
      <w:r>
        <w:rPr>
          <w:smallCaps/>
        </w:rPr>
        <w:t xml:space="preserve">viceminister-president van de vlaamse regering, vlaams minister van </w:t>
      </w:r>
      <w:r w:rsidR="001F0937">
        <w:rPr>
          <w:smallCaps/>
        </w:rPr>
        <w:t>innovatie, overheidsinvesteringen, media en armoedebestrijding</w:t>
      </w:r>
    </w:p>
    <w:p w:rsidR="005431C7" w:rsidRDefault="005431C7">
      <w:pPr>
        <w:pBdr>
          <w:bottom w:val="single" w:sz="4" w:space="1" w:color="auto"/>
        </w:pBdr>
        <w:rPr>
          <w:sz w:val="22"/>
        </w:rPr>
      </w:pPr>
    </w:p>
    <w:p w:rsidR="005431C7" w:rsidRDefault="005431C7">
      <w:pPr>
        <w:rPr>
          <w:sz w:val="22"/>
        </w:rPr>
      </w:pPr>
    </w:p>
    <w:p w:rsidR="005431C7" w:rsidRDefault="005431C7">
      <w:pPr>
        <w:rPr>
          <w:b/>
          <w:smallCaps/>
          <w:sz w:val="22"/>
        </w:rPr>
      </w:pPr>
      <w:r>
        <w:rPr>
          <w:b/>
          <w:smallCaps/>
          <w:sz w:val="22"/>
        </w:rPr>
        <w:t>antwoord</w:t>
      </w:r>
    </w:p>
    <w:p w:rsidR="005431C7" w:rsidRDefault="005431C7">
      <w:pPr>
        <w:rPr>
          <w:sz w:val="22"/>
        </w:rPr>
      </w:pPr>
      <w:r>
        <w:rPr>
          <w:sz w:val="22"/>
        </w:rPr>
        <w:t xml:space="preserve">op vraag nr. </w:t>
      </w:r>
      <w:bookmarkStart w:id="1" w:name="Text4"/>
      <w:r w:rsidR="007B527F">
        <w:rPr>
          <w:sz w:val="22"/>
        </w:rPr>
        <w:fldChar w:fldCharType="begin">
          <w:ffData>
            <w:name w:val="Text4"/>
            <w:enabled/>
            <w:calcOnExit w:val="0"/>
            <w:textInput/>
          </w:ffData>
        </w:fldChar>
      </w:r>
      <w:r w:rsidR="007B527F">
        <w:rPr>
          <w:sz w:val="22"/>
        </w:rPr>
        <w:instrText xml:space="preserve"> FORMTEXT </w:instrText>
      </w:r>
      <w:r w:rsidR="007B527F">
        <w:rPr>
          <w:sz w:val="22"/>
        </w:rPr>
      </w:r>
      <w:r w:rsidR="007B527F">
        <w:rPr>
          <w:sz w:val="22"/>
        </w:rPr>
        <w:fldChar w:fldCharType="separate"/>
      </w:r>
      <w:r w:rsidR="009A30DE">
        <w:rPr>
          <w:noProof/>
          <w:sz w:val="22"/>
        </w:rPr>
        <w:t>100</w:t>
      </w:r>
      <w:r w:rsidR="007B527F">
        <w:rPr>
          <w:sz w:val="22"/>
        </w:rPr>
        <w:fldChar w:fldCharType="end"/>
      </w:r>
      <w:bookmarkEnd w:id="1"/>
      <w:r>
        <w:rPr>
          <w:sz w:val="22"/>
        </w:rPr>
        <w:t xml:space="preserve"> van </w:t>
      </w:r>
      <w:bookmarkStart w:id="2" w:name="Text5"/>
      <w:r w:rsidR="007B527F">
        <w:rPr>
          <w:sz w:val="22"/>
        </w:rPr>
        <w:fldChar w:fldCharType="begin">
          <w:ffData>
            <w:name w:val="Text5"/>
            <w:enabled/>
            <w:calcOnExit w:val="0"/>
            <w:textInput>
              <w:default w:val="(datum)"/>
            </w:textInput>
          </w:ffData>
        </w:fldChar>
      </w:r>
      <w:r w:rsidR="007B527F">
        <w:rPr>
          <w:sz w:val="22"/>
        </w:rPr>
        <w:instrText xml:space="preserve"> FORMTEXT </w:instrText>
      </w:r>
      <w:r w:rsidR="007B527F">
        <w:rPr>
          <w:sz w:val="22"/>
        </w:rPr>
      </w:r>
      <w:r w:rsidR="007B527F">
        <w:rPr>
          <w:sz w:val="22"/>
        </w:rPr>
        <w:fldChar w:fldCharType="separate"/>
      </w:r>
      <w:r w:rsidR="009A30DE">
        <w:rPr>
          <w:noProof/>
          <w:sz w:val="22"/>
        </w:rPr>
        <w:t>3 december 2012</w:t>
      </w:r>
      <w:r w:rsidR="007B527F">
        <w:rPr>
          <w:sz w:val="22"/>
        </w:rPr>
        <w:fldChar w:fldCharType="end"/>
      </w:r>
      <w:bookmarkEnd w:id="2"/>
    </w:p>
    <w:p w:rsidR="005431C7" w:rsidRDefault="005431C7">
      <w:pPr>
        <w:rPr>
          <w:sz w:val="22"/>
        </w:rPr>
      </w:pPr>
      <w:r>
        <w:rPr>
          <w:sz w:val="22"/>
        </w:rPr>
        <w:t xml:space="preserve">van </w:t>
      </w:r>
      <w:bookmarkStart w:id="3" w:name="Text3"/>
      <w:r w:rsidR="007B527F">
        <w:rPr>
          <w:b/>
          <w:smallCaps/>
          <w:sz w:val="22"/>
          <w:szCs w:val="22"/>
        </w:rPr>
        <w:fldChar w:fldCharType="begin">
          <w:ffData>
            <w:name w:val="Text3"/>
            <w:enabled/>
            <w:calcOnExit w:val="0"/>
            <w:textInput>
              <w:default w:val="(naam vraagsteller)"/>
            </w:textInput>
          </w:ffData>
        </w:fldChar>
      </w:r>
      <w:r w:rsidR="007B527F">
        <w:rPr>
          <w:b/>
          <w:smallCaps/>
          <w:sz w:val="22"/>
          <w:szCs w:val="22"/>
        </w:rPr>
        <w:instrText xml:space="preserve"> FORMTEXT </w:instrText>
      </w:r>
      <w:r w:rsidR="007B527F">
        <w:rPr>
          <w:b/>
          <w:smallCaps/>
          <w:sz w:val="22"/>
          <w:szCs w:val="22"/>
        </w:rPr>
      </w:r>
      <w:r w:rsidR="007B527F">
        <w:rPr>
          <w:b/>
          <w:smallCaps/>
          <w:sz w:val="22"/>
          <w:szCs w:val="22"/>
        </w:rPr>
        <w:fldChar w:fldCharType="separate"/>
      </w:r>
      <w:r w:rsidR="009A30DE">
        <w:rPr>
          <w:b/>
          <w:smallCaps/>
          <w:noProof/>
          <w:sz w:val="22"/>
          <w:szCs w:val="22"/>
        </w:rPr>
        <w:t>ivan sabbe</w:t>
      </w:r>
      <w:r w:rsidR="007B527F">
        <w:rPr>
          <w:b/>
          <w:smallCaps/>
          <w:sz w:val="22"/>
          <w:szCs w:val="22"/>
        </w:rPr>
        <w:fldChar w:fldCharType="end"/>
      </w:r>
      <w:bookmarkEnd w:id="3"/>
    </w:p>
    <w:p w:rsidR="005431C7" w:rsidRDefault="005431C7" w:rsidP="009976C1">
      <w:pPr>
        <w:pBdr>
          <w:bottom w:val="single" w:sz="4" w:space="1" w:color="auto"/>
        </w:pBdr>
        <w:jc w:val="both"/>
        <w:rPr>
          <w:sz w:val="22"/>
        </w:rPr>
      </w:pPr>
    </w:p>
    <w:p w:rsidR="005431C7" w:rsidRDefault="005431C7" w:rsidP="009976C1">
      <w:pPr>
        <w:jc w:val="both"/>
        <w:rPr>
          <w:sz w:val="22"/>
        </w:rPr>
      </w:pPr>
    </w:p>
    <w:p w:rsidR="006A324D" w:rsidRDefault="006A324D" w:rsidP="009976C1">
      <w:pPr>
        <w:jc w:val="both"/>
        <w:rPr>
          <w:sz w:val="22"/>
        </w:rPr>
      </w:pPr>
    </w:p>
    <w:p w:rsidR="00AB0AA4" w:rsidRDefault="00AB0AA4" w:rsidP="009976C1">
      <w:pPr>
        <w:jc w:val="both"/>
        <w:rPr>
          <w:sz w:val="22"/>
        </w:rPr>
        <w:sectPr w:rsidR="00AB0AA4">
          <w:pgSz w:w="11906" w:h="16838"/>
          <w:pgMar w:top="1417" w:right="1417" w:bottom="1417" w:left="1417" w:header="708" w:footer="708" w:gutter="0"/>
          <w:cols w:space="708"/>
          <w:docGrid w:linePitch="360"/>
        </w:sectPr>
      </w:pPr>
    </w:p>
    <w:p w:rsidR="009A30DE" w:rsidRPr="008B56BF" w:rsidRDefault="009A30DE" w:rsidP="009A30DE">
      <w:pPr>
        <w:pStyle w:val="Lijstalinea"/>
        <w:numPr>
          <w:ilvl w:val="0"/>
          <w:numId w:val="3"/>
        </w:numPr>
        <w:jc w:val="both"/>
        <w:rPr>
          <w:sz w:val="22"/>
          <w:szCs w:val="22"/>
        </w:rPr>
      </w:pPr>
      <w:r w:rsidRPr="008B56BF">
        <w:rPr>
          <w:sz w:val="22"/>
          <w:szCs w:val="22"/>
        </w:rPr>
        <w:lastRenderedPageBreak/>
        <w:t xml:space="preserve">De opstartfase </w:t>
      </w:r>
      <w:r>
        <w:rPr>
          <w:sz w:val="22"/>
          <w:szCs w:val="22"/>
        </w:rPr>
        <w:t xml:space="preserve">van de platformen van de Proeftuin Elektrische Voertuigen (PEV) </w:t>
      </w:r>
      <w:r w:rsidRPr="008B56BF">
        <w:rPr>
          <w:sz w:val="22"/>
          <w:szCs w:val="22"/>
        </w:rPr>
        <w:t xml:space="preserve">is bijna afgerond. Tijdens deze eerste fase werd de infrastructuur (laadinfrastructuur en voertuigen) besteld, aangekocht en geïnstalleerd. In een aantal gevallen gebeurt dit via openbare aanbestedingen, voor de plaatsing op publiek domein moesten eerst concessieovereenkomsten worden afgesloten. Dit verklaart waarom de opstartfase enige tijd in beslag nam. Het eerste werkingsjaar eindigt op 31 december 2012. </w:t>
      </w:r>
    </w:p>
    <w:p w:rsidR="009A30DE" w:rsidRDefault="009A30DE" w:rsidP="009A30DE">
      <w:pPr>
        <w:pStyle w:val="StandaardSV"/>
      </w:pPr>
    </w:p>
    <w:p w:rsidR="009A30DE" w:rsidRPr="008B56BF" w:rsidRDefault="009A30DE" w:rsidP="009A30DE">
      <w:pPr>
        <w:pStyle w:val="Geenafstand"/>
        <w:numPr>
          <w:ilvl w:val="0"/>
          <w:numId w:val="3"/>
        </w:numPr>
        <w:jc w:val="both"/>
        <w:rPr>
          <w:sz w:val="22"/>
          <w:szCs w:val="22"/>
        </w:rPr>
      </w:pPr>
      <w:r w:rsidRPr="008B56BF">
        <w:rPr>
          <w:sz w:val="22"/>
          <w:szCs w:val="22"/>
        </w:rPr>
        <w:t>Omdat het eerste werkingsjaar pas eindigt op 31 december 2012 zal de rapportering (eerste jaarverslag) pas begin 2013 beschikbaar zijn.</w:t>
      </w:r>
    </w:p>
    <w:p w:rsidR="009A30DE" w:rsidRDefault="009A30DE" w:rsidP="009A30DE">
      <w:pPr>
        <w:pStyle w:val="Geenafstand"/>
        <w:jc w:val="both"/>
        <w:rPr>
          <w:sz w:val="22"/>
        </w:rPr>
      </w:pPr>
    </w:p>
    <w:p w:rsidR="009A30DE" w:rsidRPr="008B56BF" w:rsidRDefault="009A30DE" w:rsidP="009A30DE">
      <w:pPr>
        <w:pStyle w:val="Geenafstand"/>
        <w:numPr>
          <w:ilvl w:val="0"/>
          <w:numId w:val="3"/>
        </w:numPr>
        <w:jc w:val="both"/>
        <w:rPr>
          <w:sz w:val="22"/>
          <w:szCs w:val="22"/>
        </w:rPr>
      </w:pPr>
      <w:r w:rsidRPr="008B56BF">
        <w:rPr>
          <w:sz w:val="22"/>
          <w:szCs w:val="22"/>
        </w:rPr>
        <w:t xml:space="preserve">Begin oktober 2012 heb ik van het </w:t>
      </w:r>
      <w:r>
        <w:rPr>
          <w:sz w:val="22"/>
          <w:szCs w:val="22"/>
        </w:rPr>
        <w:t>PEV-</w:t>
      </w:r>
      <w:r w:rsidRPr="008B56BF">
        <w:rPr>
          <w:sz w:val="22"/>
          <w:szCs w:val="22"/>
        </w:rPr>
        <w:t>Programme Offic</w:t>
      </w:r>
      <w:r>
        <w:rPr>
          <w:sz w:val="22"/>
          <w:szCs w:val="22"/>
        </w:rPr>
        <w:t xml:space="preserve">e (PO) </w:t>
      </w:r>
      <w:r w:rsidRPr="008B56BF">
        <w:rPr>
          <w:sz w:val="22"/>
          <w:szCs w:val="22"/>
        </w:rPr>
        <w:t xml:space="preserve">een toelichting gekregen over de stand van zaken van het </w:t>
      </w:r>
      <w:r>
        <w:rPr>
          <w:sz w:val="22"/>
          <w:szCs w:val="22"/>
        </w:rPr>
        <w:t>PO</w:t>
      </w:r>
      <w:r w:rsidRPr="008B56BF">
        <w:rPr>
          <w:sz w:val="22"/>
          <w:szCs w:val="22"/>
        </w:rPr>
        <w:t xml:space="preserve"> en een delegatie van bedrijven die de proeftuinen leiden. Een van de voornaamste struikelblokken die we bij de verschillende </w:t>
      </w:r>
      <w:r>
        <w:rPr>
          <w:sz w:val="22"/>
          <w:szCs w:val="22"/>
        </w:rPr>
        <w:t>PEV-</w:t>
      </w:r>
      <w:r w:rsidRPr="008B56BF">
        <w:rPr>
          <w:sz w:val="22"/>
          <w:szCs w:val="22"/>
        </w:rPr>
        <w:t xml:space="preserve">platformen genoteerd hebben, was de beperkte beschikbaarheid van elektrische voertuigen op de markt bij het begin van de </w:t>
      </w:r>
      <w:r>
        <w:rPr>
          <w:sz w:val="22"/>
          <w:szCs w:val="22"/>
        </w:rPr>
        <w:t>PEV</w:t>
      </w:r>
      <w:r w:rsidRPr="008B56BF">
        <w:rPr>
          <w:sz w:val="22"/>
          <w:szCs w:val="22"/>
        </w:rPr>
        <w:t>. Dat is ondertussen al erg verbeterd. Er is, zeker in het begin, ook heel wat tijd gekropen in het voldoen</w:t>
      </w:r>
      <w:r>
        <w:rPr>
          <w:sz w:val="22"/>
          <w:szCs w:val="22"/>
        </w:rPr>
        <w:t xml:space="preserve"> a</w:t>
      </w:r>
      <w:r w:rsidRPr="008B56BF">
        <w:rPr>
          <w:sz w:val="22"/>
          <w:szCs w:val="22"/>
        </w:rPr>
        <w:t>an de administratieve verplichtingen</w:t>
      </w:r>
      <w:r>
        <w:rPr>
          <w:sz w:val="22"/>
          <w:szCs w:val="22"/>
        </w:rPr>
        <w:t xml:space="preserve"> (</w:t>
      </w:r>
      <w:r w:rsidRPr="008B56BF">
        <w:rPr>
          <w:sz w:val="22"/>
          <w:szCs w:val="22"/>
        </w:rPr>
        <w:t>vergunningen en homologaties</w:t>
      </w:r>
      <w:r>
        <w:rPr>
          <w:sz w:val="22"/>
          <w:szCs w:val="22"/>
        </w:rPr>
        <w:t>)</w:t>
      </w:r>
      <w:r w:rsidRPr="008B56BF">
        <w:rPr>
          <w:sz w:val="22"/>
          <w:szCs w:val="22"/>
        </w:rPr>
        <w:t>. Ondertussen loopt dat al wat beter maar toch nog niet optimaal. De testpopulaties zelf zijn nog onzeker over de werkingskost van elektrische voertuigen en hun gebruik. Daarin spelen natuurlijk fiscale maatregelen een belangrijke rol maar ook de levensduur van de batterij en de vraag wat er nadien met de batterij gebeurt.</w:t>
      </w:r>
    </w:p>
    <w:p w:rsidR="009A30DE" w:rsidRDefault="009A30DE" w:rsidP="009A30DE">
      <w:pPr>
        <w:pStyle w:val="Geenafstand"/>
        <w:jc w:val="both"/>
        <w:rPr>
          <w:sz w:val="22"/>
          <w:szCs w:val="22"/>
        </w:rPr>
      </w:pPr>
    </w:p>
    <w:p w:rsidR="009A30DE" w:rsidRPr="008B56BF" w:rsidRDefault="009A30DE" w:rsidP="009A30DE">
      <w:pPr>
        <w:pStyle w:val="Geenafstand"/>
        <w:ind w:left="360"/>
        <w:jc w:val="both"/>
        <w:rPr>
          <w:sz w:val="22"/>
          <w:szCs w:val="22"/>
        </w:rPr>
      </w:pPr>
      <w:r w:rsidRPr="008B56BF">
        <w:rPr>
          <w:sz w:val="22"/>
          <w:szCs w:val="22"/>
        </w:rPr>
        <w:t xml:space="preserve">Ik heb aan de verschillende </w:t>
      </w:r>
      <w:r>
        <w:rPr>
          <w:sz w:val="22"/>
          <w:szCs w:val="22"/>
        </w:rPr>
        <w:t>PEV-</w:t>
      </w:r>
      <w:r w:rsidRPr="008B56BF">
        <w:rPr>
          <w:sz w:val="22"/>
          <w:szCs w:val="22"/>
        </w:rPr>
        <w:t xml:space="preserve">platformen en het </w:t>
      </w:r>
      <w:r>
        <w:rPr>
          <w:sz w:val="22"/>
          <w:szCs w:val="22"/>
        </w:rPr>
        <w:t>PO</w:t>
      </w:r>
      <w:r w:rsidRPr="008B56BF">
        <w:rPr>
          <w:sz w:val="22"/>
          <w:szCs w:val="22"/>
        </w:rPr>
        <w:t xml:space="preserve"> specifiek gevraagd om al die evaluaties en aandachtspunten samen te brengen die we zouden moeten kunnen oplossen om een snellere transformatie in de samenleving door te maken en daar een eerste tussentijds rapport over te maken.</w:t>
      </w:r>
    </w:p>
    <w:p w:rsidR="009A30DE" w:rsidRDefault="009A30DE" w:rsidP="009A30DE">
      <w:pPr>
        <w:pStyle w:val="Geenafstand"/>
        <w:ind w:left="360"/>
        <w:jc w:val="both"/>
        <w:rPr>
          <w:sz w:val="22"/>
          <w:szCs w:val="22"/>
        </w:rPr>
      </w:pPr>
    </w:p>
    <w:p w:rsidR="009A30DE" w:rsidRPr="008B56BF" w:rsidRDefault="009A30DE" w:rsidP="009A30DE">
      <w:pPr>
        <w:pStyle w:val="Geenafstand"/>
        <w:ind w:left="360"/>
        <w:jc w:val="both"/>
        <w:rPr>
          <w:sz w:val="22"/>
          <w:szCs w:val="22"/>
        </w:rPr>
      </w:pPr>
      <w:r w:rsidRPr="008B56BF">
        <w:rPr>
          <w:sz w:val="22"/>
          <w:szCs w:val="22"/>
        </w:rPr>
        <w:t xml:space="preserve">Ik heb dit </w:t>
      </w:r>
      <w:r>
        <w:rPr>
          <w:sz w:val="22"/>
          <w:szCs w:val="22"/>
        </w:rPr>
        <w:t>toegelicht tijdens de vergadering van d</w:t>
      </w:r>
      <w:r w:rsidRPr="008B56BF">
        <w:rPr>
          <w:sz w:val="22"/>
          <w:szCs w:val="22"/>
        </w:rPr>
        <w:t xml:space="preserve">e </w:t>
      </w:r>
      <w:r w:rsidRPr="00885C86">
        <w:rPr>
          <w:sz w:val="22"/>
          <w:szCs w:val="22"/>
        </w:rPr>
        <w:t>Commissie voor Economie, Economisch Overheidsinstrumentarium, Innovatie, Wetenschapsbeleid, Werk en Sociale Economie</w:t>
      </w:r>
      <w:r>
        <w:rPr>
          <w:sz w:val="22"/>
          <w:szCs w:val="22"/>
        </w:rPr>
        <w:t xml:space="preserve"> van </w:t>
      </w:r>
      <w:r w:rsidRPr="00885C86">
        <w:rPr>
          <w:sz w:val="22"/>
          <w:szCs w:val="22"/>
        </w:rPr>
        <w:t>4</w:t>
      </w:r>
      <w:r>
        <w:rPr>
          <w:sz w:val="22"/>
          <w:szCs w:val="22"/>
        </w:rPr>
        <w:t xml:space="preserve"> oktober 2</w:t>
      </w:r>
      <w:r w:rsidRPr="00885C86">
        <w:rPr>
          <w:sz w:val="22"/>
          <w:szCs w:val="22"/>
        </w:rPr>
        <w:t>012</w:t>
      </w:r>
      <w:r>
        <w:rPr>
          <w:sz w:val="22"/>
          <w:szCs w:val="22"/>
        </w:rPr>
        <w:t xml:space="preserve"> (</w:t>
      </w:r>
      <w:bookmarkStart w:id="4" w:name="_Toc337128346"/>
      <w:r>
        <w:rPr>
          <w:sz w:val="22"/>
          <w:szCs w:val="22"/>
        </w:rPr>
        <w:t>v</w:t>
      </w:r>
      <w:r w:rsidRPr="008B56BF">
        <w:rPr>
          <w:sz w:val="22"/>
          <w:szCs w:val="22"/>
        </w:rPr>
        <w:t xml:space="preserve">raag om uitleg </w:t>
      </w:r>
      <w:r>
        <w:rPr>
          <w:sz w:val="22"/>
          <w:szCs w:val="22"/>
        </w:rPr>
        <w:t xml:space="preserve">nr. 2241 </w:t>
      </w:r>
      <w:r w:rsidRPr="008B56BF">
        <w:rPr>
          <w:sz w:val="22"/>
          <w:szCs w:val="22"/>
        </w:rPr>
        <w:t>van de heer Koen Van den Heuvel</w:t>
      </w:r>
      <w:bookmarkEnd w:id="4"/>
      <w:r>
        <w:rPr>
          <w:sz w:val="22"/>
          <w:szCs w:val="22"/>
        </w:rPr>
        <w:t>)</w:t>
      </w:r>
      <w:r w:rsidRPr="008B56BF">
        <w:rPr>
          <w:sz w:val="22"/>
          <w:szCs w:val="22"/>
        </w:rPr>
        <w:t xml:space="preserve">. </w:t>
      </w:r>
    </w:p>
    <w:p w:rsidR="009A30DE" w:rsidRDefault="009A30DE" w:rsidP="009A30DE">
      <w:pPr>
        <w:pStyle w:val="Geenafstand"/>
        <w:ind w:left="360"/>
        <w:jc w:val="both"/>
        <w:rPr>
          <w:sz w:val="22"/>
          <w:szCs w:val="22"/>
        </w:rPr>
      </w:pPr>
    </w:p>
    <w:p w:rsidR="009A30DE" w:rsidRPr="008B56BF" w:rsidRDefault="009A30DE" w:rsidP="009A30DE">
      <w:pPr>
        <w:pStyle w:val="Geenafstand"/>
        <w:ind w:left="360"/>
        <w:jc w:val="both"/>
        <w:rPr>
          <w:sz w:val="22"/>
          <w:szCs w:val="22"/>
        </w:rPr>
      </w:pPr>
      <w:r w:rsidRPr="008B56BF">
        <w:rPr>
          <w:sz w:val="22"/>
          <w:szCs w:val="22"/>
        </w:rPr>
        <w:t xml:space="preserve">Ik verwacht een tussentijds rapport over de aandachtspunten en het eerste jaarverslag van de </w:t>
      </w:r>
      <w:r>
        <w:rPr>
          <w:sz w:val="22"/>
          <w:szCs w:val="22"/>
        </w:rPr>
        <w:t>PEV</w:t>
      </w:r>
      <w:r w:rsidRPr="008B56BF">
        <w:rPr>
          <w:sz w:val="22"/>
          <w:szCs w:val="22"/>
        </w:rPr>
        <w:t xml:space="preserve"> begin 2013.</w:t>
      </w:r>
    </w:p>
    <w:p w:rsidR="009A30DE" w:rsidRPr="00CC0528" w:rsidRDefault="009A30DE" w:rsidP="009A30DE">
      <w:pPr>
        <w:pStyle w:val="StandaardSV"/>
      </w:pPr>
    </w:p>
    <w:p w:rsidR="009A30DE" w:rsidRPr="00885C86" w:rsidRDefault="009A30DE" w:rsidP="009A30DE">
      <w:pPr>
        <w:pStyle w:val="Geenafstand"/>
        <w:numPr>
          <w:ilvl w:val="0"/>
          <w:numId w:val="3"/>
        </w:numPr>
        <w:jc w:val="both"/>
        <w:rPr>
          <w:sz w:val="22"/>
          <w:szCs w:val="22"/>
        </w:rPr>
      </w:pPr>
      <w:r w:rsidRPr="00885C86">
        <w:rPr>
          <w:sz w:val="22"/>
          <w:szCs w:val="22"/>
        </w:rPr>
        <w:t>Er was ruime belangstelling voor dit project. Uiteindelijk hebben 3.000 gezinnen zich gemeld als kandidaat</w:t>
      </w:r>
      <w:r>
        <w:rPr>
          <w:sz w:val="22"/>
          <w:szCs w:val="22"/>
        </w:rPr>
        <w:t>-</w:t>
      </w:r>
      <w:r w:rsidRPr="00885C86">
        <w:rPr>
          <w:sz w:val="22"/>
          <w:szCs w:val="22"/>
        </w:rPr>
        <w:t>testgezin. Deze resultaten zullen ook worden opgenomen in het eerste jaarverslag.</w:t>
      </w:r>
    </w:p>
    <w:p w:rsidR="009A30DE" w:rsidRPr="00CC0528" w:rsidRDefault="009A30DE" w:rsidP="009A30DE">
      <w:pPr>
        <w:pStyle w:val="StandaardSV"/>
      </w:pPr>
    </w:p>
    <w:p w:rsidR="009A30DE" w:rsidRDefault="009A30DE" w:rsidP="009A30DE">
      <w:pPr>
        <w:pStyle w:val="StandaardSV"/>
        <w:numPr>
          <w:ilvl w:val="0"/>
          <w:numId w:val="3"/>
        </w:numPr>
      </w:pPr>
      <w:r w:rsidRPr="000B7D8F">
        <w:rPr>
          <w:szCs w:val="22"/>
        </w:rPr>
        <w:t xml:space="preserve">Hiervoor verwijs ik naar het antwoord op (deelvraag 1 van) de schriftelijke parlementaire vraag </w:t>
      </w:r>
      <w:r w:rsidRPr="0064638B">
        <w:rPr>
          <w:szCs w:val="22"/>
          <w:u w:val="single"/>
        </w:rPr>
        <w:t>nr. 37</w:t>
      </w:r>
      <w:r w:rsidRPr="000B7D8F">
        <w:rPr>
          <w:szCs w:val="22"/>
        </w:rPr>
        <w:t xml:space="preserve"> van mevrouw </w:t>
      </w:r>
      <w:r w:rsidRPr="0064638B">
        <w:rPr>
          <w:szCs w:val="22"/>
          <w:u w:val="single"/>
        </w:rPr>
        <w:t>Marleen Van den Eynde</w:t>
      </w:r>
      <w:r w:rsidRPr="000B7D8F">
        <w:rPr>
          <w:szCs w:val="22"/>
        </w:rPr>
        <w:t xml:space="preserve"> van </w:t>
      </w:r>
      <w:r w:rsidRPr="0064638B">
        <w:rPr>
          <w:szCs w:val="22"/>
          <w:u w:val="single"/>
        </w:rPr>
        <w:t>29 oktober 2012</w:t>
      </w:r>
      <w:r w:rsidRPr="000B7D8F">
        <w:rPr>
          <w:szCs w:val="22"/>
        </w:rPr>
        <w:t xml:space="preserve">. De status m.b.t. de </w:t>
      </w:r>
      <w:r>
        <w:rPr>
          <w:szCs w:val="22"/>
        </w:rPr>
        <w:t>PEV</w:t>
      </w:r>
      <w:r w:rsidRPr="000B7D8F">
        <w:rPr>
          <w:szCs w:val="22"/>
        </w:rPr>
        <w:t xml:space="preserve"> zoals beschreven in dit antwoord is nog steeds de actuele status.</w:t>
      </w:r>
    </w:p>
    <w:p w:rsidR="009A30DE" w:rsidRPr="00885C86" w:rsidRDefault="009A30DE" w:rsidP="009A30DE">
      <w:pPr>
        <w:pStyle w:val="StandaardSV"/>
      </w:pPr>
    </w:p>
    <w:p w:rsidR="009A30DE" w:rsidRPr="00885C86" w:rsidRDefault="009A30DE" w:rsidP="009A30DE">
      <w:pPr>
        <w:pStyle w:val="StandaardSV"/>
        <w:numPr>
          <w:ilvl w:val="0"/>
          <w:numId w:val="3"/>
        </w:numPr>
      </w:pPr>
      <w:r w:rsidRPr="00885C86">
        <w:t>Eind 2011 telde het volledige wagenpark 9</w:t>
      </w:r>
      <w:r>
        <w:t>.</w:t>
      </w:r>
      <w:r w:rsidRPr="00885C86">
        <w:t>348 alternatieve voertuigen waarvan 97% hybriden.</w:t>
      </w:r>
      <w:r>
        <w:t xml:space="preserve"> D</w:t>
      </w:r>
      <w:r w:rsidRPr="00885C86">
        <w:t>e twee laatste jaar steeg het aantal nieuw verkochte hybriden sterk, in 2011 met 76%.</w:t>
      </w:r>
    </w:p>
    <w:p w:rsidR="009A30DE" w:rsidRPr="00885C86" w:rsidRDefault="009A30DE" w:rsidP="009A30DE">
      <w:pPr>
        <w:pStyle w:val="StandaardSV"/>
        <w:ind w:left="360"/>
      </w:pPr>
    </w:p>
    <w:p w:rsidR="009A30DE" w:rsidRPr="00885C86" w:rsidRDefault="009A30DE" w:rsidP="009A30DE">
      <w:pPr>
        <w:pStyle w:val="StandaardSV"/>
        <w:ind w:left="360"/>
      </w:pPr>
      <w:r w:rsidRPr="00885C86">
        <w:lastRenderedPageBreak/>
        <w:t>Toch blijven alternatief aangedreven wagens slechts een klein onderdeel uitmaken van de Vlaamse vloot zoals blijkt uit onderstaande grafiek (bron</w:t>
      </w:r>
      <w:r>
        <w:t>:</w:t>
      </w:r>
      <w:r w:rsidRPr="00885C86">
        <w:t xml:space="preserve"> VITO-MIRA)</w:t>
      </w:r>
      <w:r>
        <w:t>.</w:t>
      </w:r>
    </w:p>
    <w:p w:rsidR="009A30DE" w:rsidRPr="00885C86" w:rsidRDefault="009A30DE" w:rsidP="009A30DE">
      <w:pPr>
        <w:pStyle w:val="StandaardSV"/>
      </w:pPr>
    </w:p>
    <w:p w:rsidR="009A30DE" w:rsidRPr="00885C86" w:rsidRDefault="009A30DE" w:rsidP="009A30DE">
      <w:pPr>
        <w:pStyle w:val="StandaardSV"/>
      </w:pPr>
      <w:r>
        <w:rPr>
          <w:noProof/>
          <w:lang w:val="nl-BE" w:eastAsia="nl-BE"/>
        </w:rPr>
        <w:drawing>
          <wp:inline distT="0" distB="0" distL="0" distR="0">
            <wp:extent cx="4761357" cy="2971800"/>
            <wp:effectExtent l="6096" t="0" r="4572"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A30DE" w:rsidRPr="00885C86" w:rsidRDefault="009A30DE" w:rsidP="009A30DE">
      <w:pPr>
        <w:pStyle w:val="StandaardSV"/>
      </w:pPr>
    </w:p>
    <w:p w:rsidR="009A30DE" w:rsidRPr="00885C86" w:rsidRDefault="009A30DE" w:rsidP="009A30DE">
      <w:pPr>
        <w:pStyle w:val="StandaardSV"/>
        <w:ind w:left="426"/>
      </w:pPr>
      <w:r w:rsidRPr="00885C86">
        <w:t xml:space="preserve">In 2010 startte de aankoop van </w:t>
      </w:r>
      <w:r w:rsidRPr="00885C86">
        <w:rPr>
          <w:b/>
          <w:bCs/>
        </w:rPr>
        <w:t>plug-in hybriden</w:t>
      </w:r>
      <w:r w:rsidRPr="00885C86">
        <w:t>, 5 in totaal. In 2011 werden 14 nieuwe plug-in hybriden gekocht. De batterij van deze hybride voertuigen kan extern opgeladen worden via het elektriciteitsnet. De afstand die volledig elektrisch afgelegd wordt</w:t>
      </w:r>
      <w:r>
        <w:t>,</w:t>
      </w:r>
      <w:r w:rsidRPr="00885C86">
        <w:t xml:space="preserve"> is groter dan bij de andere hybride voertuigen. Ze zijn dan ook milieuvriendelijker dan de klassieke hybriden.</w:t>
      </w:r>
    </w:p>
    <w:p w:rsidR="009A30DE" w:rsidRPr="00885C86" w:rsidRDefault="009A30DE" w:rsidP="009A30DE">
      <w:pPr>
        <w:pStyle w:val="StandaardSV"/>
        <w:ind w:left="426"/>
      </w:pPr>
    </w:p>
    <w:p w:rsidR="009A30DE" w:rsidRPr="00885C86" w:rsidRDefault="009A30DE" w:rsidP="009A30DE">
      <w:pPr>
        <w:pStyle w:val="StandaardSV"/>
        <w:ind w:left="426"/>
      </w:pPr>
      <w:r w:rsidRPr="00885C86">
        <w:t>In 2009 werd één</w:t>
      </w:r>
      <w:r w:rsidRPr="00885C86">
        <w:rPr>
          <w:b/>
          <w:bCs/>
        </w:rPr>
        <w:t xml:space="preserve"> elektrische</w:t>
      </w:r>
      <w:r w:rsidRPr="00885C86">
        <w:t xml:space="preserve"> wagen gekocht, in 2010 steeg het aantal tot 23. Dit aantal vervijfvoudigde in 2011. Ook het aantal nieuwe </w:t>
      </w:r>
      <w:r w:rsidRPr="00885C86">
        <w:rPr>
          <w:b/>
          <w:bCs/>
        </w:rPr>
        <w:t>aardgas</w:t>
      </w:r>
      <w:r w:rsidRPr="00885C86">
        <w:t>voertuigen bleef beperkt in 2011, 23 stuks in totaal.</w:t>
      </w:r>
    </w:p>
    <w:p w:rsidR="009A30DE" w:rsidRPr="00885C86" w:rsidRDefault="009A30DE" w:rsidP="009A30DE">
      <w:pPr>
        <w:pStyle w:val="StandaardSV"/>
        <w:ind w:left="426"/>
      </w:pPr>
    </w:p>
    <w:p w:rsidR="009A30DE" w:rsidRPr="00885C86" w:rsidRDefault="009A30DE" w:rsidP="009A30DE">
      <w:pPr>
        <w:pStyle w:val="Geenafstand"/>
        <w:numPr>
          <w:ilvl w:val="0"/>
          <w:numId w:val="3"/>
        </w:numPr>
        <w:jc w:val="both"/>
        <w:rPr>
          <w:sz w:val="22"/>
          <w:szCs w:val="22"/>
        </w:rPr>
      </w:pPr>
      <w:r w:rsidRPr="00885C86">
        <w:rPr>
          <w:sz w:val="22"/>
          <w:szCs w:val="22"/>
        </w:rPr>
        <w:t xml:space="preserve">Binnen de </w:t>
      </w:r>
      <w:r>
        <w:rPr>
          <w:sz w:val="22"/>
          <w:szCs w:val="22"/>
        </w:rPr>
        <w:t>PEV</w:t>
      </w:r>
      <w:r w:rsidRPr="00885C86">
        <w:rPr>
          <w:sz w:val="22"/>
          <w:szCs w:val="22"/>
        </w:rPr>
        <w:t xml:space="preserve"> werden in 2012 meer dan 200 elektrische voertuigen in het straatbeeld gebracht</w:t>
      </w:r>
      <w:r>
        <w:rPr>
          <w:sz w:val="22"/>
          <w:szCs w:val="22"/>
        </w:rPr>
        <w:t xml:space="preserve"> (zie ook het antwoord op deelvraag 3 van de s</w:t>
      </w:r>
      <w:r w:rsidRPr="00885C86">
        <w:rPr>
          <w:sz w:val="22"/>
          <w:szCs w:val="22"/>
        </w:rPr>
        <w:t>chriftelijke parlementaire vraag nr. 37 van mevrouw Marleen Van den Eynde van 29 oktober 2012</w:t>
      </w:r>
      <w:r>
        <w:rPr>
          <w:sz w:val="22"/>
          <w:szCs w:val="22"/>
        </w:rPr>
        <w:t>)</w:t>
      </w:r>
      <w:r w:rsidRPr="00885C86">
        <w:rPr>
          <w:sz w:val="22"/>
          <w:szCs w:val="22"/>
        </w:rPr>
        <w:t xml:space="preserve">. Dit moet toelaten om op een onderbouwde manier na te gaan welke hindernissen moeten worden weggenomen om elektrisch rijden in Vlaanderen mogelijk te maken. Zoals aangegeven in mijn antwoord op </w:t>
      </w:r>
      <w:r>
        <w:rPr>
          <w:sz w:val="22"/>
          <w:szCs w:val="22"/>
        </w:rPr>
        <w:t>deel</w:t>
      </w:r>
      <w:r w:rsidRPr="00885C86">
        <w:rPr>
          <w:sz w:val="22"/>
          <w:szCs w:val="22"/>
        </w:rPr>
        <w:t>vraag 3</w:t>
      </w:r>
      <w:r>
        <w:rPr>
          <w:sz w:val="22"/>
          <w:szCs w:val="22"/>
        </w:rPr>
        <w:t>,</w:t>
      </w:r>
      <w:r w:rsidRPr="00885C86">
        <w:rPr>
          <w:sz w:val="22"/>
          <w:szCs w:val="22"/>
        </w:rPr>
        <w:t xml:space="preserve"> heb ik aan de verschillende </w:t>
      </w:r>
      <w:r>
        <w:rPr>
          <w:sz w:val="22"/>
          <w:szCs w:val="22"/>
        </w:rPr>
        <w:t>PEV-</w:t>
      </w:r>
      <w:r w:rsidRPr="00885C86">
        <w:rPr>
          <w:sz w:val="22"/>
          <w:szCs w:val="22"/>
        </w:rPr>
        <w:t xml:space="preserve">platformen en het </w:t>
      </w:r>
      <w:r>
        <w:rPr>
          <w:sz w:val="22"/>
          <w:szCs w:val="22"/>
        </w:rPr>
        <w:t>PO</w:t>
      </w:r>
      <w:r w:rsidRPr="00885C86">
        <w:rPr>
          <w:sz w:val="22"/>
          <w:szCs w:val="22"/>
        </w:rPr>
        <w:t xml:space="preserve"> specifiek gevraagd om </w:t>
      </w:r>
      <w:r>
        <w:rPr>
          <w:sz w:val="22"/>
          <w:szCs w:val="22"/>
        </w:rPr>
        <w:t>alle</w:t>
      </w:r>
      <w:r w:rsidRPr="00885C86">
        <w:rPr>
          <w:sz w:val="22"/>
          <w:szCs w:val="22"/>
        </w:rPr>
        <w:t xml:space="preserve"> evaluaties en aandachtspunten samen te brengen die we zouden moeten kunnen oplossen om een snellere transformatie in de samenleving door te maken en daar een eerste tussentijds rapport over te maken.</w:t>
      </w:r>
    </w:p>
    <w:p w:rsidR="009A30DE" w:rsidRPr="00885C86" w:rsidRDefault="009A30DE" w:rsidP="009A30DE">
      <w:pPr>
        <w:pStyle w:val="Geenafstand"/>
        <w:jc w:val="both"/>
        <w:rPr>
          <w:sz w:val="22"/>
          <w:szCs w:val="22"/>
        </w:rPr>
      </w:pPr>
    </w:p>
    <w:p w:rsidR="007B527F" w:rsidRDefault="007B527F" w:rsidP="007B527F">
      <w:pPr>
        <w:jc w:val="both"/>
        <w:rPr>
          <w:sz w:val="22"/>
        </w:rPr>
      </w:pPr>
    </w:p>
    <w:sectPr w:rsidR="007B527F" w:rsidSect="009A30DE">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12C1"/>
    <w:multiLevelType w:val="hybridMultilevel"/>
    <w:tmpl w:val="6BDC3120"/>
    <w:lvl w:ilvl="0" w:tplc="92820510">
      <w:start w:val="2"/>
      <w:numFmt w:val="decimal"/>
      <w:lvlText w:val="%1."/>
      <w:lvlJc w:val="left"/>
      <w:pPr>
        <w:tabs>
          <w:tab w:val="num" w:pos="720"/>
        </w:tabs>
        <w:ind w:left="720" w:hanging="360"/>
      </w:pPr>
      <w:rPr>
        <w:rFonts w:hint="default"/>
      </w:rPr>
    </w:lvl>
    <w:lvl w:ilvl="1" w:tplc="9D9ACBC6" w:tentative="1">
      <w:start w:val="1"/>
      <w:numFmt w:val="lowerLetter"/>
      <w:lvlText w:val="%2."/>
      <w:lvlJc w:val="left"/>
      <w:pPr>
        <w:tabs>
          <w:tab w:val="num" w:pos="1440"/>
        </w:tabs>
        <w:ind w:left="1440" w:hanging="360"/>
      </w:pPr>
    </w:lvl>
    <w:lvl w:ilvl="2" w:tplc="F6E2F5D2" w:tentative="1">
      <w:start w:val="1"/>
      <w:numFmt w:val="lowerRoman"/>
      <w:lvlText w:val="%3."/>
      <w:lvlJc w:val="right"/>
      <w:pPr>
        <w:tabs>
          <w:tab w:val="num" w:pos="2160"/>
        </w:tabs>
        <w:ind w:left="2160" w:hanging="180"/>
      </w:pPr>
    </w:lvl>
    <w:lvl w:ilvl="3" w:tplc="310027E6" w:tentative="1">
      <w:start w:val="1"/>
      <w:numFmt w:val="decimal"/>
      <w:lvlText w:val="%4."/>
      <w:lvlJc w:val="left"/>
      <w:pPr>
        <w:tabs>
          <w:tab w:val="num" w:pos="2880"/>
        </w:tabs>
        <w:ind w:left="2880" w:hanging="360"/>
      </w:pPr>
    </w:lvl>
    <w:lvl w:ilvl="4" w:tplc="2724E594" w:tentative="1">
      <w:start w:val="1"/>
      <w:numFmt w:val="lowerLetter"/>
      <w:lvlText w:val="%5."/>
      <w:lvlJc w:val="left"/>
      <w:pPr>
        <w:tabs>
          <w:tab w:val="num" w:pos="3600"/>
        </w:tabs>
        <w:ind w:left="3600" w:hanging="360"/>
      </w:pPr>
    </w:lvl>
    <w:lvl w:ilvl="5" w:tplc="EF94AD8C" w:tentative="1">
      <w:start w:val="1"/>
      <w:numFmt w:val="lowerRoman"/>
      <w:lvlText w:val="%6."/>
      <w:lvlJc w:val="right"/>
      <w:pPr>
        <w:tabs>
          <w:tab w:val="num" w:pos="4320"/>
        </w:tabs>
        <w:ind w:left="4320" w:hanging="180"/>
      </w:pPr>
    </w:lvl>
    <w:lvl w:ilvl="6" w:tplc="464A1410" w:tentative="1">
      <w:start w:val="1"/>
      <w:numFmt w:val="decimal"/>
      <w:lvlText w:val="%7."/>
      <w:lvlJc w:val="left"/>
      <w:pPr>
        <w:tabs>
          <w:tab w:val="num" w:pos="5040"/>
        </w:tabs>
        <w:ind w:left="5040" w:hanging="360"/>
      </w:pPr>
    </w:lvl>
    <w:lvl w:ilvl="7" w:tplc="0436F17C" w:tentative="1">
      <w:start w:val="1"/>
      <w:numFmt w:val="lowerLetter"/>
      <w:lvlText w:val="%8."/>
      <w:lvlJc w:val="left"/>
      <w:pPr>
        <w:tabs>
          <w:tab w:val="num" w:pos="5760"/>
        </w:tabs>
        <w:ind w:left="5760" w:hanging="360"/>
      </w:pPr>
    </w:lvl>
    <w:lvl w:ilvl="8" w:tplc="BCF45E4A" w:tentative="1">
      <w:start w:val="1"/>
      <w:numFmt w:val="lowerRoman"/>
      <w:lvlText w:val="%9."/>
      <w:lvlJc w:val="right"/>
      <w:pPr>
        <w:tabs>
          <w:tab w:val="num" w:pos="6480"/>
        </w:tabs>
        <w:ind w:left="6480" w:hanging="180"/>
      </w:pPr>
    </w:lvl>
  </w:abstractNum>
  <w:abstractNum w:abstractNumId="1">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B4421C"/>
    <w:multiLevelType w:val="hybridMultilevel"/>
    <w:tmpl w:val="D87EFEDE"/>
    <w:lvl w:ilvl="0" w:tplc="B6BCB83E">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2"/>
  </w:compat>
  <w:rsids>
    <w:rsidRoot w:val="009A30DE"/>
    <w:rsid w:val="001747B4"/>
    <w:rsid w:val="001F0937"/>
    <w:rsid w:val="005431C7"/>
    <w:rsid w:val="005D17BC"/>
    <w:rsid w:val="006A324D"/>
    <w:rsid w:val="006F7264"/>
    <w:rsid w:val="007A666B"/>
    <w:rsid w:val="007B527F"/>
    <w:rsid w:val="009640DA"/>
    <w:rsid w:val="009976C1"/>
    <w:rsid w:val="009A30DE"/>
    <w:rsid w:val="00AB0A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qFormat/>
    <w:rsid w:val="009A30DE"/>
    <w:pPr>
      <w:ind w:left="708"/>
    </w:pPr>
  </w:style>
  <w:style w:type="paragraph" w:styleId="Geenafstand">
    <w:name w:val="No Spacing"/>
    <w:uiPriority w:val="1"/>
    <w:qFormat/>
    <w:rsid w:val="009A30DE"/>
    <w:rPr>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Ilse%20en%20Marielle\Schriftelijke%20vragen\Procedure\Schriftelijke%20vraag%20-%20antwoord%20-%20bijlage%203.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coolsi\Local%20Settings\Temporary%20Internet%20Files\Content.IE5\IITGWJUD\personenwagens_brandstof_web_2012_def%5b1%5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5689280930391"/>
          <c:y val="7.8723404255319276E-2"/>
          <c:w val="0.64397252323321663"/>
          <c:h val="0.78510638297872337"/>
        </c:manualLayout>
      </c:layout>
      <c:barChart>
        <c:barDir val="col"/>
        <c:grouping val="stacked"/>
        <c:varyColors val="1"/>
        <c:ser>
          <c:idx val="0"/>
          <c:order val="0"/>
          <c:tx>
            <c:strRef>
              <c:f>figuur!$A$3</c:f>
              <c:strCache>
                <c:ptCount val="1"/>
                <c:pt idx="0">
                  <c:v>benzineauto &lt; 1,4 l</c:v>
                </c:pt>
              </c:strCache>
            </c:strRef>
          </c:tx>
          <c:spPr>
            <a:solidFill>
              <a:srgbClr val="FFCC99"/>
            </a:solidFill>
            <a:ln w="12700">
              <a:solidFill>
                <a:srgbClr val="000000"/>
              </a:solidFill>
              <a:prstDash val="solid"/>
            </a:ln>
          </c:spPr>
          <c:invertIfNegative val="1"/>
          <c:cat>
            <c:numRef>
              <c:f>figuur!$B$2:$Q$2</c:f>
              <c:numCache>
                <c:formatCode>General</c:formatCode>
                <c:ptCount val="16"/>
                <c:pt idx="0">
                  <c:v>1990</c:v>
                </c:pt>
                <c:pt idx="2">
                  <c:v>1995</c:v>
                </c:pt>
                <c:pt idx="4">
                  <c:v>2000</c:v>
                </c:pt>
                <c:pt idx="5">
                  <c:v>2001</c:v>
                </c:pt>
                <c:pt idx="6">
                  <c:v>2002</c:v>
                </c:pt>
                <c:pt idx="7">
                  <c:v>2003</c:v>
                </c:pt>
                <c:pt idx="8" formatCode="0">
                  <c:v>2004</c:v>
                </c:pt>
                <c:pt idx="9">
                  <c:v>2005</c:v>
                </c:pt>
                <c:pt idx="10">
                  <c:v>2006</c:v>
                </c:pt>
                <c:pt idx="11">
                  <c:v>2007</c:v>
                </c:pt>
                <c:pt idx="12">
                  <c:v>2008</c:v>
                </c:pt>
                <c:pt idx="13">
                  <c:v>2009</c:v>
                </c:pt>
                <c:pt idx="14">
                  <c:v>2010</c:v>
                </c:pt>
                <c:pt idx="15">
                  <c:v>2011</c:v>
                </c:pt>
              </c:numCache>
            </c:numRef>
          </c:cat>
          <c:val>
            <c:numRef>
              <c:f>figuur!$B$3:$Q$3</c:f>
              <c:numCache>
                <c:formatCode>General</c:formatCode>
                <c:ptCount val="16"/>
                <c:pt idx="0" formatCode="0.0">
                  <c:v>813.37398462016176</c:v>
                </c:pt>
                <c:pt idx="2" formatCode="0.0">
                  <c:v>713.1690000000001</c:v>
                </c:pt>
                <c:pt idx="4" formatCode="0.0">
                  <c:v>720.61699999999996</c:v>
                </c:pt>
                <c:pt idx="5" formatCode="0.0">
                  <c:v>720.04300000000001</c:v>
                </c:pt>
                <c:pt idx="6" formatCode="0.0">
                  <c:v>717.10199999999998</c:v>
                </c:pt>
                <c:pt idx="7" formatCode="0.0">
                  <c:v>714.20799999999997</c:v>
                </c:pt>
                <c:pt idx="8" formatCode="0.0">
                  <c:v>711.70999999999992</c:v>
                </c:pt>
                <c:pt idx="9" formatCode="0.0">
                  <c:v>707.78200000000004</c:v>
                </c:pt>
                <c:pt idx="10" formatCode="0.0">
                  <c:v>702.226</c:v>
                </c:pt>
                <c:pt idx="11" formatCode="0.0">
                  <c:v>698.18799999999999</c:v>
                </c:pt>
                <c:pt idx="12" formatCode="0.0">
                  <c:v>699.72</c:v>
                </c:pt>
                <c:pt idx="13" formatCode="0.0">
                  <c:v>695.26600000000008</c:v>
                </c:pt>
                <c:pt idx="14" formatCode="0.0">
                  <c:v>696.572</c:v>
                </c:pt>
                <c:pt idx="15" formatCode="0.0">
                  <c:v>700.21799999999996</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
          <c:order val="1"/>
          <c:tx>
            <c:strRef>
              <c:f>figuur!$A$4</c:f>
              <c:strCache>
                <c:ptCount val="1"/>
                <c:pt idx="0">
                  <c:v>benzineauto 1,4 - 2 l</c:v>
                </c:pt>
              </c:strCache>
            </c:strRef>
          </c:tx>
          <c:spPr>
            <a:solidFill>
              <a:srgbClr val="FF99CC"/>
            </a:solidFill>
            <a:ln w="12700">
              <a:solidFill>
                <a:srgbClr val="000000"/>
              </a:solidFill>
              <a:prstDash val="solid"/>
            </a:ln>
          </c:spPr>
          <c:invertIfNegative val="1"/>
          <c:cat>
            <c:numRef>
              <c:f>figuur!$B$2:$Q$2</c:f>
              <c:numCache>
                <c:formatCode>General</c:formatCode>
                <c:ptCount val="16"/>
                <c:pt idx="0">
                  <c:v>1990</c:v>
                </c:pt>
                <c:pt idx="2">
                  <c:v>1995</c:v>
                </c:pt>
                <c:pt idx="4">
                  <c:v>2000</c:v>
                </c:pt>
                <c:pt idx="5">
                  <c:v>2001</c:v>
                </c:pt>
                <c:pt idx="6">
                  <c:v>2002</c:v>
                </c:pt>
                <c:pt idx="7">
                  <c:v>2003</c:v>
                </c:pt>
                <c:pt idx="8" formatCode="0">
                  <c:v>2004</c:v>
                </c:pt>
                <c:pt idx="9">
                  <c:v>2005</c:v>
                </c:pt>
                <c:pt idx="10">
                  <c:v>2006</c:v>
                </c:pt>
                <c:pt idx="11">
                  <c:v>2007</c:v>
                </c:pt>
                <c:pt idx="12">
                  <c:v>2008</c:v>
                </c:pt>
                <c:pt idx="13">
                  <c:v>2009</c:v>
                </c:pt>
                <c:pt idx="14">
                  <c:v>2010</c:v>
                </c:pt>
                <c:pt idx="15">
                  <c:v>2011</c:v>
                </c:pt>
              </c:numCache>
            </c:numRef>
          </c:cat>
          <c:val>
            <c:numRef>
              <c:f>figuur!$B$4:$Q$4</c:f>
              <c:numCache>
                <c:formatCode>General</c:formatCode>
                <c:ptCount val="16"/>
                <c:pt idx="0" formatCode="0.0">
                  <c:v>661.78121116147133</c:v>
                </c:pt>
                <c:pt idx="2" formatCode="0.0">
                  <c:v>765.45999999999958</c:v>
                </c:pt>
                <c:pt idx="4" formatCode="0.0">
                  <c:v>697.67199999999991</c:v>
                </c:pt>
                <c:pt idx="5" formatCode="0.0">
                  <c:v>673.46099999999956</c:v>
                </c:pt>
                <c:pt idx="6" formatCode="0.0">
                  <c:v>650.4539999999995</c:v>
                </c:pt>
                <c:pt idx="7" formatCode="0.0">
                  <c:v>623.755</c:v>
                </c:pt>
                <c:pt idx="8" formatCode="0.0">
                  <c:v>593.54300000000001</c:v>
                </c:pt>
                <c:pt idx="9" formatCode="0.0">
                  <c:v>562.32499999999948</c:v>
                </c:pt>
                <c:pt idx="10" formatCode="0.0">
                  <c:v>523.80599999999959</c:v>
                </c:pt>
                <c:pt idx="11" formatCode="0.0">
                  <c:v>492.46099999999973</c:v>
                </c:pt>
                <c:pt idx="12" formatCode="0.0">
                  <c:v>462.53599999999977</c:v>
                </c:pt>
                <c:pt idx="13" formatCode="0.0">
                  <c:v>438.51299999999975</c:v>
                </c:pt>
                <c:pt idx="14" formatCode="0.0">
                  <c:v>421.52099999999973</c:v>
                </c:pt>
                <c:pt idx="15" formatCode="0.0">
                  <c:v>406.50399999999973</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2"/>
          <c:order val="2"/>
          <c:tx>
            <c:strRef>
              <c:f>figuur!$A$5</c:f>
              <c:strCache>
                <c:ptCount val="1"/>
                <c:pt idx="0">
                  <c:v>benzineauto &gt; 2 l</c:v>
                </c:pt>
              </c:strCache>
            </c:strRef>
          </c:tx>
          <c:spPr>
            <a:solidFill>
              <a:srgbClr val="FF00FF"/>
            </a:solidFill>
            <a:ln w="12700">
              <a:solidFill>
                <a:srgbClr val="000000"/>
              </a:solidFill>
              <a:prstDash val="solid"/>
            </a:ln>
          </c:spPr>
          <c:invertIfNegative val="1"/>
          <c:cat>
            <c:numRef>
              <c:f>figuur!$B$2:$Q$2</c:f>
              <c:numCache>
                <c:formatCode>General</c:formatCode>
                <c:ptCount val="16"/>
                <c:pt idx="0">
                  <c:v>1990</c:v>
                </c:pt>
                <c:pt idx="2">
                  <c:v>1995</c:v>
                </c:pt>
                <c:pt idx="4">
                  <c:v>2000</c:v>
                </c:pt>
                <c:pt idx="5">
                  <c:v>2001</c:v>
                </c:pt>
                <c:pt idx="6">
                  <c:v>2002</c:v>
                </c:pt>
                <c:pt idx="7">
                  <c:v>2003</c:v>
                </c:pt>
                <c:pt idx="8" formatCode="0">
                  <c:v>2004</c:v>
                </c:pt>
                <c:pt idx="9">
                  <c:v>2005</c:v>
                </c:pt>
                <c:pt idx="10">
                  <c:v>2006</c:v>
                </c:pt>
                <c:pt idx="11">
                  <c:v>2007</c:v>
                </c:pt>
                <c:pt idx="12">
                  <c:v>2008</c:v>
                </c:pt>
                <c:pt idx="13">
                  <c:v>2009</c:v>
                </c:pt>
                <c:pt idx="14">
                  <c:v>2010</c:v>
                </c:pt>
                <c:pt idx="15">
                  <c:v>2011</c:v>
                </c:pt>
              </c:numCache>
            </c:numRef>
          </c:cat>
          <c:val>
            <c:numRef>
              <c:f>figuur!$B$5:$Q$5</c:f>
              <c:numCache>
                <c:formatCode>General</c:formatCode>
                <c:ptCount val="16"/>
                <c:pt idx="0" formatCode="0.0">
                  <c:v>116.61244211919714</c:v>
                </c:pt>
                <c:pt idx="2" formatCode="0.0">
                  <c:v>128.65200000000004</c:v>
                </c:pt>
                <c:pt idx="4" formatCode="0.0">
                  <c:v>121.194</c:v>
                </c:pt>
                <c:pt idx="5" formatCode="0.0">
                  <c:v>117.73899999999999</c:v>
                </c:pt>
                <c:pt idx="6" formatCode="0.0">
                  <c:v>114.24400000000006</c:v>
                </c:pt>
                <c:pt idx="7" formatCode="0.0">
                  <c:v>110.93400000000007</c:v>
                </c:pt>
                <c:pt idx="8" formatCode="0.0">
                  <c:v>107.033</c:v>
                </c:pt>
                <c:pt idx="9" formatCode="0.0">
                  <c:v>103.248</c:v>
                </c:pt>
                <c:pt idx="10" formatCode="0.0">
                  <c:v>99.36399999999999</c:v>
                </c:pt>
                <c:pt idx="11" formatCode="0.0">
                  <c:v>96.203999999999994</c:v>
                </c:pt>
                <c:pt idx="12" formatCode="0.0">
                  <c:v>93.632999999999981</c:v>
                </c:pt>
                <c:pt idx="13" formatCode="0.0">
                  <c:v>91.783000000000001</c:v>
                </c:pt>
                <c:pt idx="14" formatCode="0.0">
                  <c:v>90.098000000000013</c:v>
                </c:pt>
                <c:pt idx="15" formatCode="0.0">
                  <c:v>87.134</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3"/>
          <c:order val="3"/>
          <c:tx>
            <c:strRef>
              <c:f>figuur!$A$6</c:f>
              <c:strCache>
                <c:ptCount val="1"/>
                <c:pt idx="0">
                  <c:v>dieselauto &lt; 1,4 l</c:v>
                </c:pt>
              </c:strCache>
            </c:strRef>
          </c:tx>
          <c:spPr>
            <a:solidFill>
              <a:srgbClr val="CCFFFF"/>
            </a:solidFill>
            <a:ln w="12700">
              <a:solidFill>
                <a:srgbClr val="000000"/>
              </a:solidFill>
              <a:prstDash val="solid"/>
            </a:ln>
          </c:spPr>
          <c:invertIfNegative val="1"/>
          <c:cat>
            <c:numRef>
              <c:f>figuur!$B$2:$Q$2</c:f>
              <c:numCache>
                <c:formatCode>General</c:formatCode>
                <c:ptCount val="16"/>
                <c:pt idx="0">
                  <c:v>1990</c:v>
                </c:pt>
                <c:pt idx="2">
                  <c:v>1995</c:v>
                </c:pt>
                <c:pt idx="4">
                  <c:v>2000</c:v>
                </c:pt>
                <c:pt idx="5">
                  <c:v>2001</c:v>
                </c:pt>
                <c:pt idx="6">
                  <c:v>2002</c:v>
                </c:pt>
                <c:pt idx="7">
                  <c:v>2003</c:v>
                </c:pt>
                <c:pt idx="8" formatCode="0">
                  <c:v>2004</c:v>
                </c:pt>
                <c:pt idx="9">
                  <c:v>2005</c:v>
                </c:pt>
                <c:pt idx="10">
                  <c:v>2006</c:v>
                </c:pt>
                <c:pt idx="11">
                  <c:v>2007</c:v>
                </c:pt>
                <c:pt idx="12">
                  <c:v>2008</c:v>
                </c:pt>
                <c:pt idx="13">
                  <c:v>2009</c:v>
                </c:pt>
                <c:pt idx="14">
                  <c:v>2010</c:v>
                </c:pt>
                <c:pt idx="15">
                  <c:v>2011</c:v>
                </c:pt>
              </c:numCache>
            </c:numRef>
          </c:cat>
          <c:val>
            <c:numRef>
              <c:f>figuur!$B$6:$Q$6</c:f>
              <c:numCache>
                <c:formatCode>General</c:formatCode>
                <c:ptCount val="16"/>
                <c:pt idx="0" formatCode="0.0">
                  <c:v>3.556355361108932</c:v>
                </c:pt>
                <c:pt idx="2" formatCode="0.0">
                  <c:v>4.2570000000000006</c:v>
                </c:pt>
                <c:pt idx="4" formatCode="0.0">
                  <c:v>4.3</c:v>
                </c:pt>
                <c:pt idx="5" formatCode="0.0">
                  <c:v>4.5939999999999985</c:v>
                </c:pt>
                <c:pt idx="6" formatCode="0.0">
                  <c:v>11.524000000000001</c:v>
                </c:pt>
                <c:pt idx="7" formatCode="0.0">
                  <c:v>25.329000000000001</c:v>
                </c:pt>
                <c:pt idx="8" formatCode="0.0">
                  <c:v>45.745000000000012</c:v>
                </c:pt>
                <c:pt idx="9" formatCode="0.0">
                  <c:v>64.513999999999996</c:v>
                </c:pt>
                <c:pt idx="10" formatCode="0.0">
                  <c:v>91.367000000000004</c:v>
                </c:pt>
                <c:pt idx="11" formatCode="0.0">
                  <c:v>115.059</c:v>
                </c:pt>
                <c:pt idx="12" formatCode="0.0">
                  <c:v>134.60900000000001</c:v>
                </c:pt>
                <c:pt idx="13" formatCode="0.0">
                  <c:v>149.57500000000002</c:v>
                </c:pt>
                <c:pt idx="14" formatCode="0.0">
                  <c:v>165.67200000000003</c:v>
                </c:pt>
                <c:pt idx="15" formatCode="0.0">
                  <c:v>182.37200000000001</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4"/>
          <c:order val="4"/>
          <c:tx>
            <c:strRef>
              <c:f>figuur!$A$7</c:f>
              <c:strCache>
                <c:ptCount val="1"/>
                <c:pt idx="0">
                  <c:v>dieselauto 1,4 - 2 l</c:v>
                </c:pt>
              </c:strCache>
            </c:strRef>
          </c:tx>
          <c:spPr>
            <a:solidFill>
              <a:srgbClr val="9999FF"/>
            </a:solidFill>
            <a:ln w="12700">
              <a:solidFill>
                <a:srgbClr val="000000"/>
              </a:solidFill>
              <a:prstDash val="solid"/>
            </a:ln>
          </c:spPr>
          <c:invertIfNegative val="1"/>
          <c:cat>
            <c:numRef>
              <c:f>figuur!$B$2:$Q$2</c:f>
              <c:numCache>
                <c:formatCode>General</c:formatCode>
                <c:ptCount val="16"/>
                <c:pt idx="0">
                  <c:v>1990</c:v>
                </c:pt>
                <c:pt idx="2">
                  <c:v>1995</c:v>
                </c:pt>
                <c:pt idx="4">
                  <c:v>2000</c:v>
                </c:pt>
                <c:pt idx="5">
                  <c:v>2001</c:v>
                </c:pt>
                <c:pt idx="6">
                  <c:v>2002</c:v>
                </c:pt>
                <c:pt idx="7">
                  <c:v>2003</c:v>
                </c:pt>
                <c:pt idx="8" formatCode="0">
                  <c:v>2004</c:v>
                </c:pt>
                <c:pt idx="9">
                  <c:v>2005</c:v>
                </c:pt>
                <c:pt idx="10">
                  <c:v>2006</c:v>
                </c:pt>
                <c:pt idx="11">
                  <c:v>2007</c:v>
                </c:pt>
                <c:pt idx="12">
                  <c:v>2008</c:v>
                </c:pt>
                <c:pt idx="13">
                  <c:v>2009</c:v>
                </c:pt>
                <c:pt idx="14">
                  <c:v>2010</c:v>
                </c:pt>
                <c:pt idx="15">
                  <c:v>2011</c:v>
                </c:pt>
              </c:numCache>
            </c:numRef>
          </c:cat>
          <c:val>
            <c:numRef>
              <c:f>figuur!$B$7:$Q$7</c:f>
              <c:numCache>
                <c:formatCode>General</c:formatCode>
                <c:ptCount val="16"/>
                <c:pt idx="0" formatCode="0.0">
                  <c:v>428.38126020347249</c:v>
                </c:pt>
                <c:pt idx="2" formatCode="0.0">
                  <c:v>645.14499999999998</c:v>
                </c:pt>
                <c:pt idx="4" formatCode="0.0">
                  <c:v>932.91800000000001</c:v>
                </c:pt>
                <c:pt idx="5" formatCode="0.0">
                  <c:v>988.80900000000008</c:v>
                </c:pt>
                <c:pt idx="6" formatCode="0.0">
                  <c:v>1034.0249999999999</c:v>
                </c:pt>
                <c:pt idx="7" formatCode="0.0">
                  <c:v>1075.5619999999999</c:v>
                </c:pt>
                <c:pt idx="8" formatCode="0.0">
                  <c:v>1117.259</c:v>
                </c:pt>
                <c:pt idx="9" formatCode="0.0">
                  <c:v>1160.9150000000009</c:v>
                </c:pt>
                <c:pt idx="10" formatCode="0.0">
                  <c:v>1215.8499999999999</c:v>
                </c:pt>
                <c:pt idx="11" formatCode="0.0">
                  <c:v>1264.8579999999999</c:v>
                </c:pt>
                <c:pt idx="12" formatCode="0.0">
                  <c:v>1317.356</c:v>
                </c:pt>
                <c:pt idx="13" formatCode="0.0">
                  <c:v>1360.5510000000002</c:v>
                </c:pt>
                <c:pt idx="14" formatCode="0.0">
                  <c:v>1440.2260000000001</c:v>
                </c:pt>
                <c:pt idx="15" formatCode="0.0">
                  <c:v>1487.9360000000001</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5"/>
          <c:order val="5"/>
          <c:tx>
            <c:strRef>
              <c:f>figuur!$A$8</c:f>
              <c:strCache>
                <c:ptCount val="1"/>
                <c:pt idx="0">
                  <c:v>dieselauto &gt; 2 l</c:v>
                </c:pt>
              </c:strCache>
            </c:strRef>
          </c:tx>
          <c:spPr>
            <a:solidFill>
              <a:srgbClr val="000080"/>
            </a:solidFill>
            <a:ln w="12700">
              <a:solidFill>
                <a:srgbClr val="000000"/>
              </a:solidFill>
              <a:prstDash val="solid"/>
            </a:ln>
          </c:spPr>
          <c:invertIfNegative val="1"/>
          <c:cat>
            <c:numRef>
              <c:f>figuur!$B$2:$Q$2</c:f>
              <c:numCache>
                <c:formatCode>General</c:formatCode>
                <c:ptCount val="16"/>
                <c:pt idx="0">
                  <c:v>1990</c:v>
                </c:pt>
                <c:pt idx="2">
                  <c:v>1995</c:v>
                </c:pt>
                <c:pt idx="4">
                  <c:v>2000</c:v>
                </c:pt>
                <c:pt idx="5">
                  <c:v>2001</c:v>
                </c:pt>
                <c:pt idx="6">
                  <c:v>2002</c:v>
                </c:pt>
                <c:pt idx="7">
                  <c:v>2003</c:v>
                </c:pt>
                <c:pt idx="8" formatCode="0">
                  <c:v>2004</c:v>
                </c:pt>
                <c:pt idx="9">
                  <c:v>2005</c:v>
                </c:pt>
                <c:pt idx="10">
                  <c:v>2006</c:v>
                </c:pt>
                <c:pt idx="11">
                  <c:v>2007</c:v>
                </c:pt>
                <c:pt idx="12">
                  <c:v>2008</c:v>
                </c:pt>
                <c:pt idx="13">
                  <c:v>2009</c:v>
                </c:pt>
                <c:pt idx="14">
                  <c:v>2010</c:v>
                </c:pt>
                <c:pt idx="15">
                  <c:v>2011</c:v>
                </c:pt>
              </c:numCache>
            </c:numRef>
          </c:cat>
          <c:val>
            <c:numRef>
              <c:f>figuur!$B$8:$Q$8</c:f>
              <c:numCache>
                <c:formatCode>General</c:formatCode>
                <c:ptCount val="16"/>
                <c:pt idx="0" formatCode="0.0">
                  <c:v>201.33172945147078</c:v>
                </c:pt>
                <c:pt idx="2" formatCode="0.0">
                  <c:v>244.30800000000011</c:v>
                </c:pt>
                <c:pt idx="4" formatCode="0.0">
                  <c:v>239.73499999999999</c:v>
                </c:pt>
                <c:pt idx="5" formatCode="0.0">
                  <c:v>242.727</c:v>
                </c:pt>
                <c:pt idx="6" formatCode="0.0">
                  <c:v>250.75599999999997</c:v>
                </c:pt>
                <c:pt idx="7" formatCode="0.0">
                  <c:v>260.98699999999963</c:v>
                </c:pt>
                <c:pt idx="8" formatCode="0.0">
                  <c:v>270.51399999999967</c:v>
                </c:pt>
                <c:pt idx="9" formatCode="0.0">
                  <c:v>278.02700000000004</c:v>
                </c:pt>
                <c:pt idx="10" formatCode="0.0">
                  <c:v>290.57300000000004</c:v>
                </c:pt>
                <c:pt idx="11" formatCode="0.0">
                  <c:v>303.45</c:v>
                </c:pt>
                <c:pt idx="12" formatCode="0.0">
                  <c:v>318.48099999999965</c:v>
                </c:pt>
                <c:pt idx="13" formatCode="0.0">
                  <c:v>329.22099999999978</c:v>
                </c:pt>
                <c:pt idx="14" formatCode="0.0">
                  <c:v>340.91499999999979</c:v>
                </c:pt>
                <c:pt idx="15" formatCode="0.0">
                  <c:v>345.94599999999974</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6"/>
          <c:order val="6"/>
          <c:tx>
            <c:strRef>
              <c:f>figuur!$A$9</c:f>
              <c:strCache>
                <c:ptCount val="1"/>
                <c:pt idx="0">
                  <c:v>LPG-auto</c:v>
                </c:pt>
              </c:strCache>
            </c:strRef>
          </c:tx>
          <c:spPr>
            <a:solidFill>
              <a:srgbClr val="FFFF00"/>
            </a:solidFill>
            <a:ln w="12700">
              <a:solidFill>
                <a:srgbClr val="000000"/>
              </a:solidFill>
              <a:prstDash val="solid"/>
            </a:ln>
          </c:spPr>
          <c:invertIfNegative val="1"/>
          <c:cat>
            <c:numRef>
              <c:f>figuur!$B$2:$Q$2</c:f>
              <c:numCache>
                <c:formatCode>General</c:formatCode>
                <c:ptCount val="16"/>
                <c:pt idx="0">
                  <c:v>1990</c:v>
                </c:pt>
                <c:pt idx="2">
                  <c:v>1995</c:v>
                </c:pt>
                <c:pt idx="4">
                  <c:v>2000</c:v>
                </c:pt>
                <c:pt idx="5">
                  <c:v>2001</c:v>
                </c:pt>
                <c:pt idx="6">
                  <c:v>2002</c:v>
                </c:pt>
                <c:pt idx="7">
                  <c:v>2003</c:v>
                </c:pt>
                <c:pt idx="8" formatCode="0">
                  <c:v>2004</c:v>
                </c:pt>
                <c:pt idx="9">
                  <c:v>2005</c:v>
                </c:pt>
                <c:pt idx="10">
                  <c:v>2006</c:v>
                </c:pt>
                <c:pt idx="11">
                  <c:v>2007</c:v>
                </c:pt>
                <c:pt idx="12">
                  <c:v>2008</c:v>
                </c:pt>
                <c:pt idx="13">
                  <c:v>2009</c:v>
                </c:pt>
                <c:pt idx="14">
                  <c:v>2010</c:v>
                </c:pt>
                <c:pt idx="15">
                  <c:v>2011</c:v>
                </c:pt>
              </c:numCache>
            </c:numRef>
          </c:cat>
          <c:val>
            <c:numRef>
              <c:f>figuur!$B$9:$Q$9</c:f>
              <c:numCache>
                <c:formatCode>General</c:formatCode>
                <c:ptCount val="16"/>
                <c:pt idx="0" formatCode="0.0">
                  <c:v>30.522632467734056</c:v>
                </c:pt>
                <c:pt idx="2" formatCode="0.0">
                  <c:v>23.88</c:v>
                </c:pt>
                <c:pt idx="4" formatCode="0.0">
                  <c:v>40.144000000000005</c:v>
                </c:pt>
                <c:pt idx="5" formatCode="0.0">
                  <c:v>44.93</c:v>
                </c:pt>
                <c:pt idx="6" formatCode="0.0">
                  <c:v>44.506</c:v>
                </c:pt>
                <c:pt idx="7" formatCode="0.0">
                  <c:v>41.597000000000001</c:v>
                </c:pt>
                <c:pt idx="8" formatCode="0.0">
                  <c:v>38.522000000000013</c:v>
                </c:pt>
                <c:pt idx="9" formatCode="0.0">
                  <c:v>36.596000000000011</c:v>
                </c:pt>
                <c:pt idx="10" formatCode="0.0">
                  <c:v>33.51</c:v>
                </c:pt>
                <c:pt idx="11" formatCode="0.0">
                  <c:v>30.417999999999999</c:v>
                </c:pt>
                <c:pt idx="12" formatCode="0.0">
                  <c:v>28.152000000000001</c:v>
                </c:pt>
                <c:pt idx="13" formatCode="0.0">
                  <c:v>25.32</c:v>
                </c:pt>
                <c:pt idx="14" formatCode="0.0">
                  <c:v>22.643000000000001</c:v>
                </c:pt>
                <c:pt idx="15" formatCode="0.0">
                  <c:v>20.311000000000014</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7"/>
          <c:order val="7"/>
          <c:tx>
            <c:strRef>
              <c:f>figuur!$A$10</c:f>
              <c:strCache>
                <c:ptCount val="1"/>
                <c:pt idx="0">
                  <c:v>alternatieven</c:v>
                </c:pt>
              </c:strCache>
            </c:strRef>
          </c:tx>
          <c:spPr>
            <a:solidFill>
              <a:srgbClr val="FF0000"/>
            </a:solidFill>
            <a:ln w="12700">
              <a:solidFill>
                <a:srgbClr val="000000"/>
              </a:solidFill>
              <a:prstDash val="solid"/>
            </a:ln>
          </c:spPr>
          <c:invertIfNegative val="1"/>
          <c:cat>
            <c:numRef>
              <c:f>figuur!$B$2:$Q$2</c:f>
              <c:numCache>
                <c:formatCode>General</c:formatCode>
                <c:ptCount val="16"/>
                <c:pt idx="0">
                  <c:v>1990</c:v>
                </c:pt>
                <c:pt idx="2">
                  <c:v>1995</c:v>
                </c:pt>
                <c:pt idx="4">
                  <c:v>2000</c:v>
                </c:pt>
                <c:pt idx="5">
                  <c:v>2001</c:v>
                </c:pt>
                <c:pt idx="6">
                  <c:v>2002</c:v>
                </c:pt>
                <c:pt idx="7">
                  <c:v>2003</c:v>
                </c:pt>
                <c:pt idx="8" formatCode="0">
                  <c:v>2004</c:v>
                </c:pt>
                <c:pt idx="9">
                  <c:v>2005</c:v>
                </c:pt>
                <c:pt idx="10">
                  <c:v>2006</c:v>
                </c:pt>
                <c:pt idx="11">
                  <c:v>2007</c:v>
                </c:pt>
                <c:pt idx="12">
                  <c:v>2008</c:v>
                </c:pt>
                <c:pt idx="13">
                  <c:v>2009</c:v>
                </c:pt>
                <c:pt idx="14">
                  <c:v>2010</c:v>
                </c:pt>
                <c:pt idx="15">
                  <c:v>2011</c:v>
                </c:pt>
              </c:numCache>
            </c:numRef>
          </c:cat>
          <c:val>
            <c:numRef>
              <c:f>figuur!$B$10:$Q$10</c:f>
              <c:numCache>
                <c:formatCode>General</c:formatCode>
                <c:ptCount val="16"/>
                <c:pt idx="0" formatCode="0.0">
                  <c:v>5.0000000000000036E-3</c:v>
                </c:pt>
                <c:pt idx="2" formatCode="0.0">
                  <c:v>6.0000000000000045E-3</c:v>
                </c:pt>
                <c:pt idx="4" formatCode="0.0">
                  <c:v>1.7000000000000005E-2</c:v>
                </c:pt>
                <c:pt idx="5" formatCode="0.0">
                  <c:v>3.3000000000000002E-2</c:v>
                </c:pt>
                <c:pt idx="6" formatCode="0.0">
                  <c:v>4.2000000000000023E-2</c:v>
                </c:pt>
                <c:pt idx="7" formatCode="0.0">
                  <c:v>5.7000000000000023E-2</c:v>
                </c:pt>
                <c:pt idx="8" formatCode="0.0">
                  <c:v>0.11500000000000002</c:v>
                </c:pt>
                <c:pt idx="9" formatCode="0.0">
                  <c:v>0.40700000000000008</c:v>
                </c:pt>
                <c:pt idx="10" formatCode="0.0">
                  <c:v>0.94099999999999995</c:v>
                </c:pt>
                <c:pt idx="11" formatCode="0.0">
                  <c:v>1.7189999999999994</c:v>
                </c:pt>
                <c:pt idx="12" formatCode="0.0">
                  <c:v>2.7410000000000001</c:v>
                </c:pt>
                <c:pt idx="13" formatCode="0.0">
                  <c:v>3.6139999999999999</c:v>
                </c:pt>
                <c:pt idx="14" formatCode="0.0">
                  <c:v>5.5339999999999998</c:v>
                </c:pt>
                <c:pt idx="15" formatCode="0.0">
                  <c:v>9.3480000000000008</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dLbls>
          <c:showLegendKey val="0"/>
          <c:showVal val="0"/>
          <c:showCatName val="0"/>
          <c:showSerName val="0"/>
          <c:showPercent val="0"/>
          <c:showBubbleSize val="0"/>
        </c:dLbls>
        <c:gapWidth val="150"/>
        <c:overlap val="100"/>
        <c:axId val="144910592"/>
        <c:axId val="147637376"/>
      </c:barChart>
      <c:catAx>
        <c:axId val="144910592"/>
        <c:scaling>
          <c:orientation val="minMax"/>
        </c:scaling>
        <c:delete val="1"/>
        <c:axPos val="b"/>
        <c:numFmt formatCode="General" sourceLinked="1"/>
        <c:majorTickMark val="cross"/>
        <c:minorTickMark val="cross"/>
        <c:tickLblPos val="none"/>
        <c:crossAx val="147637376"/>
        <c:crosses val="autoZero"/>
        <c:auto val="1"/>
        <c:lblAlgn val="ctr"/>
        <c:lblOffset val="100"/>
        <c:tickMarkSkip val="1"/>
        <c:noMultiLvlLbl val="1"/>
      </c:catAx>
      <c:valAx>
        <c:axId val="147637376"/>
        <c:scaling>
          <c:orientation val="minMax"/>
          <c:max val="3500"/>
        </c:scaling>
        <c:delete val="1"/>
        <c:axPos val="l"/>
        <c:majorGridlines>
          <c:spPr>
            <a:ln w="3175">
              <a:solidFill>
                <a:srgbClr val="000000"/>
              </a:solidFill>
              <a:prstDash val="solid"/>
            </a:ln>
          </c:spPr>
        </c:majorGridlines>
        <c:numFmt formatCode="#\ ###" sourceLinked="0"/>
        <c:majorTickMark val="cross"/>
        <c:minorTickMark val="cross"/>
        <c:tickLblPos val="none"/>
        <c:crossAx val="144910592"/>
        <c:crosses val="autoZero"/>
        <c:crossBetween val="between"/>
      </c:valAx>
      <c:spPr>
        <a:solidFill>
          <a:srgbClr val="FFFFFF"/>
        </a:solidFill>
        <a:ln w="3175">
          <a:solidFill>
            <a:srgbClr val="000000"/>
          </a:solidFill>
          <a:prstDash val="solid"/>
        </a:ln>
      </c:spPr>
    </c:plotArea>
    <c:legend>
      <c:legendPos val="r"/>
      <c:layout>
        <c:manualLayout>
          <c:xMode val="edge"/>
          <c:yMode val="edge"/>
          <c:x val="0.77872446810070628"/>
          <c:y val="0.30212765957446858"/>
          <c:w val="0.20992932447689883"/>
          <c:h val="0.36808510638297937"/>
        </c:manualLayout>
      </c:layout>
      <c:overlay val="1"/>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nl-BE"/>
        </a:p>
      </c:txPr>
    </c:legend>
    <c:plotVisOnly val="1"/>
    <c:dispBlanksAs val="gap"/>
    <c:showDLblsOverMax val="1"/>
  </c:chart>
  <c:spPr>
    <a:solidFill>
      <a:srgbClr val="FFFFFF"/>
    </a:solidFill>
    <a:ln w="3175">
      <a:solidFill>
        <a:sysClr val="windowText" lastClr="000000"/>
      </a:solidFill>
      <a:prstDash val="solid"/>
    </a:ln>
  </c:spPr>
  <c:txPr>
    <a:bodyPr/>
    <a:lstStyle/>
    <a:p>
      <a:pPr>
        <a:defRPr sz="1150" b="0" i="0" u="none" strike="noStrike" baseline="0">
          <a:solidFill>
            <a:srgbClr val="000000"/>
          </a:solidFill>
          <a:latin typeface="Arial"/>
          <a:ea typeface="Arial"/>
          <a:cs typeface="Arial"/>
        </a:defRPr>
      </a:pPr>
      <a:endParaRPr lang="nl-BE"/>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0.25865</cdr:x>
      <cdr:y>0.04922</cdr:y>
    </cdr:from>
    <cdr:to>
      <cdr:x>0.57547</cdr:x>
      <cdr:y>0.34873</cdr:y>
    </cdr:to>
    <cdr:sp macro="" textlink="">
      <cdr:nvSpPr>
        <cdr:cNvPr id="2" name="TextBox 1"/>
        <cdr:cNvSpPr txBox="1"/>
      </cdr:nvSpPr>
      <cdr:spPr>
        <a:xfrm xmlns:a="http://schemas.openxmlformats.org/drawingml/2006/main">
          <a:off x="2876549" y="228600"/>
          <a:ext cx="282892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BE"/>
        </a:p>
      </cdr:txBody>
    </cdr:sp>
  </cdr:relSizeAnchor>
  <cdr:relSizeAnchor xmlns:cdr="http://schemas.openxmlformats.org/drawingml/2006/chartDrawing">
    <cdr:from>
      <cdr:x>0.00412</cdr:x>
      <cdr:y>0.00792</cdr:y>
    </cdr:from>
    <cdr:to>
      <cdr:x>0.23136</cdr:x>
      <cdr:y>0.07399</cdr:y>
    </cdr:to>
    <cdr:sp macro="" textlink="">
      <cdr:nvSpPr>
        <cdr:cNvPr id="11266" name="TextBox 2"/>
        <cdr:cNvSpPr txBox="1">
          <a:spLocks xmlns:a="http://schemas.openxmlformats.org/drawingml/2006/main" noChangeArrowheads="1"/>
        </cdr:cNvSpPr>
      </cdr:nvSpPr>
      <cdr:spPr bwMode="auto">
        <a:xfrm xmlns:a="http://schemas.openxmlformats.org/drawingml/2006/main">
          <a:off x="30912" y="38725"/>
          <a:ext cx="1528077" cy="29639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nl-BE" sz="925" b="0" i="0" u="none" strike="noStrike" baseline="0">
              <a:solidFill>
                <a:srgbClr val="000000"/>
              </a:solidFill>
              <a:latin typeface="Arial"/>
              <a:cs typeface="Arial"/>
            </a:rPr>
            <a:t>aantal voertuigen (duizend)</a:t>
          </a:r>
        </a:p>
      </cdr:txBody>
    </cdr:sp>
  </cdr:relSizeAnchor>
  <cdr:relSizeAnchor xmlns:cdr="http://schemas.openxmlformats.org/drawingml/2006/chartDrawing">
    <cdr:from>
      <cdr:x>0.12218</cdr:x>
      <cdr:y>0.92772</cdr:y>
    </cdr:from>
    <cdr:to>
      <cdr:x>0.76346</cdr:x>
      <cdr:y>0.97666</cdr:y>
    </cdr:to>
    <cdr:sp macro="" textlink="">
      <cdr:nvSpPr>
        <cdr:cNvPr id="11267" name="Text Box 3"/>
        <cdr:cNvSpPr txBox="1">
          <a:spLocks xmlns:a="http://schemas.openxmlformats.org/drawingml/2006/main" noChangeArrowheads="1"/>
        </cdr:cNvSpPr>
      </cdr:nvSpPr>
      <cdr:spPr bwMode="auto">
        <a:xfrm xmlns:a="http://schemas.openxmlformats.org/drawingml/2006/main">
          <a:off x="824782" y="4165190"/>
          <a:ext cx="4312425" cy="2195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nl-BE" sz="900" b="0" i="0" u="none" strike="noStrike" baseline="0">
              <a:solidFill>
                <a:srgbClr val="000000"/>
              </a:solidFill>
              <a:latin typeface="Arial"/>
              <a:cs typeface="Arial"/>
            </a:rPr>
            <a:t>alternatieven zijn hybride, elektrische en aardgasvoertuigen</a:t>
          </a:r>
        </a:p>
      </cdr:txBody>
    </cdr:sp>
  </cdr:relSizeAnchor>
</c:userShape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1</TotalTime>
  <Pages>2</Pages>
  <Words>673</Words>
  <Characters>3802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auwelail</dc:creator>
  <cp:lastModifiedBy>Vlaams Parlement</cp:lastModifiedBy>
  <cp:revision>2</cp:revision>
  <cp:lastPrinted>2013-01-17T15:58:00Z</cp:lastPrinted>
  <dcterms:created xsi:type="dcterms:W3CDTF">2013-01-17T15:58:00Z</dcterms:created>
  <dcterms:modified xsi:type="dcterms:W3CDTF">2013-01-17T15:58:00Z</dcterms:modified>
</cp:coreProperties>
</file>