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C2" w:rsidRPr="00A8473D" w:rsidRDefault="00A714C2" w:rsidP="00A714C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A714C2" w:rsidRPr="00A8473D" w:rsidRDefault="00A714C2" w:rsidP="00A714C2">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A714C2" w:rsidRPr="00DE405B" w:rsidRDefault="00A714C2" w:rsidP="00A714C2">
      <w:pPr>
        <w:pStyle w:val="StandaardSV"/>
        <w:pBdr>
          <w:bottom w:val="single" w:sz="4" w:space="1" w:color="auto"/>
        </w:pBdr>
        <w:rPr>
          <w:lang w:val="nl-BE"/>
        </w:rPr>
      </w:pPr>
    </w:p>
    <w:p w:rsidR="00A714C2" w:rsidRDefault="00A714C2" w:rsidP="00A714C2">
      <w:pPr>
        <w:jc w:val="both"/>
        <w:rPr>
          <w:sz w:val="22"/>
        </w:rPr>
      </w:pPr>
    </w:p>
    <w:p w:rsidR="0083087A" w:rsidRPr="0083087A" w:rsidRDefault="0083087A" w:rsidP="00A714C2">
      <w:pPr>
        <w:jc w:val="both"/>
        <w:outlineLvl w:val="0"/>
        <w:rPr>
          <w:b/>
          <w:smallCaps/>
          <w:sz w:val="22"/>
        </w:rPr>
      </w:pPr>
      <w:r w:rsidRPr="0083087A">
        <w:rPr>
          <w:b/>
          <w:smallCaps/>
          <w:sz w:val="22"/>
        </w:rPr>
        <w:t>antwoord</w:t>
      </w:r>
    </w:p>
    <w:p w:rsidR="00A714C2" w:rsidRDefault="0083087A" w:rsidP="0083087A">
      <w:pPr>
        <w:jc w:val="both"/>
        <w:outlineLvl w:val="0"/>
        <w:rPr>
          <w:sz w:val="22"/>
        </w:rPr>
      </w:pPr>
      <w:bookmarkStart w:id="0" w:name="_GoBack"/>
      <w:r>
        <w:rPr>
          <w:sz w:val="22"/>
        </w:rPr>
        <w:t>op v</w:t>
      </w:r>
      <w:r w:rsidR="00A714C2">
        <w:rPr>
          <w:sz w:val="22"/>
        </w:rPr>
        <w:t>raag nr. 122</w:t>
      </w:r>
      <w:r>
        <w:rPr>
          <w:sz w:val="22"/>
        </w:rPr>
        <w:t xml:space="preserve"> </w:t>
      </w:r>
      <w:r w:rsidR="00A714C2">
        <w:rPr>
          <w:sz w:val="22"/>
        </w:rPr>
        <w:t>van 3 december 2012</w:t>
      </w:r>
    </w:p>
    <w:bookmarkEnd w:id="0"/>
    <w:p w:rsidR="00A714C2" w:rsidRDefault="00A714C2" w:rsidP="00A714C2">
      <w:pPr>
        <w:jc w:val="both"/>
        <w:rPr>
          <w:b/>
          <w:sz w:val="22"/>
        </w:rPr>
      </w:pPr>
      <w:r>
        <w:rPr>
          <w:sz w:val="22"/>
        </w:rPr>
        <w:t xml:space="preserve">van </w:t>
      </w:r>
      <w:r>
        <w:rPr>
          <w:b/>
          <w:smallCaps/>
          <w:sz w:val="22"/>
        </w:rPr>
        <w:t>matthias diependaele</w:t>
      </w:r>
    </w:p>
    <w:p w:rsidR="00A714C2" w:rsidRDefault="00A714C2" w:rsidP="00A714C2">
      <w:pPr>
        <w:pBdr>
          <w:bottom w:val="single" w:sz="4" w:space="1" w:color="auto"/>
        </w:pBdr>
        <w:jc w:val="both"/>
        <w:rPr>
          <w:sz w:val="22"/>
        </w:rPr>
      </w:pPr>
    </w:p>
    <w:p w:rsidR="00A714C2" w:rsidRDefault="00A714C2" w:rsidP="00A714C2">
      <w:pPr>
        <w:pStyle w:val="StandaardSV"/>
      </w:pPr>
    </w:p>
    <w:p w:rsidR="00FC59AD" w:rsidRDefault="00FC59AD" w:rsidP="00FC59AD">
      <w:pPr>
        <w:pStyle w:val="StandaardSV"/>
      </w:pPr>
    </w:p>
    <w:p w:rsidR="00FC59AD" w:rsidRDefault="00FC59AD" w:rsidP="007C276A">
      <w:pPr>
        <w:pStyle w:val="StandaardSV"/>
        <w:numPr>
          <w:ilvl w:val="0"/>
          <w:numId w:val="18"/>
        </w:numPr>
      </w:pPr>
      <w:r>
        <w:t xml:space="preserve">Binnen het project werden </w:t>
      </w:r>
      <w:r w:rsidR="00B36CE4">
        <w:t xml:space="preserve">de </w:t>
      </w:r>
      <w:r>
        <w:t>volgende doelstellingen voorzien:</w:t>
      </w:r>
    </w:p>
    <w:p w:rsidR="00FC59AD" w:rsidRDefault="00FC59AD" w:rsidP="007C276A">
      <w:pPr>
        <w:pStyle w:val="StandaardSV"/>
        <w:numPr>
          <w:ilvl w:val="0"/>
          <w:numId w:val="17"/>
        </w:numPr>
      </w:pPr>
      <w:r>
        <w:t xml:space="preserve">de uitbouw van een competentiecentrum Interactieve 3D met een performante begeleiding van kmo’s aan haalbare voorwaarden; </w:t>
      </w:r>
    </w:p>
    <w:p w:rsidR="00FC59AD" w:rsidRDefault="00FC59AD" w:rsidP="007C276A">
      <w:pPr>
        <w:pStyle w:val="StandaardSV"/>
        <w:numPr>
          <w:ilvl w:val="0"/>
          <w:numId w:val="17"/>
        </w:numPr>
      </w:pPr>
      <w:r>
        <w:t xml:space="preserve">de verdere realisatie van een netwerk, minstens op Vlaams niveau, van </w:t>
      </w:r>
      <w:r w:rsidR="00E8594E">
        <w:t xml:space="preserve">ondernemingen </w:t>
      </w:r>
      <w:r>
        <w:t>en kennisinstellingen actief in de sector van de gaming en 3D of van aanverwante disciplines z</w:t>
      </w:r>
      <w:r>
        <w:t>o</w:t>
      </w:r>
      <w:r>
        <w:t>als de ontwikkeling van game-engines, design, multimedia, …;</w:t>
      </w:r>
    </w:p>
    <w:p w:rsidR="00FC59AD" w:rsidRDefault="00FC59AD" w:rsidP="007C276A">
      <w:pPr>
        <w:pStyle w:val="StandaardSV"/>
        <w:numPr>
          <w:ilvl w:val="0"/>
          <w:numId w:val="17"/>
        </w:numPr>
      </w:pPr>
      <w:r>
        <w:t>de uitrusting van een creatief atelier voor gaming en 3D-technologie (pilootproject) in de schoot van een game-incubator in oprichting, enerzijds door de uitrusting van deze specifieke faciliteit (meer bepaald door een investering in studiomateriaal en hard- en softwaremiddelen) en anderzijds door een deskundige personele omkadering, en dit ten voordele van een efficië</w:t>
      </w:r>
      <w:r>
        <w:t>n</w:t>
      </w:r>
      <w:r>
        <w:t>te begeleiding van zowel de interne als externe gebruikers – starters en kmo’s – van deze fac</w:t>
      </w:r>
      <w:r>
        <w:t>i</w:t>
      </w:r>
      <w:r>
        <w:t>liteit;</w:t>
      </w:r>
    </w:p>
    <w:p w:rsidR="00FC59AD" w:rsidRDefault="00FC59AD" w:rsidP="007C276A">
      <w:pPr>
        <w:pStyle w:val="StandaardSV"/>
        <w:numPr>
          <w:ilvl w:val="0"/>
          <w:numId w:val="17"/>
        </w:numPr>
      </w:pPr>
      <w:r>
        <w:t>de organisatie van prospectie- en sensibiliseringscampagnes naar bedrijven en social profit i</w:t>
      </w:r>
      <w:r>
        <w:t>n</w:t>
      </w:r>
      <w:r>
        <w:t>stellingen toe betreffende hun potentialiteit op het terrein van de (interactieve) 3D-technologie in functie van de aanlevering van concrete, onmiddellijk toepasbare tools met deskundige b</w:t>
      </w:r>
      <w:r>
        <w:t>e</w:t>
      </w:r>
      <w:r>
        <w:t>geleiding en van de ontwikkeling ervan.</w:t>
      </w:r>
    </w:p>
    <w:p w:rsidR="0083087A" w:rsidRPr="00FC59AD" w:rsidRDefault="0083087A" w:rsidP="007C276A">
      <w:pPr>
        <w:pStyle w:val="StandaardSV"/>
        <w:ind w:left="360"/>
      </w:pPr>
    </w:p>
    <w:p w:rsidR="00FC59AD" w:rsidRDefault="00FC59AD" w:rsidP="007C276A">
      <w:pPr>
        <w:pStyle w:val="StandaardSV"/>
        <w:numPr>
          <w:ilvl w:val="0"/>
          <w:numId w:val="18"/>
        </w:numPr>
      </w:pPr>
      <w:r>
        <w:t>In het goedgekeurde projectvoorstel werd de begeleiding van 50 bedrijven, organisaties of inste</w:t>
      </w:r>
      <w:r>
        <w:t>l</w:t>
      </w:r>
      <w:r>
        <w:t>lingen inzake kennisontwikkeling en kennistoepassing beoogd. Uiteindelijk werden binnen dit project 56 begeleidingen bereikt</w:t>
      </w:r>
      <w:r w:rsidR="00E8594E">
        <w:t>.</w:t>
      </w:r>
    </w:p>
    <w:p w:rsidR="00E8594E" w:rsidRDefault="00E8594E" w:rsidP="007C276A">
      <w:pPr>
        <w:pStyle w:val="StandaardSV"/>
        <w:ind w:left="360"/>
      </w:pPr>
    </w:p>
    <w:p w:rsidR="00FC59AD" w:rsidRDefault="00FC59AD" w:rsidP="007C276A">
      <w:pPr>
        <w:pStyle w:val="StandaardSV"/>
        <w:ind w:left="360"/>
      </w:pPr>
      <w:r>
        <w:t>In het eerste projectjaar (april 2010 – maart 2011) werden 14 begeleidingen uitgevoerd. Gedure</w:t>
      </w:r>
      <w:r>
        <w:t>n</w:t>
      </w:r>
      <w:r>
        <w:t>de het tweede projectjaar vonden 7 begeleidingen plaats. Het project werd met 8,5 maanden ve</w:t>
      </w:r>
      <w:r>
        <w:t>r</w:t>
      </w:r>
      <w:r>
        <w:t xml:space="preserve">lengd (tot 31/12/2012). Gedurende deze verlengingsperiode werden nog eens 35 begeleidingen uitgevoerd. </w:t>
      </w:r>
    </w:p>
    <w:p w:rsidR="00E8594E" w:rsidRDefault="00E8594E" w:rsidP="007C276A">
      <w:pPr>
        <w:pStyle w:val="StandaardSV"/>
        <w:ind w:left="348"/>
      </w:pPr>
    </w:p>
    <w:p w:rsidR="00FC59AD" w:rsidRPr="00FC59AD" w:rsidRDefault="00FC59AD" w:rsidP="007C276A">
      <w:pPr>
        <w:pStyle w:val="StandaardSV"/>
        <w:ind w:left="348"/>
      </w:pPr>
      <w:r>
        <w:t>Daarnaast beoogde men de implementatie van 30 kennisontwikkelings- en kennistoepassingsa</w:t>
      </w:r>
      <w:r>
        <w:t>d</w:t>
      </w:r>
      <w:r>
        <w:t>viezen door bedrijven, organisatie</w:t>
      </w:r>
      <w:r w:rsidR="00B36CE4">
        <w:t>s</w:t>
      </w:r>
      <w:r>
        <w:t xml:space="preserve"> of instellingen. Binnen dit project werden 28 adviezen geï</w:t>
      </w:r>
      <w:r>
        <w:t>m</w:t>
      </w:r>
      <w:r>
        <w:t>plementeerd.</w:t>
      </w:r>
    </w:p>
    <w:p w:rsidR="0083087A" w:rsidRPr="00FC59AD" w:rsidRDefault="0083087A" w:rsidP="007C276A">
      <w:pPr>
        <w:pStyle w:val="StandaardSV"/>
      </w:pPr>
    </w:p>
    <w:p w:rsidR="00FC59AD" w:rsidRDefault="00FC59AD" w:rsidP="007C276A">
      <w:pPr>
        <w:pStyle w:val="Lijstalinea"/>
        <w:numPr>
          <w:ilvl w:val="0"/>
          <w:numId w:val="18"/>
        </w:numPr>
        <w:jc w:val="both"/>
        <w:rPr>
          <w:sz w:val="22"/>
        </w:rPr>
      </w:pPr>
      <w:r w:rsidRPr="00E8594E">
        <w:rPr>
          <w:sz w:val="22"/>
        </w:rPr>
        <w:t>Het project liep gedurende de periode 15/04/2010 – 31/12/2012 (32 maanden). Het project w</w:t>
      </w:r>
      <w:r w:rsidR="00B36CE4">
        <w:rPr>
          <w:sz w:val="22"/>
        </w:rPr>
        <w:t>erd</w:t>
      </w:r>
      <w:r w:rsidRPr="00E8594E">
        <w:rPr>
          <w:sz w:val="22"/>
        </w:rPr>
        <w:t xml:space="preserve"> getrokken door de Hogeschool West-Vlaanderen</w:t>
      </w:r>
      <w:r w:rsidR="00B36CE4">
        <w:rPr>
          <w:sz w:val="22"/>
        </w:rPr>
        <w:t xml:space="preserve"> (HOWEST)</w:t>
      </w:r>
      <w:r w:rsidRPr="00E8594E">
        <w:rPr>
          <w:sz w:val="22"/>
        </w:rPr>
        <w:t xml:space="preserve"> (promotor) met </w:t>
      </w:r>
      <w:r w:rsidR="00B36CE4">
        <w:rPr>
          <w:sz w:val="22"/>
        </w:rPr>
        <w:t xml:space="preserve">de </w:t>
      </w:r>
      <w:r w:rsidRPr="00E8594E">
        <w:rPr>
          <w:sz w:val="22"/>
        </w:rPr>
        <w:t>Provincie West-Vlaanderen (copromotor) als partner. Het financieel plan van dit project ziet er als volgt uit</w:t>
      </w:r>
      <w:r w:rsidR="00B36CE4">
        <w:rPr>
          <w:sz w:val="22"/>
        </w:rPr>
        <w:t>:</w:t>
      </w:r>
    </w:p>
    <w:p w:rsidR="00E8594E" w:rsidRDefault="00E8594E">
      <w:pPr>
        <w:rPr>
          <w:sz w:val="22"/>
        </w:rPr>
      </w:pPr>
      <w:r>
        <w:rPr>
          <w:sz w:val="22"/>
        </w:rPr>
        <w:br w:type="page"/>
      </w:r>
    </w:p>
    <w:p w:rsidR="00E8594E" w:rsidRDefault="00E8594E" w:rsidP="00E8594E">
      <w:pPr>
        <w:ind w:left="360"/>
        <w:rPr>
          <w:sz w:val="22"/>
        </w:rPr>
      </w:pPr>
    </w:p>
    <w:tbl>
      <w:tblPr>
        <w:tblW w:w="4748" w:type="dxa"/>
        <w:tblInd w:w="496" w:type="dxa"/>
        <w:tblCellMar>
          <w:left w:w="70" w:type="dxa"/>
          <w:right w:w="70" w:type="dxa"/>
        </w:tblCellMar>
        <w:tblLook w:val="04A0" w:firstRow="1" w:lastRow="0" w:firstColumn="1" w:lastColumn="0" w:noHBand="0" w:noVBand="1"/>
      </w:tblPr>
      <w:tblGrid>
        <w:gridCol w:w="2456"/>
        <w:gridCol w:w="1435"/>
        <w:gridCol w:w="857"/>
      </w:tblGrid>
      <w:tr w:rsidR="00B36CE4" w:rsidRPr="00B36CE4" w:rsidTr="00270052">
        <w:trPr>
          <w:trHeight w:val="270"/>
        </w:trPr>
        <w:tc>
          <w:tcPr>
            <w:tcW w:w="2456" w:type="dxa"/>
            <w:tcBorders>
              <w:top w:val="single" w:sz="8" w:space="0" w:color="auto"/>
              <w:left w:val="single" w:sz="8" w:space="0" w:color="auto"/>
              <w:bottom w:val="single" w:sz="8" w:space="0" w:color="auto"/>
              <w:right w:val="single" w:sz="8" w:space="0" w:color="auto"/>
            </w:tcBorders>
            <w:shd w:val="pct12" w:color="000000" w:fill="FFFFFF"/>
            <w:vAlign w:val="center"/>
            <w:hideMark/>
          </w:tcPr>
          <w:p w:rsidR="00B36CE4" w:rsidRPr="00B36CE4" w:rsidRDefault="00B36CE4" w:rsidP="00B36CE4">
            <w:pPr>
              <w:jc w:val="both"/>
              <w:rPr>
                <w:b/>
                <w:bCs/>
                <w:sz w:val="20"/>
                <w:lang w:val="nl-BE" w:eastAsia="nl-BE"/>
              </w:rPr>
            </w:pPr>
            <w:r w:rsidRPr="00B36CE4">
              <w:rPr>
                <w:rFonts w:eastAsiaTheme="minorHAnsi"/>
                <w:b/>
                <w:bCs/>
                <w:sz w:val="20"/>
                <w:lang w:eastAsia="nl-BE"/>
              </w:rPr>
              <w:t>Financier</w:t>
            </w:r>
          </w:p>
        </w:tc>
        <w:tc>
          <w:tcPr>
            <w:tcW w:w="1435" w:type="dxa"/>
            <w:tcBorders>
              <w:top w:val="single" w:sz="8" w:space="0" w:color="auto"/>
              <w:left w:val="nil"/>
              <w:bottom w:val="single" w:sz="8" w:space="0" w:color="auto"/>
              <w:right w:val="single" w:sz="8" w:space="0" w:color="auto"/>
            </w:tcBorders>
            <w:shd w:val="pct12" w:color="000000" w:fill="FFFFFF"/>
            <w:vAlign w:val="center"/>
            <w:hideMark/>
          </w:tcPr>
          <w:p w:rsidR="00B36CE4" w:rsidRPr="00B36CE4" w:rsidRDefault="00B36CE4" w:rsidP="00B36CE4">
            <w:pPr>
              <w:jc w:val="right"/>
              <w:rPr>
                <w:b/>
                <w:bCs/>
                <w:sz w:val="20"/>
                <w:lang w:val="nl-BE" w:eastAsia="nl-BE"/>
              </w:rPr>
            </w:pPr>
            <w:r w:rsidRPr="00B36CE4">
              <w:rPr>
                <w:rFonts w:eastAsiaTheme="minorHAnsi"/>
                <w:b/>
                <w:bCs/>
                <w:sz w:val="20"/>
                <w:lang w:eastAsia="nl-BE"/>
              </w:rPr>
              <w:t>Bedrag (euro)</w:t>
            </w:r>
          </w:p>
        </w:tc>
        <w:tc>
          <w:tcPr>
            <w:tcW w:w="857" w:type="dxa"/>
            <w:tcBorders>
              <w:top w:val="single" w:sz="8" w:space="0" w:color="auto"/>
              <w:left w:val="nil"/>
              <w:bottom w:val="single" w:sz="8" w:space="0" w:color="auto"/>
              <w:right w:val="single" w:sz="8" w:space="0" w:color="auto"/>
            </w:tcBorders>
            <w:shd w:val="pct12" w:color="000000" w:fill="FFFFFF"/>
            <w:vAlign w:val="center"/>
            <w:hideMark/>
          </w:tcPr>
          <w:p w:rsidR="00B36CE4" w:rsidRPr="00B36CE4" w:rsidRDefault="00B36CE4" w:rsidP="00B36CE4">
            <w:pPr>
              <w:jc w:val="right"/>
              <w:rPr>
                <w:b/>
                <w:bCs/>
                <w:sz w:val="20"/>
                <w:lang w:val="nl-BE" w:eastAsia="nl-BE"/>
              </w:rPr>
            </w:pPr>
            <w:r w:rsidRPr="00B36CE4">
              <w:rPr>
                <w:rFonts w:eastAsiaTheme="minorHAnsi"/>
                <w:b/>
                <w:bCs/>
                <w:sz w:val="20"/>
                <w:lang w:eastAsia="nl-BE"/>
              </w:rPr>
              <w:t>%</w:t>
            </w:r>
          </w:p>
        </w:tc>
      </w:tr>
      <w:tr w:rsidR="00B36CE4" w:rsidRPr="00B36CE4" w:rsidTr="00270052">
        <w:trPr>
          <w:trHeight w:val="270"/>
        </w:trPr>
        <w:tc>
          <w:tcPr>
            <w:tcW w:w="2456" w:type="dxa"/>
            <w:tcBorders>
              <w:top w:val="nil"/>
              <w:left w:val="single" w:sz="8" w:space="0" w:color="auto"/>
              <w:bottom w:val="single" w:sz="8" w:space="0" w:color="auto"/>
              <w:right w:val="single" w:sz="8" w:space="0" w:color="auto"/>
            </w:tcBorders>
            <w:shd w:val="clear" w:color="000000" w:fill="FFFFFF"/>
            <w:vAlign w:val="center"/>
            <w:hideMark/>
          </w:tcPr>
          <w:p w:rsidR="00B36CE4" w:rsidRPr="00B36CE4" w:rsidRDefault="00B36CE4" w:rsidP="00B36CE4">
            <w:pPr>
              <w:jc w:val="both"/>
              <w:rPr>
                <w:sz w:val="20"/>
                <w:lang w:val="nl-BE" w:eastAsia="nl-BE"/>
              </w:rPr>
            </w:pPr>
            <w:r w:rsidRPr="00B36CE4">
              <w:rPr>
                <w:rFonts w:eastAsiaTheme="minorHAnsi"/>
                <w:sz w:val="20"/>
                <w:lang w:eastAsia="nl-BE"/>
              </w:rPr>
              <w:t>D2 EFRO 2007-2013</w:t>
            </w:r>
          </w:p>
        </w:tc>
        <w:tc>
          <w:tcPr>
            <w:tcW w:w="1435"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375.515,56</w:t>
            </w:r>
          </w:p>
        </w:tc>
        <w:tc>
          <w:tcPr>
            <w:tcW w:w="857"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40,00%</w:t>
            </w:r>
          </w:p>
        </w:tc>
      </w:tr>
      <w:tr w:rsidR="00B36CE4" w:rsidRPr="00B36CE4" w:rsidTr="00270052">
        <w:trPr>
          <w:trHeight w:val="270"/>
        </w:trPr>
        <w:tc>
          <w:tcPr>
            <w:tcW w:w="2456" w:type="dxa"/>
            <w:tcBorders>
              <w:top w:val="nil"/>
              <w:left w:val="single" w:sz="8" w:space="0" w:color="auto"/>
              <w:bottom w:val="single" w:sz="8" w:space="0" w:color="auto"/>
              <w:right w:val="single" w:sz="8" w:space="0" w:color="auto"/>
            </w:tcBorders>
            <w:shd w:val="clear" w:color="000000" w:fill="FFFFFF"/>
            <w:vAlign w:val="center"/>
            <w:hideMark/>
          </w:tcPr>
          <w:p w:rsidR="00B36CE4" w:rsidRPr="00B36CE4" w:rsidRDefault="00B36CE4" w:rsidP="00B36CE4">
            <w:pPr>
              <w:jc w:val="both"/>
              <w:rPr>
                <w:sz w:val="20"/>
                <w:lang w:val="nl-BE" w:eastAsia="nl-BE"/>
              </w:rPr>
            </w:pPr>
            <w:r w:rsidRPr="00B36CE4">
              <w:rPr>
                <w:rFonts w:eastAsiaTheme="minorHAnsi"/>
                <w:sz w:val="20"/>
                <w:lang w:eastAsia="nl-BE"/>
              </w:rPr>
              <w:t>Hermesfonds</w:t>
            </w:r>
          </w:p>
        </w:tc>
        <w:tc>
          <w:tcPr>
            <w:tcW w:w="1435"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373.273,30</w:t>
            </w:r>
          </w:p>
        </w:tc>
        <w:tc>
          <w:tcPr>
            <w:tcW w:w="857"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39,76%</w:t>
            </w:r>
          </w:p>
        </w:tc>
      </w:tr>
      <w:tr w:rsidR="00B36CE4" w:rsidRPr="00B36CE4" w:rsidTr="00270052">
        <w:trPr>
          <w:trHeight w:val="270"/>
        </w:trPr>
        <w:tc>
          <w:tcPr>
            <w:tcW w:w="2456" w:type="dxa"/>
            <w:tcBorders>
              <w:top w:val="nil"/>
              <w:left w:val="single" w:sz="8" w:space="0" w:color="auto"/>
              <w:bottom w:val="single" w:sz="8" w:space="0" w:color="auto"/>
              <w:right w:val="single" w:sz="8" w:space="0" w:color="auto"/>
            </w:tcBorders>
            <w:shd w:val="clear" w:color="000000" w:fill="FFFFFF"/>
            <w:vAlign w:val="center"/>
            <w:hideMark/>
          </w:tcPr>
          <w:p w:rsidR="00B36CE4" w:rsidRPr="00B36CE4" w:rsidRDefault="00B36CE4" w:rsidP="00B36CE4">
            <w:pPr>
              <w:jc w:val="both"/>
              <w:rPr>
                <w:sz w:val="20"/>
                <w:lang w:val="nl-BE" w:eastAsia="nl-BE"/>
              </w:rPr>
            </w:pPr>
            <w:r w:rsidRPr="00B36CE4">
              <w:rPr>
                <w:rFonts w:eastAsiaTheme="minorHAnsi"/>
                <w:sz w:val="20"/>
                <w:lang w:eastAsia="nl-BE"/>
              </w:rPr>
              <w:t>HOWEST</w:t>
            </w:r>
          </w:p>
        </w:tc>
        <w:tc>
          <w:tcPr>
            <w:tcW w:w="1435"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50.000,00</w:t>
            </w:r>
          </w:p>
        </w:tc>
        <w:tc>
          <w:tcPr>
            <w:tcW w:w="857"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5,33%</w:t>
            </w:r>
          </w:p>
        </w:tc>
      </w:tr>
      <w:tr w:rsidR="00B36CE4" w:rsidRPr="00B36CE4" w:rsidTr="00270052">
        <w:trPr>
          <w:trHeight w:val="270"/>
        </w:trPr>
        <w:tc>
          <w:tcPr>
            <w:tcW w:w="2456" w:type="dxa"/>
            <w:tcBorders>
              <w:top w:val="nil"/>
              <w:left w:val="single" w:sz="8" w:space="0" w:color="auto"/>
              <w:bottom w:val="single" w:sz="8" w:space="0" w:color="auto"/>
              <w:right w:val="single" w:sz="8" w:space="0" w:color="auto"/>
            </w:tcBorders>
            <w:shd w:val="clear" w:color="000000" w:fill="FFFFFF"/>
            <w:vAlign w:val="center"/>
            <w:hideMark/>
          </w:tcPr>
          <w:p w:rsidR="00B36CE4" w:rsidRPr="00B36CE4" w:rsidRDefault="00B36CE4" w:rsidP="00B36CE4">
            <w:pPr>
              <w:jc w:val="both"/>
              <w:rPr>
                <w:sz w:val="20"/>
                <w:lang w:val="nl-BE" w:eastAsia="nl-BE"/>
              </w:rPr>
            </w:pPr>
            <w:r w:rsidRPr="00B36CE4">
              <w:rPr>
                <w:rFonts w:eastAsiaTheme="minorHAnsi"/>
                <w:sz w:val="20"/>
                <w:lang w:eastAsia="nl-BE"/>
              </w:rPr>
              <w:t>Provincie West-Vlaanderen</w:t>
            </w:r>
          </w:p>
        </w:tc>
        <w:tc>
          <w:tcPr>
            <w:tcW w:w="1435"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120.000,00</w:t>
            </w:r>
          </w:p>
        </w:tc>
        <w:tc>
          <w:tcPr>
            <w:tcW w:w="857"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12,78%</w:t>
            </w:r>
          </w:p>
        </w:tc>
      </w:tr>
      <w:tr w:rsidR="00B36CE4" w:rsidRPr="00B36CE4" w:rsidTr="00270052">
        <w:trPr>
          <w:trHeight w:val="270"/>
        </w:trPr>
        <w:tc>
          <w:tcPr>
            <w:tcW w:w="2456" w:type="dxa"/>
            <w:tcBorders>
              <w:top w:val="nil"/>
              <w:left w:val="single" w:sz="8" w:space="0" w:color="auto"/>
              <w:bottom w:val="single" w:sz="8" w:space="0" w:color="auto"/>
              <w:right w:val="single" w:sz="8" w:space="0" w:color="auto"/>
            </w:tcBorders>
            <w:shd w:val="clear" w:color="000000" w:fill="FFFFFF"/>
            <w:vAlign w:val="center"/>
            <w:hideMark/>
          </w:tcPr>
          <w:p w:rsidR="00B36CE4" w:rsidRPr="00B36CE4" w:rsidRDefault="00B36CE4" w:rsidP="00B36CE4">
            <w:pPr>
              <w:jc w:val="both"/>
              <w:rPr>
                <w:sz w:val="20"/>
                <w:lang w:val="nl-BE" w:eastAsia="nl-BE"/>
              </w:rPr>
            </w:pPr>
            <w:r w:rsidRPr="00B36CE4">
              <w:rPr>
                <w:rFonts w:eastAsiaTheme="minorHAnsi"/>
                <w:sz w:val="20"/>
                <w:lang w:eastAsia="nl-BE"/>
              </w:rPr>
              <w:t>Stad Kortrijk</w:t>
            </w:r>
          </w:p>
        </w:tc>
        <w:tc>
          <w:tcPr>
            <w:tcW w:w="1435"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20.000,00</w:t>
            </w:r>
          </w:p>
        </w:tc>
        <w:tc>
          <w:tcPr>
            <w:tcW w:w="857" w:type="dxa"/>
            <w:tcBorders>
              <w:top w:val="nil"/>
              <w:left w:val="nil"/>
              <w:bottom w:val="single" w:sz="8" w:space="0" w:color="auto"/>
              <w:right w:val="single" w:sz="8" w:space="0" w:color="auto"/>
            </w:tcBorders>
            <w:shd w:val="clear" w:color="000000" w:fill="FFFFFF"/>
            <w:vAlign w:val="center"/>
            <w:hideMark/>
          </w:tcPr>
          <w:p w:rsidR="00B36CE4" w:rsidRPr="00B36CE4" w:rsidRDefault="00B36CE4" w:rsidP="00B36CE4">
            <w:pPr>
              <w:jc w:val="right"/>
              <w:rPr>
                <w:sz w:val="20"/>
                <w:lang w:val="nl-BE" w:eastAsia="nl-BE"/>
              </w:rPr>
            </w:pPr>
            <w:r w:rsidRPr="00B36CE4">
              <w:rPr>
                <w:rFonts w:eastAsiaTheme="minorHAnsi"/>
                <w:sz w:val="20"/>
                <w:lang w:eastAsia="nl-BE"/>
              </w:rPr>
              <w:t>2,13%</w:t>
            </w:r>
          </w:p>
        </w:tc>
      </w:tr>
      <w:tr w:rsidR="00B36CE4" w:rsidRPr="00B36CE4" w:rsidTr="00270052">
        <w:trPr>
          <w:trHeight w:val="270"/>
        </w:trPr>
        <w:tc>
          <w:tcPr>
            <w:tcW w:w="2456" w:type="dxa"/>
            <w:tcBorders>
              <w:top w:val="nil"/>
              <w:left w:val="single" w:sz="8" w:space="0" w:color="auto"/>
              <w:bottom w:val="single" w:sz="8" w:space="0" w:color="auto"/>
              <w:right w:val="single" w:sz="8" w:space="0" w:color="auto"/>
            </w:tcBorders>
            <w:shd w:val="pct12" w:color="000000" w:fill="FFFFFF"/>
            <w:vAlign w:val="center"/>
            <w:hideMark/>
          </w:tcPr>
          <w:p w:rsidR="00B36CE4" w:rsidRPr="00B36CE4" w:rsidRDefault="00B36CE4" w:rsidP="00B36CE4">
            <w:pPr>
              <w:jc w:val="both"/>
              <w:rPr>
                <w:b/>
                <w:bCs/>
                <w:sz w:val="20"/>
                <w:lang w:val="nl-BE" w:eastAsia="nl-BE"/>
              </w:rPr>
            </w:pPr>
            <w:r w:rsidRPr="00B36CE4">
              <w:rPr>
                <w:rFonts w:eastAsiaTheme="minorHAnsi"/>
                <w:b/>
                <w:bCs/>
                <w:sz w:val="20"/>
                <w:lang w:eastAsia="nl-BE"/>
              </w:rPr>
              <w:t>Totaal:</w:t>
            </w:r>
          </w:p>
        </w:tc>
        <w:tc>
          <w:tcPr>
            <w:tcW w:w="1435" w:type="dxa"/>
            <w:tcBorders>
              <w:top w:val="nil"/>
              <w:left w:val="nil"/>
              <w:bottom w:val="single" w:sz="8" w:space="0" w:color="auto"/>
              <w:right w:val="single" w:sz="8" w:space="0" w:color="auto"/>
            </w:tcBorders>
            <w:shd w:val="pct12" w:color="000000" w:fill="FFFFFF"/>
            <w:vAlign w:val="center"/>
            <w:hideMark/>
          </w:tcPr>
          <w:p w:rsidR="00B36CE4" w:rsidRPr="00B36CE4" w:rsidRDefault="00B36CE4" w:rsidP="00B36CE4">
            <w:pPr>
              <w:jc w:val="right"/>
              <w:rPr>
                <w:b/>
                <w:bCs/>
                <w:sz w:val="20"/>
                <w:lang w:val="nl-BE" w:eastAsia="nl-BE"/>
              </w:rPr>
            </w:pPr>
            <w:r w:rsidRPr="00B36CE4">
              <w:rPr>
                <w:rFonts w:eastAsiaTheme="minorHAnsi"/>
                <w:b/>
                <w:bCs/>
                <w:sz w:val="20"/>
                <w:lang w:eastAsia="nl-BE"/>
              </w:rPr>
              <w:t>938.788,86</w:t>
            </w:r>
          </w:p>
        </w:tc>
        <w:tc>
          <w:tcPr>
            <w:tcW w:w="857" w:type="dxa"/>
            <w:tcBorders>
              <w:top w:val="nil"/>
              <w:left w:val="nil"/>
              <w:bottom w:val="single" w:sz="8" w:space="0" w:color="auto"/>
              <w:right w:val="single" w:sz="8" w:space="0" w:color="auto"/>
            </w:tcBorders>
            <w:shd w:val="pct12" w:color="000000" w:fill="FFFFFF"/>
            <w:vAlign w:val="center"/>
            <w:hideMark/>
          </w:tcPr>
          <w:p w:rsidR="00B36CE4" w:rsidRPr="00B36CE4" w:rsidRDefault="00B36CE4" w:rsidP="00B36CE4">
            <w:pPr>
              <w:jc w:val="right"/>
              <w:rPr>
                <w:b/>
                <w:bCs/>
                <w:sz w:val="20"/>
                <w:lang w:val="nl-BE" w:eastAsia="nl-BE"/>
              </w:rPr>
            </w:pPr>
            <w:r w:rsidRPr="00B36CE4">
              <w:rPr>
                <w:rFonts w:eastAsiaTheme="minorHAnsi"/>
                <w:b/>
                <w:bCs/>
                <w:sz w:val="20"/>
                <w:lang w:eastAsia="nl-BE"/>
              </w:rPr>
              <w:t> </w:t>
            </w:r>
          </w:p>
        </w:tc>
      </w:tr>
    </w:tbl>
    <w:p w:rsidR="00B36CE4" w:rsidRDefault="00B36CE4" w:rsidP="00E8594E">
      <w:pPr>
        <w:ind w:left="360"/>
        <w:rPr>
          <w:sz w:val="22"/>
        </w:rPr>
      </w:pPr>
    </w:p>
    <w:p w:rsidR="00E8594E" w:rsidRDefault="00E8594E" w:rsidP="00E8594E">
      <w:pPr>
        <w:ind w:left="360"/>
        <w:rPr>
          <w:sz w:val="22"/>
        </w:rPr>
      </w:pPr>
      <w:r w:rsidRPr="00E8594E">
        <w:rPr>
          <w:sz w:val="22"/>
        </w:rPr>
        <w:t>De totale projectkosten bedragen 938.788,86 euro. Deze werden als volgt verdeeld onder de beide project</w:t>
      </w:r>
      <w:r w:rsidR="00B36CE4">
        <w:rPr>
          <w:sz w:val="22"/>
        </w:rPr>
        <w:t>partners</w:t>
      </w:r>
      <w:r w:rsidRPr="00E8594E">
        <w:rPr>
          <w:sz w:val="22"/>
        </w:rPr>
        <w:t xml:space="preserve"> (met vermelding van </w:t>
      </w:r>
      <w:r w:rsidR="00B36CE4">
        <w:rPr>
          <w:sz w:val="22"/>
        </w:rPr>
        <w:t xml:space="preserve">de </w:t>
      </w:r>
      <w:r w:rsidRPr="00E8594E">
        <w:rPr>
          <w:sz w:val="22"/>
        </w:rPr>
        <w:t>hieruit voortvloeiende Europese en Vlaamse steun):</w:t>
      </w:r>
    </w:p>
    <w:p w:rsidR="00E8594E" w:rsidRDefault="00E8594E" w:rsidP="00E8594E">
      <w:pPr>
        <w:ind w:left="360"/>
        <w:rPr>
          <w:sz w:val="22"/>
        </w:rPr>
      </w:pPr>
    </w:p>
    <w:tbl>
      <w:tblPr>
        <w:tblW w:w="7804" w:type="dxa"/>
        <w:tblInd w:w="496" w:type="dxa"/>
        <w:tblCellMar>
          <w:left w:w="70" w:type="dxa"/>
          <w:right w:w="70" w:type="dxa"/>
        </w:tblCellMar>
        <w:tblLook w:val="04A0" w:firstRow="1" w:lastRow="0" w:firstColumn="1" w:lastColumn="0" w:noHBand="0" w:noVBand="1"/>
      </w:tblPr>
      <w:tblGrid>
        <w:gridCol w:w="2456"/>
        <w:gridCol w:w="1762"/>
        <w:gridCol w:w="1379"/>
        <w:gridCol w:w="2207"/>
      </w:tblGrid>
      <w:tr w:rsidR="00270052" w:rsidRPr="00270052" w:rsidTr="00270052">
        <w:trPr>
          <w:trHeight w:val="270"/>
        </w:trPr>
        <w:tc>
          <w:tcPr>
            <w:tcW w:w="2456" w:type="dxa"/>
            <w:tcBorders>
              <w:top w:val="single" w:sz="8" w:space="0" w:color="auto"/>
              <w:left w:val="single" w:sz="8" w:space="0" w:color="auto"/>
              <w:bottom w:val="single" w:sz="8" w:space="0" w:color="auto"/>
              <w:right w:val="single" w:sz="8" w:space="0" w:color="auto"/>
            </w:tcBorders>
            <w:shd w:val="pct12" w:color="000000" w:fill="FFFFFF"/>
            <w:vAlign w:val="center"/>
            <w:hideMark/>
          </w:tcPr>
          <w:p w:rsidR="00270052" w:rsidRPr="00270052" w:rsidRDefault="00270052" w:rsidP="00270052">
            <w:pPr>
              <w:jc w:val="both"/>
              <w:rPr>
                <w:b/>
                <w:bCs/>
                <w:sz w:val="20"/>
                <w:lang w:val="nl-BE" w:eastAsia="nl-BE"/>
              </w:rPr>
            </w:pPr>
            <w:r w:rsidRPr="00270052">
              <w:rPr>
                <w:rFonts w:eastAsiaTheme="minorHAnsi"/>
                <w:b/>
                <w:bCs/>
                <w:sz w:val="20"/>
                <w:lang w:eastAsia="nl-BE"/>
              </w:rPr>
              <w:t>Partner</w:t>
            </w:r>
          </w:p>
        </w:tc>
        <w:tc>
          <w:tcPr>
            <w:tcW w:w="1762" w:type="dxa"/>
            <w:tcBorders>
              <w:top w:val="single" w:sz="8" w:space="0" w:color="auto"/>
              <w:left w:val="nil"/>
              <w:bottom w:val="single" w:sz="8" w:space="0" w:color="auto"/>
              <w:right w:val="single" w:sz="8" w:space="0" w:color="auto"/>
            </w:tcBorders>
            <w:shd w:val="pct12" w:color="000000" w:fill="FFFFFF"/>
            <w:vAlign w:val="center"/>
            <w:hideMark/>
          </w:tcPr>
          <w:p w:rsidR="00270052" w:rsidRPr="00270052" w:rsidRDefault="00270052" w:rsidP="00270052">
            <w:pPr>
              <w:jc w:val="right"/>
              <w:rPr>
                <w:b/>
                <w:bCs/>
                <w:sz w:val="20"/>
                <w:lang w:val="nl-BE" w:eastAsia="nl-BE"/>
              </w:rPr>
            </w:pPr>
            <w:r w:rsidRPr="00270052">
              <w:rPr>
                <w:rFonts w:eastAsiaTheme="minorHAnsi"/>
                <w:b/>
                <w:bCs/>
                <w:sz w:val="20"/>
                <w:lang w:eastAsia="nl-BE"/>
              </w:rPr>
              <w:t xml:space="preserve">Voorziene kosten </w:t>
            </w:r>
          </w:p>
        </w:tc>
        <w:tc>
          <w:tcPr>
            <w:tcW w:w="1379" w:type="dxa"/>
            <w:tcBorders>
              <w:top w:val="single" w:sz="8" w:space="0" w:color="auto"/>
              <w:left w:val="nil"/>
              <w:bottom w:val="single" w:sz="8" w:space="0" w:color="auto"/>
              <w:right w:val="single" w:sz="8" w:space="0" w:color="auto"/>
            </w:tcBorders>
            <w:shd w:val="pct12" w:color="000000" w:fill="FFFFFF"/>
            <w:vAlign w:val="center"/>
            <w:hideMark/>
          </w:tcPr>
          <w:p w:rsidR="00270052" w:rsidRPr="00270052" w:rsidRDefault="00270052" w:rsidP="00270052">
            <w:pPr>
              <w:jc w:val="right"/>
              <w:rPr>
                <w:b/>
                <w:bCs/>
                <w:sz w:val="20"/>
                <w:lang w:val="nl-BE" w:eastAsia="nl-BE"/>
              </w:rPr>
            </w:pPr>
            <w:r w:rsidRPr="00270052">
              <w:rPr>
                <w:rFonts w:eastAsiaTheme="minorHAnsi"/>
                <w:b/>
                <w:bCs/>
                <w:sz w:val="20"/>
                <w:lang w:eastAsia="nl-BE"/>
              </w:rPr>
              <w:t>EFRO (40%)</w:t>
            </w:r>
          </w:p>
        </w:tc>
        <w:tc>
          <w:tcPr>
            <w:tcW w:w="2207" w:type="dxa"/>
            <w:tcBorders>
              <w:top w:val="single" w:sz="8" w:space="0" w:color="auto"/>
              <w:left w:val="nil"/>
              <w:bottom w:val="single" w:sz="8" w:space="0" w:color="auto"/>
              <w:right w:val="single" w:sz="8" w:space="0" w:color="auto"/>
            </w:tcBorders>
            <w:shd w:val="pct12" w:color="000000" w:fill="FFFFFF"/>
            <w:vAlign w:val="center"/>
            <w:hideMark/>
          </w:tcPr>
          <w:p w:rsidR="00270052" w:rsidRPr="00270052" w:rsidRDefault="00270052" w:rsidP="00270052">
            <w:pPr>
              <w:jc w:val="right"/>
              <w:rPr>
                <w:b/>
                <w:bCs/>
                <w:sz w:val="20"/>
                <w:lang w:val="nl-BE" w:eastAsia="nl-BE"/>
              </w:rPr>
            </w:pPr>
            <w:r w:rsidRPr="00270052">
              <w:rPr>
                <w:rFonts w:eastAsiaTheme="minorHAnsi"/>
                <w:b/>
                <w:bCs/>
                <w:sz w:val="20"/>
                <w:lang w:eastAsia="nl-BE"/>
              </w:rPr>
              <w:t>Hermesfonds (39,76%)</w:t>
            </w:r>
          </w:p>
        </w:tc>
      </w:tr>
      <w:tr w:rsidR="00270052" w:rsidRPr="00270052" w:rsidTr="00270052">
        <w:trPr>
          <w:trHeight w:val="270"/>
        </w:trPr>
        <w:tc>
          <w:tcPr>
            <w:tcW w:w="2456" w:type="dxa"/>
            <w:tcBorders>
              <w:top w:val="nil"/>
              <w:left w:val="single" w:sz="8" w:space="0" w:color="auto"/>
              <w:bottom w:val="single" w:sz="8" w:space="0" w:color="auto"/>
              <w:right w:val="single" w:sz="8" w:space="0" w:color="auto"/>
            </w:tcBorders>
            <w:shd w:val="clear" w:color="000000" w:fill="FFFFFF"/>
            <w:vAlign w:val="center"/>
            <w:hideMark/>
          </w:tcPr>
          <w:p w:rsidR="00270052" w:rsidRPr="00270052" w:rsidRDefault="00270052" w:rsidP="00270052">
            <w:pPr>
              <w:jc w:val="both"/>
              <w:rPr>
                <w:sz w:val="20"/>
                <w:lang w:val="nl-BE" w:eastAsia="nl-BE"/>
              </w:rPr>
            </w:pPr>
            <w:r w:rsidRPr="00270052">
              <w:rPr>
                <w:rFonts w:eastAsiaTheme="minorHAnsi"/>
                <w:sz w:val="20"/>
                <w:lang w:eastAsia="nl-BE"/>
              </w:rPr>
              <w:t>HOWEST</w:t>
            </w:r>
          </w:p>
        </w:tc>
        <w:tc>
          <w:tcPr>
            <w:tcW w:w="1762" w:type="dxa"/>
            <w:tcBorders>
              <w:top w:val="nil"/>
              <w:left w:val="nil"/>
              <w:bottom w:val="single" w:sz="8" w:space="0" w:color="auto"/>
              <w:right w:val="single" w:sz="8" w:space="0" w:color="auto"/>
            </w:tcBorders>
            <w:shd w:val="clear" w:color="000000" w:fill="FFFFFF"/>
            <w:vAlign w:val="center"/>
            <w:hideMark/>
          </w:tcPr>
          <w:p w:rsidR="00270052" w:rsidRPr="00270052" w:rsidRDefault="00270052" w:rsidP="00270052">
            <w:pPr>
              <w:jc w:val="right"/>
              <w:rPr>
                <w:sz w:val="20"/>
                <w:lang w:val="nl-BE" w:eastAsia="nl-BE"/>
              </w:rPr>
            </w:pPr>
            <w:r w:rsidRPr="00270052">
              <w:rPr>
                <w:rFonts w:eastAsiaTheme="minorHAnsi"/>
                <w:sz w:val="20"/>
                <w:lang w:eastAsia="nl-BE"/>
              </w:rPr>
              <w:t>876.788,86</w:t>
            </w:r>
          </w:p>
        </w:tc>
        <w:tc>
          <w:tcPr>
            <w:tcW w:w="1379" w:type="dxa"/>
            <w:tcBorders>
              <w:top w:val="nil"/>
              <w:left w:val="nil"/>
              <w:bottom w:val="single" w:sz="8" w:space="0" w:color="auto"/>
              <w:right w:val="single" w:sz="8" w:space="0" w:color="auto"/>
            </w:tcBorders>
            <w:shd w:val="clear" w:color="000000" w:fill="FFFFFF"/>
            <w:vAlign w:val="center"/>
            <w:hideMark/>
          </w:tcPr>
          <w:p w:rsidR="00270052" w:rsidRPr="00270052" w:rsidRDefault="00270052" w:rsidP="00270052">
            <w:pPr>
              <w:jc w:val="right"/>
              <w:rPr>
                <w:sz w:val="20"/>
                <w:lang w:val="nl-BE" w:eastAsia="nl-BE"/>
              </w:rPr>
            </w:pPr>
            <w:r w:rsidRPr="00270052">
              <w:rPr>
                <w:sz w:val="20"/>
                <w:lang w:val="nl-BE" w:eastAsia="nl-BE"/>
              </w:rPr>
              <w:t>350.715,56</w:t>
            </w:r>
          </w:p>
        </w:tc>
        <w:tc>
          <w:tcPr>
            <w:tcW w:w="2207" w:type="dxa"/>
            <w:tcBorders>
              <w:top w:val="nil"/>
              <w:left w:val="nil"/>
              <w:bottom w:val="single" w:sz="8" w:space="0" w:color="auto"/>
              <w:right w:val="single" w:sz="8" w:space="0" w:color="auto"/>
            </w:tcBorders>
            <w:shd w:val="clear" w:color="000000" w:fill="FFFFFF"/>
            <w:vAlign w:val="center"/>
            <w:hideMark/>
          </w:tcPr>
          <w:p w:rsidR="00270052" w:rsidRPr="00270052" w:rsidRDefault="00270052" w:rsidP="00270052">
            <w:pPr>
              <w:jc w:val="right"/>
              <w:rPr>
                <w:color w:val="000000"/>
                <w:sz w:val="20"/>
                <w:lang w:val="nl-BE" w:eastAsia="nl-BE"/>
              </w:rPr>
            </w:pPr>
            <w:r w:rsidRPr="00270052">
              <w:rPr>
                <w:color w:val="000000"/>
                <w:sz w:val="20"/>
                <w:lang w:val="nl-BE" w:eastAsia="nl-BE"/>
              </w:rPr>
              <w:t>348.621,38</w:t>
            </w:r>
          </w:p>
        </w:tc>
      </w:tr>
      <w:tr w:rsidR="00270052" w:rsidRPr="00270052" w:rsidTr="00270052">
        <w:trPr>
          <w:trHeight w:val="270"/>
        </w:trPr>
        <w:tc>
          <w:tcPr>
            <w:tcW w:w="2456" w:type="dxa"/>
            <w:tcBorders>
              <w:top w:val="nil"/>
              <w:left w:val="single" w:sz="8" w:space="0" w:color="auto"/>
              <w:bottom w:val="single" w:sz="8" w:space="0" w:color="auto"/>
              <w:right w:val="single" w:sz="8" w:space="0" w:color="auto"/>
            </w:tcBorders>
            <w:shd w:val="clear" w:color="000000" w:fill="FFFFFF"/>
            <w:vAlign w:val="center"/>
            <w:hideMark/>
          </w:tcPr>
          <w:p w:rsidR="00270052" w:rsidRPr="00270052" w:rsidRDefault="00270052" w:rsidP="00270052">
            <w:pPr>
              <w:jc w:val="both"/>
              <w:rPr>
                <w:sz w:val="20"/>
                <w:lang w:val="nl-BE" w:eastAsia="nl-BE"/>
              </w:rPr>
            </w:pPr>
            <w:r w:rsidRPr="00270052">
              <w:rPr>
                <w:rFonts w:eastAsiaTheme="minorHAnsi"/>
                <w:sz w:val="20"/>
                <w:lang w:eastAsia="nl-BE"/>
              </w:rPr>
              <w:t>Provincie West-Vlaanderen</w:t>
            </w:r>
          </w:p>
        </w:tc>
        <w:tc>
          <w:tcPr>
            <w:tcW w:w="1762" w:type="dxa"/>
            <w:tcBorders>
              <w:top w:val="nil"/>
              <w:left w:val="nil"/>
              <w:bottom w:val="single" w:sz="8" w:space="0" w:color="auto"/>
              <w:right w:val="single" w:sz="8" w:space="0" w:color="auto"/>
            </w:tcBorders>
            <w:shd w:val="clear" w:color="000000" w:fill="FFFFFF"/>
            <w:vAlign w:val="center"/>
            <w:hideMark/>
          </w:tcPr>
          <w:p w:rsidR="00270052" w:rsidRPr="00270052" w:rsidRDefault="00270052" w:rsidP="00270052">
            <w:pPr>
              <w:jc w:val="right"/>
              <w:rPr>
                <w:sz w:val="20"/>
                <w:lang w:val="nl-BE" w:eastAsia="nl-BE"/>
              </w:rPr>
            </w:pPr>
            <w:r w:rsidRPr="00270052">
              <w:rPr>
                <w:rFonts w:eastAsiaTheme="minorHAnsi"/>
                <w:sz w:val="20"/>
                <w:lang w:eastAsia="nl-BE"/>
              </w:rPr>
              <w:t>62.000,00</w:t>
            </w:r>
          </w:p>
        </w:tc>
        <w:tc>
          <w:tcPr>
            <w:tcW w:w="1379" w:type="dxa"/>
            <w:tcBorders>
              <w:top w:val="nil"/>
              <w:left w:val="nil"/>
              <w:bottom w:val="single" w:sz="8" w:space="0" w:color="auto"/>
              <w:right w:val="single" w:sz="8" w:space="0" w:color="auto"/>
            </w:tcBorders>
            <w:shd w:val="clear" w:color="000000" w:fill="FFFFFF"/>
            <w:vAlign w:val="center"/>
            <w:hideMark/>
          </w:tcPr>
          <w:p w:rsidR="00270052" w:rsidRPr="00270052" w:rsidRDefault="00270052" w:rsidP="00270052">
            <w:pPr>
              <w:jc w:val="right"/>
              <w:rPr>
                <w:sz w:val="20"/>
                <w:lang w:val="nl-BE" w:eastAsia="nl-BE"/>
              </w:rPr>
            </w:pPr>
            <w:r w:rsidRPr="00270052">
              <w:rPr>
                <w:sz w:val="20"/>
                <w:lang w:val="nl-BE" w:eastAsia="nl-BE"/>
              </w:rPr>
              <w:t>24.800,00</w:t>
            </w:r>
          </w:p>
        </w:tc>
        <w:tc>
          <w:tcPr>
            <w:tcW w:w="2207" w:type="dxa"/>
            <w:tcBorders>
              <w:top w:val="nil"/>
              <w:left w:val="nil"/>
              <w:bottom w:val="single" w:sz="8" w:space="0" w:color="auto"/>
              <w:right w:val="single" w:sz="8" w:space="0" w:color="auto"/>
            </w:tcBorders>
            <w:shd w:val="clear" w:color="000000" w:fill="FFFFFF"/>
            <w:vAlign w:val="center"/>
            <w:hideMark/>
          </w:tcPr>
          <w:p w:rsidR="00270052" w:rsidRPr="00270052" w:rsidRDefault="00270052" w:rsidP="00270052">
            <w:pPr>
              <w:jc w:val="right"/>
              <w:rPr>
                <w:color w:val="000000"/>
                <w:sz w:val="20"/>
                <w:lang w:val="nl-BE" w:eastAsia="nl-BE"/>
              </w:rPr>
            </w:pPr>
            <w:r w:rsidRPr="00270052">
              <w:rPr>
                <w:color w:val="000000"/>
                <w:sz w:val="20"/>
                <w:lang w:val="nl-BE" w:eastAsia="nl-BE"/>
              </w:rPr>
              <w:t>24.651,92</w:t>
            </w:r>
          </w:p>
        </w:tc>
      </w:tr>
      <w:tr w:rsidR="00270052" w:rsidRPr="00270052" w:rsidTr="00270052">
        <w:trPr>
          <w:trHeight w:val="270"/>
        </w:trPr>
        <w:tc>
          <w:tcPr>
            <w:tcW w:w="2456" w:type="dxa"/>
            <w:tcBorders>
              <w:top w:val="nil"/>
              <w:left w:val="single" w:sz="8" w:space="0" w:color="auto"/>
              <w:bottom w:val="single" w:sz="8" w:space="0" w:color="auto"/>
              <w:right w:val="single" w:sz="8" w:space="0" w:color="auto"/>
            </w:tcBorders>
            <w:shd w:val="pct12" w:color="000000" w:fill="FFFFFF"/>
            <w:vAlign w:val="center"/>
            <w:hideMark/>
          </w:tcPr>
          <w:p w:rsidR="00270052" w:rsidRPr="00270052" w:rsidRDefault="00270052" w:rsidP="00270052">
            <w:pPr>
              <w:jc w:val="both"/>
              <w:rPr>
                <w:b/>
                <w:bCs/>
                <w:sz w:val="20"/>
                <w:lang w:val="nl-BE" w:eastAsia="nl-BE"/>
              </w:rPr>
            </w:pPr>
            <w:r w:rsidRPr="00270052">
              <w:rPr>
                <w:rFonts w:eastAsiaTheme="minorHAnsi"/>
                <w:b/>
                <w:bCs/>
                <w:sz w:val="20"/>
                <w:lang w:eastAsia="nl-BE"/>
              </w:rPr>
              <w:t xml:space="preserve">Totaal: </w:t>
            </w:r>
          </w:p>
        </w:tc>
        <w:tc>
          <w:tcPr>
            <w:tcW w:w="1762" w:type="dxa"/>
            <w:tcBorders>
              <w:top w:val="nil"/>
              <w:left w:val="nil"/>
              <w:bottom w:val="single" w:sz="8" w:space="0" w:color="auto"/>
              <w:right w:val="single" w:sz="8" w:space="0" w:color="auto"/>
            </w:tcBorders>
            <w:shd w:val="pct12" w:color="000000" w:fill="FFFFFF"/>
            <w:vAlign w:val="center"/>
            <w:hideMark/>
          </w:tcPr>
          <w:p w:rsidR="00270052" w:rsidRPr="00270052" w:rsidRDefault="00270052" w:rsidP="00270052">
            <w:pPr>
              <w:jc w:val="right"/>
              <w:rPr>
                <w:b/>
                <w:bCs/>
                <w:color w:val="000000"/>
                <w:sz w:val="20"/>
                <w:lang w:val="nl-BE" w:eastAsia="nl-BE"/>
              </w:rPr>
            </w:pPr>
            <w:r w:rsidRPr="00270052">
              <w:rPr>
                <w:b/>
                <w:bCs/>
                <w:color w:val="000000"/>
                <w:sz w:val="20"/>
                <w:lang w:val="nl-BE" w:eastAsia="nl-BE"/>
              </w:rPr>
              <w:t>938.788,86</w:t>
            </w:r>
          </w:p>
        </w:tc>
        <w:tc>
          <w:tcPr>
            <w:tcW w:w="1379" w:type="dxa"/>
            <w:tcBorders>
              <w:top w:val="nil"/>
              <w:left w:val="nil"/>
              <w:bottom w:val="single" w:sz="8" w:space="0" w:color="auto"/>
              <w:right w:val="single" w:sz="8" w:space="0" w:color="auto"/>
            </w:tcBorders>
            <w:shd w:val="pct12" w:color="000000" w:fill="FFFFFF"/>
            <w:vAlign w:val="center"/>
            <w:hideMark/>
          </w:tcPr>
          <w:p w:rsidR="00270052" w:rsidRPr="00270052" w:rsidRDefault="00270052" w:rsidP="00270052">
            <w:pPr>
              <w:jc w:val="right"/>
              <w:rPr>
                <w:b/>
                <w:bCs/>
                <w:color w:val="000000"/>
                <w:sz w:val="20"/>
                <w:lang w:val="nl-BE" w:eastAsia="nl-BE"/>
              </w:rPr>
            </w:pPr>
            <w:r w:rsidRPr="00270052">
              <w:rPr>
                <w:b/>
                <w:bCs/>
                <w:color w:val="000000"/>
                <w:sz w:val="20"/>
                <w:lang w:val="nl-BE" w:eastAsia="nl-BE"/>
              </w:rPr>
              <w:t>375.515,56</w:t>
            </w:r>
          </w:p>
        </w:tc>
        <w:tc>
          <w:tcPr>
            <w:tcW w:w="2207" w:type="dxa"/>
            <w:tcBorders>
              <w:top w:val="nil"/>
              <w:left w:val="nil"/>
              <w:bottom w:val="single" w:sz="8" w:space="0" w:color="auto"/>
              <w:right w:val="single" w:sz="8" w:space="0" w:color="auto"/>
            </w:tcBorders>
            <w:shd w:val="pct12" w:color="000000" w:fill="FFFFFF"/>
            <w:vAlign w:val="center"/>
            <w:hideMark/>
          </w:tcPr>
          <w:p w:rsidR="00270052" w:rsidRPr="00270052" w:rsidRDefault="00270052" w:rsidP="00270052">
            <w:pPr>
              <w:jc w:val="right"/>
              <w:rPr>
                <w:b/>
                <w:bCs/>
                <w:color w:val="000000"/>
                <w:sz w:val="20"/>
                <w:lang w:val="nl-BE" w:eastAsia="nl-BE"/>
              </w:rPr>
            </w:pPr>
            <w:r w:rsidRPr="00270052">
              <w:rPr>
                <w:b/>
                <w:bCs/>
                <w:color w:val="000000"/>
                <w:sz w:val="20"/>
                <w:lang w:val="nl-BE" w:eastAsia="nl-BE"/>
              </w:rPr>
              <w:t>373.273,30</w:t>
            </w:r>
          </w:p>
        </w:tc>
      </w:tr>
    </w:tbl>
    <w:p w:rsidR="00270052" w:rsidRDefault="00270052" w:rsidP="00E8594E">
      <w:pPr>
        <w:ind w:left="360"/>
        <w:rPr>
          <w:sz w:val="22"/>
        </w:rPr>
      </w:pPr>
    </w:p>
    <w:p w:rsidR="00E8594E" w:rsidRPr="00E8594E" w:rsidRDefault="00E8594E" w:rsidP="007C276A">
      <w:pPr>
        <w:ind w:left="360"/>
        <w:jc w:val="both"/>
        <w:rPr>
          <w:sz w:val="22"/>
        </w:rPr>
      </w:pPr>
      <w:r w:rsidRPr="00E8594E">
        <w:rPr>
          <w:sz w:val="22"/>
        </w:rPr>
        <w:t>De steunuitkering gebeurt op basis van gemaakte en bewezen kosten (met als bewijslast facturen en betalingsbewijzen).</w:t>
      </w:r>
    </w:p>
    <w:p w:rsidR="00E8594E" w:rsidRDefault="00E8594E" w:rsidP="007C276A">
      <w:pPr>
        <w:ind w:left="360"/>
        <w:jc w:val="both"/>
        <w:rPr>
          <w:sz w:val="22"/>
        </w:rPr>
      </w:pPr>
    </w:p>
    <w:p w:rsidR="00E8594E" w:rsidRDefault="00E8594E" w:rsidP="007C276A">
      <w:pPr>
        <w:ind w:left="360"/>
        <w:jc w:val="both"/>
        <w:rPr>
          <w:sz w:val="22"/>
        </w:rPr>
      </w:pPr>
      <w:r w:rsidRPr="00E8594E">
        <w:rPr>
          <w:sz w:val="22"/>
        </w:rPr>
        <w:t>Tot op heden werd 68,75% van de toegezegde steun uitbetaald. De promotor heeft nog de mog</w:t>
      </w:r>
      <w:r w:rsidRPr="00E8594E">
        <w:rPr>
          <w:sz w:val="22"/>
        </w:rPr>
        <w:t>e</w:t>
      </w:r>
      <w:r w:rsidRPr="00E8594E">
        <w:rPr>
          <w:sz w:val="22"/>
        </w:rPr>
        <w:t xml:space="preserve">lijkheid om tot 30/06/2013 kosten in te dienen. Het is dus </w:t>
      </w:r>
      <w:r w:rsidR="00270052">
        <w:rPr>
          <w:sz w:val="22"/>
        </w:rPr>
        <w:t>momenteel nog</w:t>
      </w:r>
      <w:r w:rsidRPr="00E8594E">
        <w:rPr>
          <w:sz w:val="22"/>
        </w:rPr>
        <w:t xml:space="preserve"> niet duidelijk wat de uiteindelijke benutting zal zijn.</w:t>
      </w:r>
    </w:p>
    <w:p w:rsidR="0083087A" w:rsidRDefault="0083087A" w:rsidP="007C276A">
      <w:pPr>
        <w:ind w:left="360"/>
        <w:jc w:val="both"/>
        <w:rPr>
          <w:sz w:val="22"/>
        </w:rPr>
      </w:pPr>
    </w:p>
    <w:p w:rsidR="00E8594E" w:rsidRPr="00E8594E" w:rsidRDefault="00270052" w:rsidP="007C276A">
      <w:pPr>
        <w:pStyle w:val="Lijstalinea"/>
        <w:numPr>
          <w:ilvl w:val="0"/>
          <w:numId w:val="18"/>
        </w:numPr>
        <w:jc w:val="both"/>
        <w:rPr>
          <w:sz w:val="22"/>
        </w:rPr>
      </w:pPr>
      <w:r>
        <w:rPr>
          <w:sz w:val="22"/>
        </w:rPr>
        <w:t>Zie het antwoord op deelvraag 2</w:t>
      </w:r>
      <w:r w:rsidR="00E8594E" w:rsidRPr="00E8594E">
        <w:rPr>
          <w:sz w:val="22"/>
        </w:rPr>
        <w:t>.</w:t>
      </w:r>
    </w:p>
    <w:p w:rsidR="0083087A" w:rsidRDefault="0083087A" w:rsidP="007C276A">
      <w:pPr>
        <w:ind w:left="360"/>
        <w:jc w:val="both"/>
        <w:rPr>
          <w:sz w:val="22"/>
        </w:rPr>
      </w:pPr>
    </w:p>
    <w:p w:rsidR="00E8594E" w:rsidRPr="00E8594E" w:rsidRDefault="00E8594E" w:rsidP="007C276A">
      <w:pPr>
        <w:pStyle w:val="Lijstalinea"/>
        <w:numPr>
          <w:ilvl w:val="0"/>
          <w:numId w:val="18"/>
        </w:numPr>
        <w:jc w:val="both"/>
        <w:rPr>
          <w:sz w:val="22"/>
        </w:rPr>
      </w:pPr>
      <w:r w:rsidRPr="00E8594E">
        <w:rPr>
          <w:sz w:val="22"/>
        </w:rPr>
        <w:t xml:space="preserve">Vanuit de EFRO-context wordt het project gedurende de looptijd via rapportering om de drie maanden geëvalueerd. Daarnaast vinden ook drie begeleidingscomités verspreid over de duurtijd van het project plaats. </w:t>
      </w:r>
    </w:p>
    <w:p w:rsidR="00E8594E" w:rsidRPr="00E8594E" w:rsidRDefault="00E8594E" w:rsidP="007C276A">
      <w:pPr>
        <w:ind w:left="360"/>
        <w:jc w:val="both"/>
        <w:rPr>
          <w:sz w:val="22"/>
        </w:rPr>
      </w:pPr>
    </w:p>
    <w:p w:rsidR="00E8594E" w:rsidRPr="00E8594E" w:rsidRDefault="00E8594E" w:rsidP="007C276A">
      <w:pPr>
        <w:ind w:left="360"/>
        <w:jc w:val="both"/>
        <w:rPr>
          <w:sz w:val="22"/>
        </w:rPr>
      </w:pPr>
      <w:r w:rsidRPr="00E8594E">
        <w:rPr>
          <w:sz w:val="22"/>
        </w:rPr>
        <w:t>Het eerste begeleidingscomité werd georganiseerd op 18 maart 2010. Het eerste begeleidingscom</w:t>
      </w:r>
      <w:r w:rsidRPr="00E8594E">
        <w:rPr>
          <w:sz w:val="22"/>
        </w:rPr>
        <w:t>i</w:t>
      </w:r>
      <w:r w:rsidRPr="00E8594E">
        <w:rPr>
          <w:sz w:val="22"/>
        </w:rPr>
        <w:t>té heeft voornamelijk als doel om technische</w:t>
      </w:r>
      <w:r w:rsidR="00270052">
        <w:rPr>
          <w:sz w:val="22"/>
        </w:rPr>
        <w:t>/</w:t>
      </w:r>
      <w:r w:rsidRPr="00E8594E">
        <w:rPr>
          <w:sz w:val="22"/>
        </w:rPr>
        <w:t xml:space="preserve">administratieve regels en procedures m.b.t. EFRO-projecten te verduidelijken. Aangezien het project op dat moment nog in een opstartfase zit, is van een evaluatiemoment nog geen sprake. </w:t>
      </w:r>
    </w:p>
    <w:p w:rsidR="00E8594E" w:rsidRPr="00E8594E" w:rsidRDefault="00E8594E" w:rsidP="007C276A">
      <w:pPr>
        <w:ind w:left="360"/>
        <w:jc w:val="both"/>
        <w:rPr>
          <w:sz w:val="22"/>
        </w:rPr>
      </w:pPr>
    </w:p>
    <w:p w:rsidR="00E8594E" w:rsidRPr="00E8594E" w:rsidRDefault="00E8594E" w:rsidP="007C276A">
      <w:pPr>
        <w:ind w:left="360"/>
        <w:jc w:val="both"/>
        <w:rPr>
          <w:sz w:val="22"/>
        </w:rPr>
      </w:pPr>
      <w:r w:rsidRPr="00E8594E">
        <w:rPr>
          <w:sz w:val="22"/>
        </w:rPr>
        <w:t>Het tweede begeleidingscomité vond plaats op 15 juli 2011. Uit dit overleg bleek dat een projec</w:t>
      </w:r>
      <w:r w:rsidRPr="00E8594E">
        <w:rPr>
          <w:sz w:val="22"/>
        </w:rPr>
        <w:t>t</w:t>
      </w:r>
      <w:r w:rsidRPr="00E8594E">
        <w:rPr>
          <w:sz w:val="22"/>
        </w:rPr>
        <w:t xml:space="preserve">verlenging een antwoord zou kunnen geven op een aantal knelpunten. Het project kende immers een vertraagde opstart door het later in dienst treden van het personeel. Het project kwam daardoor later dan gepland op kruissnelheid. </w:t>
      </w:r>
    </w:p>
    <w:p w:rsidR="00E8594E" w:rsidRPr="00E8594E" w:rsidRDefault="00E8594E" w:rsidP="007C276A">
      <w:pPr>
        <w:ind w:left="360"/>
        <w:jc w:val="both"/>
        <w:rPr>
          <w:sz w:val="22"/>
        </w:rPr>
      </w:pPr>
    </w:p>
    <w:p w:rsidR="00E8594E" w:rsidRPr="00E8594E" w:rsidRDefault="00E8594E" w:rsidP="007C276A">
      <w:pPr>
        <w:ind w:left="360"/>
        <w:jc w:val="both"/>
        <w:rPr>
          <w:sz w:val="22"/>
        </w:rPr>
      </w:pPr>
      <w:r w:rsidRPr="00E8594E">
        <w:rPr>
          <w:sz w:val="22"/>
        </w:rPr>
        <w:t xml:space="preserve">Een derde begeleidingscomité (met eindevaluatie) heeft nog niet plaats gevonden. Dit zal </w:t>
      </w:r>
      <w:r w:rsidR="00270052">
        <w:rPr>
          <w:sz w:val="22"/>
        </w:rPr>
        <w:t>g</w:t>
      </w:r>
      <w:r w:rsidRPr="00E8594E">
        <w:rPr>
          <w:sz w:val="22"/>
        </w:rPr>
        <w:t>ebe</w:t>
      </w:r>
      <w:r w:rsidRPr="00E8594E">
        <w:rPr>
          <w:sz w:val="22"/>
        </w:rPr>
        <w:t>u</w:t>
      </w:r>
      <w:r w:rsidRPr="00E8594E">
        <w:rPr>
          <w:sz w:val="22"/>
        </w:rPr>
        <w:t xml:space="preserve">ren in de periode januari – juni 2013, wanneer het eindrapport wordt opgesteld. </w:t>
      </w:r>
    </w:p>
    <w:p w:rsidR="00E8594E" w:rsidRPr="00E8594E" w:rsidRDefault="00E8594E" w:rsidP="007C276A">
      <w:pPr>
        <w:ind w:left="360"/>
        <w:jc w:val="both"/>
        <w:rPr>
          <w:sz w:val="22"/>
        </w:rPr>
      </w:pPr>
    </w:p>
    <w:p w:rsidR="00E8594E" w:rsidRPr="00E8594E" w:rsidRDefault="00E8594E" w:rsidP="007C276A">
      <w:pPr>
        <w:ind w:left="360"/>
        <w:jc w:val="both"/>
        <w:rPr>
          <w:sz w:val="22"/>
        </w:rPr>
      </w:pPr>
      <w:r w:rsidRPr="00E8594E">
        <w:rPr>
          <w:sz w:val="22"/>
        </w:rPr>
        <w:t xml:space="preserve">Uit de (voorlopige) evaluatie </w:t>
      </w:r>
      <w:r w:rsidR="00270052">
        <w:rPr>
          <w:sz w:val="22"/>
        </w:rPr>
        <w:t>b</w:t>
      </w:r>
      <w:r w:rsidRPr="00E8594E">
        <w:rPr>
          <w:sz w:val="22"/>
        </w:rPr>
        <w:t xml:space="preserve">lijkt dat het project positief geëvalueerd kan worden in die zin dat de beoogde doelstellingen werden behaald. Naar Vlaamse invulling en uitrol </w:t>
      </w:r>
      <w:r w:rsidR="00270052">
        <w:rPr>
          <w:sz w:val="22"/>
        </w:rPr>
        <w:t xml:space="preserve">toe </w:t>
      </w:r>
      <w:r w:rsidRPr="00E8594E">
        <w:rPr>
          <w:sz w:val="22"/>
        </w:rPr>
        <w:t xml:space="preserve">kan specifiek het volgende worden opgemerkt: </w:t>
      </w:r>
    </w:p>
    <w:p w:rsidR="00E8594E" w:rsidRPr="00E8594E" w:rsidRDefault="00270052" w:rsidP="007C276A">
      <w:pPr>
        <w:pStyle w:val="Lijstalinea"/>
        <w:numPr>
          <w:ilvl w:val="0"/>
          <w:numId w:val="19"/>
        </w:numPr>
        <w:jc w:val="both"/>
        <w:rPr>
          <w:sz w:val="22"/>
        </w:rPr>
      </w:pPr>
      <w:r>
        <w:rPr>
          <w:sz w:val="22"/>
        </w:rPr>
        <w:t>o</w:t>
      </w:r>
      <w:r w:rsidR="00E8594E" w:rsidRPr="00E8594E">
        <w:rPr>
          <w:sz w:val="22"/>
        </w:rPr>
        <w:t>ndersteunen</w:t>
      </w:r>
      <w:r>
        <w:rPr>
          <w:sz w:val="22"/>
        </w:rPr>
        <w:t>/</w:t>
      </w:r>
      <w:r w:rsidR="00E8594E" w:rsidRPr="00E8594E">
        <w:rPr>
          <w:sz w:val="22"/>
        </w:rPr>
        <w:t>stimuleren van de gamesector in Vlaanderen: voor de ondernemingen in de g</w:t>
      </w:r>
      <w:r w:rsidR="00E8594E" w:rsidRPr="00E8594E">
        <w:rPr>
          <w:sz w:val="22"/>
        </w:rPr>
        <w:t>a</w:t>
      </w:r>
      <w:r w:rsidR="00E8594E" w:rsidRPr="00E8594E">
        <w:rPr>
          <w:sz w:val="22"/>
        </w:rPr>
        <w:t>mesector zijn verscheidene conferenties, seminaries en evenementen georganiseerd</w:t>
      </w:r>
      <w:r>
        <w:rPr>
          <w:sz w:val="22"/>
        </w:rPr>
        <w:t>;</w:t>
      </w:r>
    </w:p>
    <w:p w:rsidR="00E8594E" w:rsidRDefault="00270052" w:rsidP="007C276A">
      <w:pPr>
        <w:pStyle w:val="Lijstalinea"/>
        <w:numPr>
          <w:ilvl w:val="0"/>
          <w:numId w:val="19"/>
        </w:numPr>
        <w:jc w:val="both"/>
        <w:rPr>
          <w:sz w:val="22"/>
        </w:rPr>
      </w:pPr>
      <w:r>
        <w:rPr>
          <w:sz w:val="22"/>
        </w:rPr>
        <w:t>o</w:t>
      </w:r>
      <w:r w:rsidR="00E8594E" w:rsidRPr="00E8594E">
        <w:rPr>
          <w:sz w:val="22"/>
        </w:rPr>
        <w:t>ndernemingen in Vlaanderen begeleiden bij het realiseren van een innovatief 3D</w:t>
      </w:r>
      <w:r>
        <w:rPr>
          <w:sz w:val="22"/>
        </w:rPr>
        <w:t>-</w:t>
      </w:r>
      <w:r w:rsidR="00E8594E" w:rsidRPr="00E8594E">
        <w:rPr>
          <w:sz w:val="22"/>
        </w:rPr>
        <w:t>project</w:t>
      </w:r>
      <w:r>
        <w:rPr>
          <w:sz w:val="22"/>
        </w:rPr>
        <w:t>: e</w:t>
      </w:r>
      <w:r w:rsidR="00E8594E" w:rsidRPr="00E8594E">
        <w:rPr>
          <w:sz w:val="22"/>
        </w:rPr>
        <w:t>r zijn 56 begeleidingen geweest. Deze begeleidingen vonden plaats in verschillende sectoren: erfgoedsector, toerisme, industriële sector, architectuur, productvisualisatie, reclame en co</w:t>
      </w:r>
      <w:r w:rsidR="00E8594E" w:rsidRPr="00E8594E">
        <w:rPr>
          <w:sz w:val="22"/>
        </w:rPr>
        <w:t>m</w:t>
      </w:r>
      <w:r w:rsidR="00E8594E" w:rsidRPr="00E8594E">
        <w:rPr>
          <w:sz w:val="22"/>
        </w:rPr>
        <w:t>merciële sector, gezondheidssector, sport,</w:t>
      </w:r>
      <w:r>
        <w:rPr>
          <w:sz w:val="22"/>
        </w:rPr>
        <w:t xml:space="preserve"> etc.</w:t>
      </w:r>
    </w:p>
    <w:p w:rsidR="0083087A" w:rsidRDefault="0083087A" w:rsidP="007C276A">
      <w:pPr>
        <w:pStyle w:val="Lijstalinea"/>
        <w:ind w:left="720"/>
        <w:jc w:val="both"/>
        <w:rPr>
          <w:sz w:val="22"/>
        </w:rPr>
      </w:pPr>
    </w:p>
    <w:p w:rsidR="0083087A" w:rsidRPr="00E8594E" w:rsidRDefault="0083087A" w:rsidP="007C276A">
      <w:pPr>
        <w:pStyle w:val="Lijstalinea"/>
        <w:ind w:left="720"/>
        <w:jc w:val="both"/>
        <w:rPr>
          <w:sz w:val="22"/>
        </w:rPr>
      </w:pPr>
    </w:p>
    <w:p w:rsidR="00E8594E" w:rsidRPr="00E8594E" w:rsidRDefault="00E8594E" w:rsidP="007C276A">
      <w:pPr>
        <w:pStyle w:val="Lijstalinea"/>
        <w:numPr>
          <w:ilvl w:val="0"/>
          <w:numId w:val="18"/>
        </w:numPr>
        <w:jc w:val="both"/>
        <w:rPr>
          <w:sz w:val="22"/>
        </w:rPr>
      </w:pPr>
      <w:r w:rsidRPr="00E8594E">
        <w:rPr>
          <w:sz w:val="22"/>
        </w:rPr>
        <w:t xml:space="preserve">De projectactiviteiten worden gecontinueerd door verscheidene initiatieven binnen HOWEST: </w:t>
      </w:r>
    </w:p>
    <w:p w:rsidR="00E8594E" w:rsidRPr="00E8594E" w:rsidRDefault="00270052" w:rsidP="007C276A">
      <w:pPr>
        <w:pStyle w:val="Lijstalinea"/>
        <w:numPr>
          <w:ilvl w:val="0"/>
          <w:numId w:val="21"/>
        </w:numPr>
        <w:jc w:val="both"/>
        <w:rPr>
          <w:sz w:val="22"/>
        </w:rPr>
      </w:pPr>
      <w:r>
        <w:rPr>
          <w:sz w:val="22"/>
        </w:rPr>
        <w:t>d</w:t>
      </w:r>
      <w:r w:rsidR="00E8594E" w:rsidRPr="00E8594E">
        <w:rPr>
          <w:sz w:val="22"/>
        </w:rPr>
        <w:t>e bachelor Digital Arts &amp; Entertainment blijft zijn expertise ter beschikking stellen van o</w:t>
      </w:r>
      <w:r w:rsidR="00E8594E" w:rsidRPr="00E8594E">
        <w:rPr>
          <w:sz w:val="22"/>
        </w:rPr>
        <w:t>n</w:t>
      </w:r>
      <w:r w:rsidR="00E8594E" w:rsidRPr="00E8594E">
        <w:rPr>
          <w:sz w:val="22"/>
        </w:rPr>
        <w:t xml:space="preserve">dernemingen; </w:t>
      </w:r>
    </w:p>
    <w:p w:rsidR="00E8594E" w:rsidRPr="00E8594E" w:rsidRDefault="00E8594E" w:rsidP="007C276A">
      <w:pPr>
        <w:pStyle w:val="Lijstalinea"/>
        <w:numPr>
          <w:ilvl w:val="0"/>
          <w:numId w:val="21"/>
        </w:numPr>
        <w:jc w:val="both"/>
        <w:rPr>
          <w:sz w:val="22"/>
        </w:rPr>
      </w:pPr>
      <w:r w:rsidRPr="00E8594E">
        <w:rPr>
          <w:sz w:val="22"/>
        </w:rPr>
        <w:t xml:space="preserve">HOWEST is medeoprichter van FLEGA (Flemish Game Association) en ondersteunt op deze wijze de gamesector; </w:t>
      </w:r>
    </w:p>
    <w:p w:rsidR="00E8594E" w:rsidRPr="00E8594E" w:rsidRDefault="00270052" w:rsidP="007C276A">
      <w:pPr>
        <w:pStyle w:val="Lijstalinea"/>
        <w:numPr>
          <w:ilvl w:val="0"/>
          <w:numId w:val="21"/>
        </w:numPr>
        <w:jc w:val="both"/>
        <w:rPr>
          <w:sz w:val="22"/>
        </w:rPr>
      </w:pPr>
      <w:r>
        <w:rPr>
          <w:sz w:val="22"/>
        </w:rPr>
        <w:t>d</w:t>
      </w:r>
      <w:r w:rsidR="00E8594E" w:rsidRPr="00E8594E">
        <w:rPr>
          <w:sz w:val="22"/>
        </w:rPr>
        <w:t xml:space="preserve">e bachelor Digital Arts &amp; Entertainment blijft infosessies inrichten voor ondernemingen en bedrijven; </w:t>
      </w:r>
    </w:p>
    <w:p w:rsidR="00E8594E" w:rsidRPr="00E8594E" w:rsidRDefault="00E8594E" w:rsidP="007C276A">
      <w:pPr>
        <w:pStyle w:val="Lijstalinea"/>
        <w:numPr>
          <w:ilvl w:val="0"/>
          <w:numId w:val="21"/>
        </w:numPr>
        <w:jc w:val="both"/>
        <w:rPr>
          <w:sz w:val="22"/>
        </w:rPr>
      </w:pPr>
      <w:r w:rsidRPr="00E8594E">
        <w:rPr>
          <w:sz w:val="22"/>
        </w:rPr>
        <w:t xml:space="preserve">HOWEST is betrokken bij verschillende projecten die de gamesector verder stimuleren: </w:t>
      </w:r>
    </w:p>
    <w:p w:rsidR="00E8594E" w:rsidRPr="00C11353" w:rsidRDefault="00270052" w:rsidP="007C276A">
      <w:pPr>
        <w:pStyle w:val="Lijstalinea"/>
        <w:numPr>
          <w:ilvl w:val="1"/>
          <w:numId w:val="21"/>
        </w:numPr>
        <w:ind w:left="993" w:hanging="284"/>
        <w:jc w:val="both"/>
        <w:rPr>
          <w:sz w:val="22"/>
        </w:rPr>
      </w:pPr>
      <w:r w:rsidRPr="00C11353">
        <w:rPr>
          <w:sz w:val="22"/>
        </w:rPr>
        <w:t>INTERREG IV-Programma France-Wallonie-Vlaanderen</w:t>
      </w:r>
      <w:r w:rsidR="00C11353">
        <w:rPr>
          <w:sz w:val="22"/>
        </w:rPr>
        <w:t xml:space="preserve"> – project T</w:t>
      </w:r>
      <w:r w:rsidR="00E8594E" w:rsidRPr="00C11353">
        <w:rPr>
          <w:sz w:val="22"/>
        </w:rPr>
        <w:t xml:space="preserve">ANDEM; </w:t>
      </w:r>
    </w:p>
    <w:p w:rsidR="00E8594E" w:rsidRPr="00E8594E" w:rsidRDefault="00E8594E" w:rsidP="007C276A">
      <w:pPr>
        <w:pStyle w:val="Lijstalinea"/>
        <w:numPr>
          <w:ilvl w:val="1"/>
          <w:numId w:val="21"/>
        </w:numPr>
        <w:ind w:left="993" w:hanging="284"/>
        <w:jc w:val="both"/>
        <w:rPr>
          <w:sz w:val="22"/>
          <w:lang w:val="en-US"/>
        </w:rPr>
      </w:pPr>
      <w:r w:rsidRPr="00E8594E">
        <w:rPr>
          <w:sz w:val="22"/>
          <w:lang w:val="en-US"/>
        </w:rPr>
        <w:t>TETRA</w:t>
      </w:r>
      <w:r w:rsidR="00C11353">
        <w:rPr>
          <w:sz w:val="22"/>
          <w:lang w:val="en-US"/>
        </w:rPr>
        <w:t xml:space="preserve"> – project </w:t>
      </w:r>
      <w:r w:rsidRPr="00E8594E">
        <w:rPr>
          <w:sz w:val="22"/>
          <w:lang w:val="en-US"/>
        </w:rPr>
        <w:t xml:space="preserve">Be like me; </w:t>
      </w:r>
    </w:p>
    <w:p w:rsidR="00E8594E" w:rsidRPr="007C276A" w:rsidRDefault="00E8594E" w:rsidP="007C276A">
      <w:pPr>
        <w:pStyle w:val="Lijstalinea"/>
        <w:numPr>
          <w:ilvl w:val="1"/>
          <w:numId w:val="21"/>
        </w:numPr>
        <w:ind w:left="993" w:hanging="284"/>
        <w:jc w:val="both"/>
        <w:rPr>
          <w:sz w:val="22"/>
          <w:lang w:val="en-US"/>
        </w:rPr>
      </w:pPr>
      <w:r w:rsidRPr="007C276A">
        <w:rPr>
          <w:sz w:val="22"/>
          <w:lang w:val="en-US"/>
        </w:rPr>
        <w:t xml:space="preserve">ESF – </w:t>
      </w:r>
      <w:proofErr w:type="spellStart"/>
      <w:r w:rsidRPr="007C276A">
        <w:rPr>
          <w:sz w:val="22"/>
          <w:lang w:val="en-US"/>
        </w:rPr>
        <w:t>brandeducatie</w:t>
      </w:r>
      <w:proofErr w:type="spellEnd"/>
      <w:r w:rsidRPr="007C276A">
        <w:rPr>
          <w:sz w:val="22"/>
          <w:lang w:val="en-US"/>
        </w:rPr>
        <w:t xml:space="preserve"> via serious</w:t>
      </w:r>
      <w:r w:rsidR="00C11353" w:rsidRPr="007C276A">
        <w:rPr>
          <w:sz w:val="22"/>
          <w:lang w:val="en-US"/>
        </w:rPr>
        <w:t xml:space="preserve"> </w:t>
      </w:r>
      <w:r w:rsidRPr="007C276A">
        <w:rPr>
          <w:sz w:val="22"/>
          <w:lang w:val="en-US"/>
        </w:rPr>
        <w:t>games</w:t>
      </w:r>
      <w:r w:rsidR="00C11353" w:rsidRPr="007C276A">
        <w:rPr>
          <w:sz w:val="22"/>
          <w:lang w:val="en-US"/>
        </w:rPr>
        <w:t>.</w:t>
      </w:r>
    </w:p>
    <w:sectPr w:rsidR="00E8594E" w:rsidRPr="007C276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3D" w:rsidRDefault="0031513D">
      <w:r>
        <w:separator/>
      </w:r>
    </w:p>
  </w:endnote>
  <w:endnote w:type="continuationSeparator" w:id="0">
    <w:p w:rsidR="0031513D" w:rsidRDefault="003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3D" w:rsidRDefault="0031513D">
      <w:r>
        <w:separator/>
      </w:r>
    </w:p>
  </w:footnote>
  <w:footnote w:type="continuationSeparator" w:id="0">
    <w:p w:rsidR="0031513D" w:rsidRDefault="0031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37B"/>
    <w:multiLevelType w:val="hybridMultilevel"/>
    <w:tmpl w:val="22F092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595CFD"/>
    <w:multiLevelType w:val="hybridMultilevel"/>
    <w:tmpl w:val="85489E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CD50AC7"/>
    <w:multiLevelType w:val="hybridMultilevel"/>
    <w:tmpl w:val="269EEC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1594032"/>
    <w:multiLevelType w:val="hybridMultilevel"/>
    <w:tmpl w:val="E6BC69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8E241F9"/>
    <w:multiLevelType w:val="hybridMultilevel"/>
    <w:tmpl w:val="C85ADFD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B7B4DC6"/>
    <w:multiLevelType w:val="hybridMultilevel"/>
    <w:tmpl w:val="839C6B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B9355D8"/>
    <w:multiLevelType w:val="hybridMultilevel"/>
    <w:tmpl w:val="EECE0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59A1A7C"/>
    <w:multiLevelType w:val="hybridMultilevel"/>
    <w:tmpl w:val="E048E2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38916453"/>
    <w:multiLevelType w:val="hybridMultilevel"/>
    <w:tmpl w:val="85B2A388"/>
    <w:lvl w:ilvl="0" w:tplc="D1C4DAEE">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38EE3E1D"/>
    <w:multiLevelType w:val="hybridMultilevel"/>
    <w:tmpl w:val="E124E1E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C5D7780"/>
    <w:multiLevelType w:val="hybridMultilevel"/>
    <w:tmpl w:val="2C18E5D8"/>
    <w:lvl w:ilvl="0" w:tplc="76EA864A">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E090F87"/>
    <w:multiLevelType w:val="hybridMultilevel"/>
    <w:tmpl w:val="B03C7A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E741FB9"/>
    <w:multiLevelType w:val="hybridMultilevel"/>
    <w:tmpl w:val="6C5A19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90840C3"/>
    <w:multiLevelType w:val="hybridMultilevel"/>
    <w:tmpl w:val="E33621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9F05708"/>
    <w:multiLevelType w:val="hybridMultilevel"/>
    <w:tmpl w:val="47B458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BDE6152"/>
    <w:multiLevelType w:val="hybridMultilevel"/>
    <w:tmpl w:val="E3DE6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57028FF"/>
    <w:multiLevelType w:val="hybridMultilevel"/>
    <w:tmpl w:val="CC02E3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8E00169"/>
    <w:multiLevelType w:val="hybridMultilevel"/>
    <w:tmpl w:val="ED1628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B4C6651"/>
    <w:multiLevelType w:val="hybridMultilevel"/>
    <w:tmpl w:val="BB84393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D671C83"/>
    <w:multiLevelType w:val="hybridMultilevel"/>
    <w:tmpl w:val="1E0E50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5"/>
  </w:num>
  <w:num w:numId="3">
    <w:abstractNumId w:val="16"/>
  </w:num>
  <w:num w:numId="4">
    <w:abstractNumId w:val="18"/>
  </w:num>
  <w:num w:numId="5">
    <w:abstractNumId w:val="6"/>
  </w:num>
  <w:num w:numId="6">
    <w:abstractNumId w:val="19"/>
  </w:num>
  <w:num w:numId="7">
    <w:abstractNumId w:val="2"/>
  </w:num>
  <w:num w:numId="8">
    <w:abstractNumId w:val="10"/>
  </w:num>
  <w:num w:numId="9">
    <w:abstractNumId w:val="15"/>
  </w:num>
  <w:num w:numId="10">
    <w:abstractNumId w:val="1"/>
  </w:num>
  <w:num w:numId="11">
    <w:abstractNumId w:val="8"/>
  </w:num>
  <w:num w:numId="12">
    <w:abstractNumId w:val="13"/>
  </w:num>
  <w:num w:numId="13">
    <w:abstractNumId w:val="9"/>
  </w:num>
  <w:num w:numId="14">
    <w:abstractNumId w:val="17"/>
  </w:num>
  <w:num w:numId="15">
    <w:abstractNumId w:val="3"/>
  </w:num>
  <w:num w:numId="16">
    <w:abstractNumId w:val="14"/>
  </w:num>
  <w:num w:numId="17">
    <w:abstractNumId w:val="7"/>
  </w:num>
  <w:num w:numId="18">
    <w:abstractNumId w:val="11"/>
  </w:num>
  <w:num w:numId="19">
    <w:abstractNumId w:val="12"/>
  </w:num>
  <w:num w:numId="20">
    <w:abstractNumId w:val="20"/>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8597D"/>
    <w:rsid w:val="000C6B7E"/>
    <w:rsid w:val="000E45C8"/>
    <w:rsid w:val="00102476"/>
    <w:rsid w:val="001058E4"/>
    <w:rsid w:val="00151E1A"/>
    <w:rsid w:val="001561C9"/>
    <w:rsid w:val="0016148B"/>
    <w:rsid w:val="001755B2"/>
    <w:rsid w:val="001A4E37"/>
    <w:rsid w:val="001C0B52"/>
    <w:rsid w:val="001D50C6"/>
    <w:rsid w:val="001F713E"/>
    <w:rsid w:val="00202FA9"/>
    <w:rsid w:val="002235C3"/>
    <w:rsid w:val="002536A1"/>
    <w:rsid w:val="00270052"/>
    <w:rsid w:val="0029618B"/>
    <w:rsid w:val="002B65A3"/>
    <w:rsid w:val="002E75AE"/>
    <w:rsid w:val="002F1544"/>
    <w:rsid w:val="0031513D"/>
    <w:rsid w:val="00321F10"/>
    <w:rsid w:val="0032261D"/>
    <w:rsid w:val="00323AF3"/>
    <w:rsid w:val="0034616F"/>
    <w:rsid w:val="003750D5"/>
    <w:rsid w:val="0039205C"/>
    <w:rsid w:val="003B6A5C"/>
    <w:rsid w:val="00423F29"/>
    <w:rsid w:val="00463580"/>
    <w:rsid w:val="0046761C"/>
    <w:rsid w:val="0047032B"/>
    <w:rsid w:val="00472C97"/>
    <w:rsid w:val="00477EB3"/>
    <w:rsid w:val="004A56C3"/>
    <w:rsid w:val="004D21E2"/>
    <w:rsid w:val="004F3708"/>
    <w:rsid w:val="00512E83"/>
    <w:rsid w:val="00540203"/>
    <w:rsid w:val="00540740"/>
    <w:rsid w:val="00560124"/>
    <w:rsid w:val="005B3194"/>
    <w:rsid w:val="006570AC"/>
    <w:rsid w:val="00696B38"/>
    <w:rsid w:val="006A5A3E"/>
    <w:rsid w:val="006F445E"/>
    <w:rsid w:val="00723B3F"/>
    <w:rsid w:val="00730008"/>
    <w:rsid w:val="007408E7"/>
    <w:rsid w:val="00766C70"/>
    <w:rsid w:val="007C276A"/>
    <w:rsid w:val="0083087A"/>
    <w:rsid w:val="00842183"/>
    <w:rsid w:val="00861B6D"/>
    <w:rsid w:val="00867AAA"/>
    <w:rsid w:val="0088199A"/>
    <w:rsid w:val="008A6DA3"/>
    <w:rsid w:val="008E3430"/>
    <w:rsid w:val="009511C4"/>
    <w:rsid w:val="00995A04"/>
    <w:rsid w:val="00995F79"/>
    <w:rsid w:val="009A6335"/>
    <w:rsid w:val="00A714C2"/>
    <w:rsid w:val="00A8473D"/>
    <w:rsid w:val="00AD549A"/>
    <w:rsid w:val="00B16D19"/>
    <w:rsid w:val="00B36CE4"/>
    <w:rsid w:val="00B82A3E"/>
    <w:rsid w:val="00BA0B99"/>
    <w:rsid w:val="00BB2A82"/>
    <w:rsid w:val="00BB38B7"/>
    <w:rsid w:val="00BB6E27"/>
    <w:rsid w:val="00BE315B"/>
    <w:rsid w:val="00C03FEB"/>
    <w:rsid w:val="00C11353"/>
    <w:rsid w:val="00C32A38"/>
    <w:rsid w:val="00C603A7"/>
    <w:rsid w:val="00C625C9"/>
    <w:rsid w:val="00CE2DB2"/>
    <w:rsid w:val="00CE5C0A"/>
    <w:rsid w:val="00D10A53"/>
    <w:rsid w:val="00D44CA5"/>
    <w:rsid w:val="00D5568D"/>
    <w:rsid w:val="00D61A12"/>
    <w:rsid w:val="00D67BAF"/>
    <w:rsid w:val="00DA3A9B"/>
    <w:rsid w:val="00DA549E"/>
    <w:rsid w:val="00DE405B"/>
    <w:rsid w:val="00E839E8"/>
    <w:rsid w:val="00E8594E"/>
    <w:rsid w:val="00EB0A62"/>
    <w:rsid w:val="00F44F63"/>
    <w:rsid w:val="00FC59AD"/>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463580"/>
    <w:rPr>
      <w:rFonts w:ascii="Tahoma" w:hAnsi="Tahoma" w:cs="Tahoma"/>
      <w:sz w:val="16"/>
      <w:szCs w:val="16"/>
    </w:rPr>
  </w:style>
  <w:style w:type="character" w:customStyle="1" w:styleId="BallontekstChar">
    <w:name w:val="Ballontekst Char"/>
    <w:link w:val="Ballontekst"/>
    <w:rsid w:val="00463580"/>
    <w:rPr>
      <w:rFonts w:ascii="Tahoma" w:hAnsi="Tahoma" w:cs="Tahoma"/>
      <w:sz w:val="16"/>
      <w:szCs w:val="16"/>
      <w:lang w:val="nl-NL" w:eastAsia="nl-NL"/>
    </w:rPr>
  </w:style>
  <w:style w:type="table" w:styleId="Tabelraster">
    <w:name w:val="Table Grid"/>
    <w:basedOn w:val="Standaardtabel"/>
    <w:uiPriority w:val="59"/>
    <w:rsid w:val="00FC59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463580"/>
    <w:rPr>
      <w:rFonts w:ascii="Tahoma" w:hAnsi="Tahoma" w:cs="Tahoma"/>
      <w:sz w:val="16"/>
      <w:szCs w:val="16"/>
    </w:rPr>
  </w:style>
  <w:style w:type="character" w:customStyle="1" w:styleId="BallontekstChar">
    <w:name w:val="Ballontekst Char"/>
    <w:link w:val="Ballontekst"/>
    <w:rsid w:val="00463580"/>
    <w:rPr>
      <w:rFonts w:ascii="Tahoma" w:hAnsi="Tahoma" w:cs="Tahoma"/>
      <w:sz w:val="16"/>
      <w:szCs w:val="16"/>
      <w:lang w:val="nl-NL" w:eastAsia="nl-NL"/>
    </w:rPr>
  </w:style>
  <w:style w:type="table" w:styleId="Tabelraster">
    <w:name w:val="Table Grid"/>
    <w:basedOn w:val="Standaardtabel"/>
    <w:uiPriority w:val="59"/>
    <w:rsid w:val="00FC59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731657524">
      <w:bodyDiv w:val="1"/>
      <w:marLeft w:val="0"/>
      <w:marRight w:val="0"/>
      <w:marTop w:val="0"/>
      <w:marBottom w:val="0"/>
      <w:divBdr>
        <w:top w:val="none" w:sz="0" w:space="0" w:color="auto"/>
        <w:left w:val="none" w:sz="0" w:space="0" w:color="auto"/>
        <w:bottom w:val="none" w:sz="0" w:space="0" w:color="auto"/>
        <w:right w:val="none" w:sz="0" w:space="0" w:color="auto"/>
      </w:divBdr>
    </w:div>
    <w:div w:id="868838887">
      <w:bodyDiv w:val="1"/>
      <w:marLeft w:val="0"/>
      <w:marRight w:val="0"/>
      <w:marTop w:val="0"/>
      <w:marBottom w:val="0"/>
      <w:divBdr>
        <w:top w:val="none" w:sz="0" w:space="0" w:color="auto"/>
        <w:left w:val="none" w:sz="0" w:space="0" w:color="auto"/>
        <w:bottom w:val="none" w:sz="0" w:space="0" w:color="auto"/>
        <w:right w:val="none" w:sz="0" w:space="0" w:color="auto"/>
      </w:divBdr>
    </w:div>
    <w:div w:id="890117237">
      <w:bodyDiv w:val="1"/>
      <w:marLeft w:val="0"/>
      <w:marRight w:val="0"/>
      <w:marTop w:val="0"/>
      <w:marBottom w:val="0"/>
      <w:divBdr>
        <w:top w:val="none" w:sz="0" w:space="0" w:color="auto"/>
        <w:left w:val="none" w:sz="0" w:space="0" w:color="auto"/>
        <w:bottom w:val="none" w:sz="0" w:space="0" w:color="auto"/>
        <w:right w:val="none" w:sz="0" w:space="0" w:color="auto"/>
      </w:divBdr>
    </w:div>
    <w:div w:id="1080636730">
      <w:bodyDiv w:val="1"/>
      <w:marLeft w:val="0"/>
      <w:marRight w:val="0"/>
      <w:marTop w:val="0"/>
      <w:marBottom w:val="0"/>
      <w:divBdr>
        <w:top w:val="none" w:sz="0" w:space="0" w:color="auto"/>
        <w:left w:val="none" w:sz="0" w:space="0" w:color="auto"/>
        <w:bottom w:val="none" w:sz="0" w:space="0" w:color="auto"/>
        <w:right w:val="none" w:sz="0" w:space="0" w:color="auto"/>
      </w:divBdr>
    </w:div>
    <w:div w:id="1495025196">
      <w:bodyDiv w:val="1"/>
      <w:marLeft w:val="0"/>
      <w:marRight w:val="0"/>
      <w:marTop w:val="0"/>
      <w:marBottom w:val="0"/>
      <w:divBdr>
        <w:top w:val="none" w:sz="0" w:space="0" w:color="auto"/>
        <w:left w:val="none" w:sz="0" w:space="0" w:color="auto"/>
        <w:bottom w:val="none" w:sz="0" w:space="0" w:color="auto"/>
        <w:right w:val="none" w:sz="0" w:space="0" w:color="auto"/>
      </w:divBdr>
    </w:div>
    <w:div w:id="1558316165">
      <w:bodyDiv w:val="1"/>
      <w:marLeft w:val="0"/>
      <w:marRight w:val="0"/>
      <w:marTop w:val="0"/>
      <w:marBottom w:val="0"/>
      <w:divBdr>
        <w:top w:val="none" w:sz="0" w:space="0" w:color="auto"/>
        <w:left w:val="none" w:sz="0" w:space="0" w:color="auto"/>
        <w:bottom w:val="none" w:sz="0" w:space="0" w:color="auto"/>
        <w:right w:val="none" w:sz="0" w:space="0" w:color="auto"/>
      </w:divBdr>
    </w:div>
    <w:div w:id="1800142956">
      <w:bodyDiv w:val="1"/>
      <w:marLeft w:val="0"/>
      <w:marRight w:val="0"/>
      <w:marTop w:val="0"/>
      <w:marBottom w:val="0"/>
      <w:divBdr>
        <w:top w:val="none" w:sz="0" w:space="0" w:color="auto"/>
        <w:left w:val="none" w:sz="0" w:space="0" w:color="auto"/>
        <w:bottom w:val="none" w:sz="0" w:space="0" w:color="auto"/>
        <w:right w:val="none" w:sz="0" w:space="0" w:color="auto"/>
      </w:divBdr>
    </w:div>
    <w:div w:id="19740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2013-01-17T13:55:00Z</cp:lastPrinted>
  <dcterms:created xsi:type="dcterms:W3CDTF">2013-01-17T13:55:00Z</dcterms:created>
  <dcterms:modified xsi:type="dcterms:W3CDTF">2013-01-17T13:55:00Z</dcterms:modified>
</cp:coreProperties>
</file>