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C3" w:rsidRPr="00DA22D6" w:rsidRDefault="006931C3" w:rsidP="00DA22D6">
      <w:pPr>
        <w:jc w:val="both"/>
        <w:outlineLvl w:val="0"/>
        <w:rPr>
          <w:b/>
          <w:smallCaps/>
          <w:sz w:val="22"/>
          <w:szCs w:val="22"/>
          <w:lang w:val="nl-BE"/>
        </w:rPr>
      </w:pPr>
      <w:r w:rsidRPr="00DA22D6">
        <w:rPr>
          <w:b/>
          <w:smallCaps/>
          <w:sz w:val="22"/>
          <w:szCs w:val="22"/>
          <w:lang w:val="nl-BE"/>
        </w:rPr>
        <w:t xml:space="preserve">kris </w:t>
      </w:r>
      <w:proofErr w:type="spellStart"/>
      <w:r w:rsidRPr="00DA22D6">
        <w:rPr>
          <w:b/>
          <w:smallCaps/>
          <w:sz w:val="22"/>
          <w:szCs w:val="22"/>
          <w:lang w:val="nl-BE"/>
        </w:rPr>
        <w:t>peeters</w:t>
      </w:r>
      <w:proofErr w:type="spellEnd"/>
    </w:p>
    <w:p w:rsidR="006931C3" w:rsidRPr="00DA22D6" w:rsidRDefault="006931C3" w:rsidP="00DA22D6">
      <w:pPr>
        <w:jc w:val="both"/>
        <w:rPr>
          <w:smallCaps/>
          <w:sz w:val="22"/>
          <w:szCs w:val="22"/>
          <w:lang w:val="nl-BE"/>
        </w:rPr>
      </w:pPr>
      <w:r w:rsidRPr="00DA22D6">
        <w:rPr>
          <w:smallCaps/>
          <w:sz w:val="22"/>
          <w:szCs w:val="22"/>
          <w:lang w:val="nl-BE"/>
        </w:rPr>
        <w:t xml:space="preserve">minister-president van de </w:t>
      </w:r>
      <w:proofErr w:type="spellStart"/>
      <w:r w:rsidRPr="00DA22D6">
        <w:rPr>
          <w:smallCaps/>
          <w:sz w:val="22"/>
          <w:szCs w:val="22"/>
          <w:lang w:val="nl-BE"/>
        </w:rPr>
        <w:t>vlaamse</w:t>
      </w:r>
      <w:proofErr w:type="spellEnd"/>
      <w:r w:rsidRPr="00DA22D6">
        <w:rPr>
          <w:smallCaps/>
          <w:sz w:val="22"/>
          <w:szCs w:val="22"/>
          <w:lang w:val="nl-BE"/>
        </w:rPr>
        <w:t xml:space="preserve"> </w:t>
      </w:r>
      <w:r w:rsidR="00C0659A" w:rsidRPr="00DA22D6">
        <w:rPr>
          <w:smallCaps/>
          <w:sz w:val="22"/>
          <w:szCs w:val="22"/>
          <w:lang w:val="nl-BE"/>
        </w:rPr>
        <w:t xml:space="preserve"> </w:t>
      </w:r>
      <w:r w:rsidRPr="00DA22D6">
        <w:rPr>
          <w:smallCaps/>
          <w:sz w:val="22"/>
          <w:szCs w:val="22"/>
          <w:lang w:val="nl-BE"/>
        </w:rPr>
        <w:t xml:space="preserve">regering, </w:t>
      </w:r>
      <w:proofErr w:type="spellStart"/>
      <w:r w:rsidRPr="00DA22D6">
        <w:rPr>
          <w:smallCaps/>
          <w:sz w:val="22"/>
          <w:szCs w:val="22"/>
          <w:lang w:val="nl-BE"/>
        </w:rPr>
        <w:t>vlaams</w:t>
      </w:r>
      <w:proofErr w:type="spellEnd"/>
      <w:r w:rsidRPr="00DA22D6">
        <w:rPr>
          <w:smallCaps/>
          <w:sz w:val="22"/>
          <w:szCs w:val="22"/>
          <w:lang w:val="nl-BE"/>
        </w:rPr>
        <w:t xml:space="preserve"> minister van economie, buitenlands beleid, landbouw en plattelandsbeleid</w:t>
      </w:r>
    </w:p>
    <w:p w:rsidR="006931C3" w:rsidRPr="00DA22D6" w:rsidRDefault="006931C3" w:rsidP="00DA22D6">
      <w:pPr>
        <w:pStyle w:val="StandaardSV"/>
        <w:pBdr>
          <w:bottom w:val="single" w:sz="4" w:space="1" w:color="auto"/>
        </w:pBdr>
        <w:rPr>
          <w:szCs w:val="22"/>
          <w:lang w:val="nl-BE"/>
        </w:rPr>
      </w:pPr>
    </w:p>
    <w:p w:rsidR="006931C3" w:rsidRPr="00DA22D6" w:rsidRDefault="006931C3" w:rsidP="00DA22D6">
      <w:pPr>
        <w:jc w:val="both"/>
        <w:rPr>
          <w:sz w:val="22"/>
          <w:szCs w:val="22"/>
        </w:rPr>
      </w:pPr>
    </w:p>
    <w:p w:rsidR="00DA22D6" w:rsidRPr="00DA22D6" w:rsidRDefault="00DA22D6" w:rsidP="00DA22D6">
      <w:pPr>
        <w:jc w:val="both"/>
        <w:outlineLvl w:val="0"/>
        <w:rPr>
          <w:b/>
          <w:smallCaps/>
          <w:sz w:val="22"/>
          <w:szCs w:val="22"/>
        </w:rPr>
      </w:pPr>
      <w:r w:rsidRPr="00DA22D6">
        <w:rPr>
          <w:b/>
          <w:smallCaps/>
          <w:sz w:val="22"/>
          <w:szCs w:val="22"/>
        </w:rPr>
        <w:t xml:space="preserve">antwoord </w:t>
      </w:r>
    </w:p>
    <w:p w:rsidR="006931C3" w:rsidRPr="00DA22D6" w:rsidRDefault="00DA22D6" w:rsidP="00DA22D6">
      <w:pPr>
        <w:jc w:val="both"/>
        <w:outlineLvl w:val="0"/>
        <w:rPr>
          <w:sz w:val="22"/>
          <w:szCs w:val="22"/>
        </w:rPr>
      </w:pPr>
      <w:r w:rsidRPr="00DA22D6">
        <w:rPr>
          <w:sz w:val="22"/>
          <w:szCs w:val="22"/>
        </w:rPr>
        <w:t>op v</w:t>
      </w:r>
      <w:r w:rsidR="006931C3" w:rsidRPr="00DA22D6">
        <w:rPr>
          <w:sz w:val="22"/>
          <w:szCs w:val="22"/>
        </w:rPr>
        <w:t>raag nr. 111</w:t>
      </w:r>
      <w:r w:rsidRPr="00DA22D6">
        <w:rPr>
          <w:sz w:val="22"/>
          <w:szCs w:val="22"/>
        </w:rPr>
        <w:t xml:space="preserve"> </w:t>
      </w:r>
      <w:r w:rsidR="006931C3" w:rsidRPr="00DA22D6">
        <w:rPr>
          <w:sz w:val="22"/>
          <w:szCs w:val="22"/>
        </w:rPr>
        <w:t>van 28 november 2012</w:t>
      </w:r>
    </w:p>
    <w:p w:rsidR="006931C3" w:rsidRPr="00DA22D6" w:rsidRDefault="006931C3" w:rsidP="00DA22D6">
      <w:pPr>
        <w:jc w:val="both"/>
        <w:rPr>
          <w:b/>
          <w:sz w:val="22"/>
          <w:szCs w:val="22"/>
        </w:rPr>
      </w:pPr>
      <w:r w:rsidRPr="00DA22D6">
        <w:rPr>
          <w:sz w:val="22"/>
          <w:szCs w:val="22"/>
        </w:rPr>
        <w:t xml:space="preserve">van </w:t>
      </w:r>
      <w:proofErr w:type="spellStart"/>
      <w:r w:rsidRPr="00DA22D6">
        <w:rPr>
          <w:b/>
          <w:smallCaps/>
          <w:sz w:val="22"/>
          <w:szCs w:val="22"/>
        </w:rPr>
        <w:t>tine</w:t>
      </w:r>
      <w:proofErr w:type="spellEnd"/>
      <w:r w:rsidR="00C0659A" w:rsidRPr="00DA22D6">
        <w:rPr>
          <w:b/>
          <w:smallCaps/>
          <w:sz w:val="22"/>
          <w:szCs w:val="22"/>
        </w:rPr>
        <w:t xml:space="preserve"> </w:t>
      </w:r>
      <w:proofErr w:type="spellStart"/>
      <w:r w:rsidRPr="00DA22D6">
        <w:rPr>
          <w:b/>
          <w:smallCaps/>
          <w:sz w:val="22"/>
          <w:szCs w:val="22"/>
        </w:rPr>
        <w:t>eerlingen</w:t>
      </w:r>
      <w:proofErr w:type="spellEnd"/>
    </w:p>
    <w:p w:rsidR="006931C3" w:rsidRPr="00DA22D6" w:rsidRDefault="006931C3" w:rsidP="00DA22D6">
      <w:pPr>
        <w:pBdr>
          <w:bottom w:val="single" w:sz="4" w:space="1" w:color="auto"/>
        </w:pBdr>
        <w:jc w:val="both"/>
        <w:rPr>
          <w:sz w:val="22"/>
          <w:szCs w:val="22"/>
        </w:rPr>
      </w:pPr>
    </w:p>
    <w:p w:rsidR="006931C3" w:rsidRPr="00DA22D6" w:rsidRDefault="006931C3" w:rsidP="00DA22D6">
      <w:pPr>
        <w:pStyle w:val="StandaardSV"/>
        <w:rPr>
          <w:szCs w:val="22"/>
        </w:rPr>
      </w:pPr>
    </w:p>
    <w:p w:rsidR="006931C3" w:rsidRPr="00DA22D6" w:rsidRDefault="006931C3" w:rsidP="00DA22D6">
      <w:pPr>
        <w:pStyle w:val="StandaardSV"/>
        <w:rPr>
          <w:szCs w:val="22"/>
        </w:rPr>
      </w:pPr>
    </w:p>
    <w:p w:rsidR="00452D2E" w:rsidRDefault="00452D2E" w:rsidP="007C27FE">
      <w:pPr>
        <w:pStyle w:val="Kop1"/>
        <w:spacing w:before="0" w:after="0" w:line="240" w:lineRule="auto"/>
        <w:ind w:hanging="340"/>
        <w:jc w:val="both"/>
        <w:rPr>
          <w:rFonts w:ascii="Times New Roman" w:hAnsi="Times New Roman" w:cs="Times New Roman"/>
          <w:caps w:val="0"/>
          <w:color w:val="auto"/>
          <w:szCs w:val="22"/>
        </w:rPr>
      </w:pPr>
      <w:r w:rsidRPr="00DA22D6">
        <w:rPr>
          <w:rFonts w:ascii="Times New Roman" w:hAnsi="Times New Roman" w:cs="Times New Roman"/>
          <w:caps w:val="0"/>
          <w:color w:val="auto"/>
          <w:szCs w:val="22"/>
        </w:rPr>
        <w:t>De antwoorden op de vragen hebben enkel betrekking op de middelen en instrumenten die ingezet worden vanuit het Beleidsdomein Landbouw en Visserij van de Vlaamse overheid.</w:t>
      </w:r>
    </w:p>
    <w:p w:rsidR="00DA22D6" w:rsidRPr="00DA22D6" w:rsidRDefault="00DA22D6" w:rsidP="007C27FE">
      <w:pPr>
        <w:jc w:val="both"/>
        <w:rPr>
          <w:lang w:val="nl-BE" w:eastAsia="en-US"/>
        </w:rPr>
      </w:pPr>
    </w:p>
    <w:p w:rsidR="00AE6EC5" w:rsidRDefault="00AE6EC5" w:rsidP="007C27FE">
      <w:pPr>
        <w:pStyle w:val="Kop2"/>
        <w:tabs>
          <w:tab w:val="clear" w:pos="170"/>
        </w:tabs>
        <w:spacing w:before="0" w:after="0" w:line="240" w:lineRule="auto"/>
        <w:ind w:hanging="56"/>
        <w:jc w:val="both"/>
        <w:rPr>
          <w:rFonts w:ascii="Times New Roman" w:hAnsi="Times New Roman" w:cs="Times New Roman"/>
          <w:b w:val="0"/>
          <w:sz w:val="22"/>
          <w:szCs w:val="22"/>
        </w:rPr>
      </w:pPr>
      <w:r w:rsidRPr="00DA22D6">
        <w:rPr>
          <w:rFonts w:ascii="Times New Roman" w:hAnsi="Times New Roman" w:cs="Times New Roman"/>
          <w:b w:val="0"/>
          <w:sz w:val="22"/>
          <w:szCs w:val="22"/>
        </w:rPr>
        <w:t>Het totale bedrag van de onder 1.2 opgesomde projecten is 1.127.586 €.</w:t>
      </w:r>
    </w:p>
    <w:p w:rsidR="00DA22D6" w:rsidRPr="00DA22D6" w:rsidRDefault="00DA22D6" w:rsidP="007C27FE">
      <w:pPr>
        <w:jc w:val="both"/>
        <w:rPr>
          <w:lang w:val="nl-BE" w:eastAsia="en-US"/>
        </w:rPr>
      </w:pPr>
    </w:p>
    <w:p w:rsidR="00AE6EC5" w:rsidRPr="00DA22D6" w:rsidRDefault="00AE6EC5" w:rsidP="007C27FE">
      <w:pPr>
        <w:pStyle w:val="Kop2"/>
        <w:tabs>
          <w:tab w:val="clear" w:pos="170"/>
        </w:tabs>
        <w:spacing w:before="0" w:after="0" w:line="240" w:lineRule="auto"/>
        <w:ind w:hanging="56"/>
        <w:jc w:val="both"/>
        <w:rPr>
          <w:rFonts w:ascii="Times New Roman" w:hAnsi="Times New Roman" w:cs="Times New Roman"/>
          <w:b w:val="0"/>
          <w:sz w:val="22"/>
          <w:szCs w:val="22"/>
        </w:rPr>
      </w:pPr>
    </w:p>
    <w:p w:rsidR="00AE6EC5" w:rsidRPr="00DA22D6" w:rsidRDefault="00AE6EC5" w:rsidP="007C27FE">
      <w:pPr>
        <w:ind w:left="340"/>
        <w:jc w:val="both"/>
        <w:rPr>
          <w:sz w:val="22"/>
          <w:szCs w:val="22"/>
          <w:u w:val="single"/>
        </w:rPr>
      </w:pPr>
      <w:r w:rsidRPr="00DA22D6">
        <w:rPr>
          <w:sz w:val="22"/>
          <w:szCs w:val="22"/>
          <w:u w:val="single"/>
        </w:rPr>
        <w:t>Demoprojecten 2006</w:t>
      </w:r>
    </w:p>
    <w:p w:rsidR="00AE6EC5" w:rsidRPr="00DA22D6" w:rsidRDefault="00AE6EC5" w:rsidP="007C27FE">
      <w:pPr>
        <w:ind w:left="340"/>
        <w:jc w:val="both"/>
        <w:rPr>
          <w:sz w:val="22"/>
          <w:szCs w:val="22"/>
        </w:rPr>
      </w:pPr>
      <w:r w:rsidRPr="00DA22D6">
        <w:rPr>
          <w:sz w:val="22"/>
          <w:szCs w:val="22"/>
        </w:rPr>
        <w:t xml:space="preserve">‘Met hygiënemanagement op het leghennenbedrijf naar een veilige </w:t>
      </w:r>
      <w:proofErr w:type="spellStart"/>
      <w:r w:rsidRPr="00DA22D6">
        <w:rPr>
          <w:sz w:val="22"/>
          <w:szCs w:val="22"/>
        </w:rPr>
        <w:t>eikwaliteit</w:t>
      </w:r>
      <w:proofErr w:type="spellEnd"/>
      <w:r w:rsidRPr="00DA22D6">
        <w:rPr>
          <w:sz w:val="22"/>
          <w:szCs w:val="22"/>
        </w:rPr>
        <w:t xml:space="preserve">’. Dit resulteerde in 2009 </w:t>
      </w:r>
      <w:r w:rsidR="008E74DF" w:rsidRPr="00DA22D6">
        <w:rPr>
          <w:sz w:val="22"/>
          <w:szCs w:val="22"/>
        </w:rPr>
        <w:t xml:space="preserve">o.a. </w:t>
      </w:r>
      <w:r w:rsidRPr="00DA22D6">
        <w:rPr>
          <w:sz w:val="22"/>
          <w:szCs w:val="22"/>
        </w:rPr>
        <w:t>in de brochure 'Hier is hygiëne troef' (75.000 €).</w:t>
      </w:r>
    </w:p>
    <w:p w:rsidR="00AE6EC5" w:rsidRPr="00DA22D6" w:rsidRDefault="00AE6EC5" w:rsidP="007C27FE">
      <w:pPr>
        <w:ind w:left="340"/>
        <w:jc w:val="both"/>
        <w:rPr>
          <w:sz w:val="22"/>
          <w:szCs w:val="22"/>
        </w:rPr>
      </w:pPr>
      <w:r w:rsidRPr="00DA22D6">
        <w:rPr>
          <w:sz w:val="22"/>
          <w:szCs w:val="22"/>
        </w:rPr>
        <w:t xml:space="preserve">‘Hoge externe en interne </w:t>
      </w:r>
      <w:proofErr w:type="spellStart"/>
      <w:r w:rsidRPr="00DA22D6">
        <w:rPr>
          <w:sz w:val="22"/>
          <w:szCs w:val="22"/>
        </w:rPr>
        <w:t>biosecurity</w:t>
      </w:r>
      <w:proofErr w:type="spellEnd"/>
      <w:r w:rsidRPr="00DA22D6">
        <w:rPr>
          <w:sz w:val="22"/>
          <w:szCs w:val="22"/>
        </w:rPr>
        <w:t xml:space="preserve"> op het moderne varkensbedrijf'. Met als gevolg de brochure 'Varkens gezond houden: Handleiding voor </w:t>
      </w:r>
      <w:proofErr w:type="spellStart"/>
      <w:r w:rsidRPr="00DA22D6">
        <w:rPr>
          <w:sz w:val="22"/>
          <w:szCs w:val="22"/>
        </w:rPr>
        <w:t>bioveiligheid</w:t>
      </w:r>
      <w:proofErr w:type="spellEnd"/>
      <w:r w:rsidRPr="00DA22D6">
        <w:rPr>
          <w:sz w:val="22"/>
          <w:szCs w:val="22"/>
        </w:rPr>
        <w:t xml:space="preserve"> op het varkensbedrijf’'. (69.901,65 €).</w:t>
      </w:r>
    </w:p>
    <w:p w:rsidR="00AE6EC5" w:rsidRPr="00DA22D6" w:rsidRDefault="00AE6EC5" w:rsidP="007C27FE">
      <w:pPr>
        <w:ind w:left="340"/>
        <w:jc w:val="both"/>
        <w:rPr>
          <w:sz w:val="22"/>
          <w:szCs w:val="22"/>
        </w:rPr>
      </w:pPr>
      <w:r w:rsidRPr="00DA22D6">
        <w:rPr>
          <w:sz w:val="22"/>
          <w:szCs w:val="22"/>
        </w:rPr>
        <w:t xml:space="preserve">De bevindingen van deze beide projecten werden verspreid via studiemomenten en zijn nog steeds </w:t>
      </w:r>
      <w:r w:rsidR="00C03E8A" w:rsidRPr="00DA22D6">
        <w:rPr>
          <w:sz w:val="22"/>
          <w:szCs w:val="22"/>
        </w:rPr>
        <w:t xml:space="preserve">te </w:t>
      </w:r>
      <w:r w:rsidRPr="00DA22D6">
        <w:rPr>
          <w:sz w:val="22"/>
          <w:szCs w:val="22"/>
        </w:rPr>
        <w:t xml:space="preserve">consulteren op de websites van de uitvoerders (DGZ, </w:t>
      </w:r>
      <w:proofErr w:type="spellStart"/>
      <w:r w:rsidRPr="00DA22D6">
        <w:rPr>
          <w:sz w:val="22"/>
          <w:szCs w:val="22"/>
        </w:rPr>
        <w:t>Ugent</w:t>
      </w:r>
      <w:proofErr w:type="spellEnd"/>
      <w:r w:rsidRPr="00DA22D6">
        <w:rPr>
          <w:sz w:val="22"/>
          <w:szCs w:val="22"/>
        </w:rPr>
        <w:t>) en ook via de site van het varkensloket. Uit deze projecten ontstond ook de applicatie ‘</w:t>
      </w:r>
      <w:proofErr w:type="spellStart"/>
      <w:r w:rsidRPr="00DA22D6">
        <w:rPr>
          <w:sz w:val="22"/>
          <w:szCs w:val="22"/>
        </w:rPr>
        <w:t>Biocheck</w:t>
      </w:r>
      <w:proofErr w:type="spellEnd"/>
      <w:r w:rsidRPr="00DA22D6">
        <w:rPr>
          <w:sz w:val="22"/>
          <w:szCs w:val="22"/>
        </w:rPr>
        <w:t>’ waarmee de pluimvee- of varkenshouder zelf kan nagaan waar zijn bedrijf en management minder goed scoort.</w:t>
      </w:r>
    </w:p>
    <w:p w:rsidR="00DA22D6" w:rsidRPr="00DA22D6" w:rsidRDefault="00DA22D6" w:rsidP="007C27FE">
      <w:pPr>
        <w:ind w:left="340"/>
        <w:jc w:val="both"/>
        <w:rPr>
          <w:sz w:val="22"/>
          <w:szCs w:val="22"/>
        </w:rPr>
      </w:pPr>
    </w:p>
    <w:p w:rsidR="00AE6EC5" w:rsidRPr="00DA22D6" w:rsidRDefault="00AE6EC5" w:rsidP="007C27FE">
      <w:pPr>
        <w:ind w:left="340"/>
        <w:jc w:val="both"/>
        <w:rPr>
          <w:sz w:val="22"/>
          <w:szCs w:val="22"/>
          <w:u w:val="single"/>
        </w:rPr>
      </w:pPr>
      <w:r w:rsidRPr="00DA22D6">
        <w:rPr>
          <w:sz w:val="22"/>
          <w:szCs w:val="22"/>
          <w:u w:val="single"/>
        </w:rPr>
        <w:t>Demoprojecten 2007</w:t>
      </w:r>
    </w:p>
    <w:p w:rsidR="00AE6EC5" w:rsidRPr="00DA22D6" w:rsidRDefault="00AE6EC5" w:rsidP="007C27FE">
      <w:pPr>
        <w:ind w:left="340"/>
        <w:jc w:val="both"/>
        <w:rPr>
          <w:sz w:val="22"/>
          <w:szCs w:val="22"/>
        </w:rPr>
      </w:pPr>
      <w:r w:rsidRPr="00DA22D6">
        <w:rPr>
          <w:sz w:val="22"/>
          <w:szCs w:val="22"/>
        </w:rPr>
        <w:t>‘Vlot op weg met de sectorgids in de dierlijke productie’ (69.975,84 €).</w:t>
      </w:r>
    </w:p>
    <w:p w:rsidR="00AE6EC5" w:rsidRPr="00DA22D6" w:rsidRDefault="00AE6EC5" w:rsidP="007C27FE">
      <w:pPr>
        <w:ind w:left="340"/>
        <w:jc w:val="both"/>
        <w:rPr>
          <w:sz w:val="22"/>
          <w:szCs w:val="22"/>
        </w:rPr>
      </w:pPr>
      <w:r w:rsidRPr="00DA22D6">
        <w:rPr>
          <w:sz w:val="22"/>
          <w:szCs w:val="22"/>
        </w:rPr>
        <w:t>‘Gezond drinkwater voor rundvee en varkens : van bron tot dier’ (68.963,47 €).</w:t>
      </w:r>
    </w:p>
    <w:p w:rsidR="00DA22D6" w:rsidRPr="00DA22D6" w:rsidRDefault="00DA22D6" w:rsidP="007C27FE">
      <w:pPr>
        <w:ind w:left="340"/>
        <w:jc w:val="both"/>
        <w:rPr>
          <w:sz w:val="22"/>
          <w:szCs w:val="22"/>
        </w:rPr>
      </w:pPr>
    </w:p>
    <w:p w:rsidR="00AE6EC5" w:rsidRPr="00DA22D6" w:rsidRDefault="00AE6EC5" w:rsidP="007C27FE">
      <w:pPr>
        <w:ind w:left="340"/>
        <w:jc w:val="both"/>
        <w:rPr>
          <w:sz w:val="22"/>
          <w:szCs w:val="22"/>
          <w:u w:val="single"/>
        </w:rPr>
      </w:pPr>
      <w:r w:rsidRPr="00DA22D6">
        <w:rPr>
          <w:sz w:val="22"/>
          <w:szCs w:val="22"/>
          <w:u w:val="single"/>
        </w:rPr>
        <w:t>Demoprojecten 2008</w:t>
      </w:r>
    </w:p>
    <w:p w:rsidR="00AE6EC5" w:rsidRPr="00DA22D6" w:rsidRDefault="00AE6EC5" w:rsidP="007C27FE">
      <w:pPr>
        <w:ind w:left="340"/>
        <w:jc w:val="both"/>
        <w:rPr>
          <w:sz w:val="22"/>
          <w:szCs w:val="22"/>
        </w:rPr>
      </w:pPr>
      <w:r w:rsidRPr="00DA22D6">
        <w:rPr>
          <w:sz w:val="22"/>
          <w:szCs w:val="22"/>
        </w:rPr>
        <w:t>‘Verbeteren van de uiergezondheid in Vlaanderen door communicatie, opleiding en begeleiding’ (75000 €).</w:t>
      </w:r>
    </w:p>
    <w:p w:rsidR="00AE6EC5" w:rsidRPr="00DA22D6" w:rsidRDefault="00AE6EC5" w:rsidP="007C27FE">
      <w:pPr>
        <w:ind w:left="340"/>
        <w:jc w:val="both"/>
        <w:rPr>
          <w:sz w:val="22"/>
          <w:szCs w:val="22"/>
        </w:rPr>
      </w:pPr>
    </w:p>
    <w:p w:rsidR="00AE6EC5" w:rsidRPr="00DA22D6" w:rsidRDefault="00AE6EC5" w:rsidP="007C27FE">
      <w:pPr>
        <w:ind w:left="340"/>
        <w:jc w:val="both"/>
        <w:rPr>
          <w:sz w:val="22"/>
          <w:szCs w:val="22"/>
          <w:u w:val="single"/>
        </w:rPr>
      </w:pPr>
      <w:r w:rsidRPr="00DA22D6">
        <w:rPr>
          <w:sz w:val="22"/>
          <w:szCs w:val="22"/>
          <w:u w:val="single"/>
        </w:rPr>
        <w:t>Demoprojecten 2012</w:t>
      </w:r>
    </w:p>
    <w:p w:rsidR="00AE6EC5" w:rsidRPr="00DA22D6" w:rsidRDefault="00AE6EC5" w:rsidP="007C27FE">
      <w:pPr>
        <w:ind w:left="340"/>
        <w:jc w:val="both"/>
        <w:rPr>
          <w:sz w:val="22"/>
          <w:szCs w:val="22"/>
        </w:rPr>
      </w:pPr>
      <w:r w:rsidRPr="00DA22D6">
        <w:rPr>
          <w:sz w:val="22"/>
          <w:szCs w:val="22"/>
        </w:rPr>
        <w:t>Antibioticagebruik is ook één van de thema’s bij de oproep 2012. Twee projecten zijn intussen goedgekeurd:</w:t>
      </w:r>
    </w:p>
    <w:p w:rsidR="00AE6EC5" w:rsidRPr="00DA22D6" w:rsidRDefault="00AE6EC5" w:rsidP="007C27FE">
      <w:pPr>
        <w:ind w:left="340"/>
        <w:jc w:val="both"/>
        <w:rPr>
          <w:sz w:val="22"/>
          <w:szCs w:val="22"/>
        </w:rPr>
      </w:pPr>
      <w:r w:rsidRPr="00DA22D6">
        <w:rPr>
          <w:sz w:val="22"/>
          <w:szCs w:val="22"/>
        </w:rPr>
        <w:t>‘Verantwoord gebruik van antibiotica in de intensieve veehouderij’ (100.000 €).</w:t>
      </w:r>
    </w:p>
    <w:p w:rsidR="00AE6EC5" w:rsidRPr="00DA22D6" w:rsidRDefault="00AE6EC5" w:rsidP="007C27FE">
      <w:pPr>
        <w:ind w:left="340"/>
        <w:jc w:val="both"/>
        <w:rPr>
          <w:sz w:val="22"/>
          <w:szCs w:val="22"/>
        </w:rPr>
      </w:pPr>
      <w:r w:rsidRPr="00DA22D6">
        <w:rPr>
          <w:sz w:val="22"/>
          <w:szCs w:val="22"/>
        </w:rPr>
        <w:t>‘Verantwoord gebruik van antibiotica in de melkveehouderij’ (75.000 €).</w:t>
      </w:r>
    </w:p>
    <w:p w:rsidR="00DA22D6" w:rsidRPr="00DA22D6" w:rsidRDefault="00DA22D6" w:rsidP="007C27FE">
      <w:pPr>
        <w:ind w:left="340"/>
        <w:jc w:val="both"/>
        <w:rPr>
          <w:sz w:val="22"/>
          <w:szCs w:val="22"/>
        </w:rPr>
      </w:pPr>
    </w:p>
    <w:p w:rsidR="00AE6EC5" w:rsidRPr="00DA22D6" w:rsidRDefault="00AE6EC5" w:rsidP="007C27FE">
      <w:pPr>
        <w:ind w:left="340"/>
        <w:jc w:val="both"/>
        <w:rPr>
          <w:sz w:val="22"/>
          <w:szCs w:val="22"/>
          <w:u w:val="single"/>
        </w:rPr>
      </w:pPr>
      <w:r w:rsidRPr="00DA22D6">
        <w:rPr>
          <w:sz w:val="22"/>
          <w:szCs w:val="22"/>
          <w:u w:val="single"/>
        </w:rPr>
        <w:t>IWT-project 2008</w:t>
      </w:r>
    </w:p>
    <w:p w:rsidR="00AE6EC5" w:rsidRPr="00DA22D6" w:rsidRDefault="00AE6EC5" w:rsidP="007C27FE">
      <w:pPr>
        <w:ind w:left="340"/>
        <w:jc w:val="both"/>
        <w:rPr>
          <w:sz w:val="22"/>
          <w:szCs w:val="22"/>
        </w:rPr>
      </w:pPr>
      <w:r w:rsidRPr="00DA22D6">
        <w:rPr>
          <w:sz w:val="22"/>
          <w:szCs w:val="22"/>
        </w:rPr>
        <w:t>Studie van de contaminatiepatronen en kiem- gastheer interactie van MRSA bij varkens en andere nutsdieren (593.745 €).</w:t>
      </w:r>
    </w:p>
    <w:p w:rsidR="00AE6EC5" w:rsidRPr="00DA22D6" w:rsidRDefault="00AE6EC5" w:rsidP="007C27FE">
      <w:pPr>
        <w:jc w:val="both"/>
        <w:rPr>
          <w:sz w:val="22"/>
          <w:szCs w:val="22"/>
        </w:rPr>
      </w:pPr>
    </w:p>
    <w:p w:rsidR="00AE6EC5" w:rsidRPr="00DA22D6" w:rsidRDefault="00AE6EC5" w:rsidP="007C27FE">
      <w:pPr>
        <w:pStyle w:val="Kop1"/>
        <w:spacing w:before="0" w:after="0" w:line="240" w:lineRule="auto"/>
        <w:ind w:hanging="340"/>
        <w:jc w:val="both"/>
        <w:rPr>
          <w:rFonts w:ascii="Times New Roman" w:eastAsia="Times New Roman" w:hAnsi="Times New Roman" w:cs="Times New Roman"/>
          <w:bCs w:val="0"/>
          <w:caps w:val="0"/>
          <w:color w:val="auto"/>
          <w:szCs w:val="22"/>
          <w:lang w:val="nl-NL" w:eastAsia="nl-NL"/>
        </w:rPr>
      </w:pPr>
      <w:r w:rsidRPr="00DA22D6">
        <w:rPr>
          <w:rFonts w:ascii="Times New Roman" w:eastAsia="Times New Roman" w:hAnsi="Times New Roman" w:cs="Times New Roman"/>
          <w:bCs w:val="0"/>
          <w:caps w:val="0"/>
          <w:color w:val="auto"/>
          <w:szCs w:val="22"/>
          <w:lang w:val="nl-NL" w:eastAsia="nl-NL"/>
        </w:rPr>
        <w:lastRenderedPageBreak/>
        <w:t xml:space="preserve">Bij het uitvoeren van investeringen in de veehouderij kan de veehouder naast economische doelstellingen ook doelstellingen nastreven op het vlak van leefmilieu, hygiëne of dierenwelzijn. Bij hedendaagse veestallen is er steeds meer aandacht voor aspecten inzake leefmilieu (reductie ammoniakemissie, stof- en geur), hygiëne of dierenwelzijn (groepshuisvesting, </w:t>
      </w:r>
      <w:proofErr w:type="spellStart"/>
      <w:r w:rsidRPr="00DA22D6">
        <w:rPr>
          <w:rFonts w:ascii="Times New Roman" w:eastAsia="Times New Roman" w:hAnsi="Times New Roman" w:cs="Times New Roman"/>
          <w:bCs w:val="0"/>
          <w:caps w:val="0"/>
          <w:color w:val="auto"/>
          <w:szCs w:val="22"/>
          <w:lang w:val="nl-NL" w:eastAsia="nl-NL"/>
        </w:rPr>
        <w:t>volière</w:t>
      </w:r>
      <w:r w:rsidR="007C27FE">
        <w:rPr>
          <w:rFonts w:ascii="Times New Roman" w:eastAsia="Times New Roman" w:hAnsi="Times New Roman" w:cs="Times New Roman"/>
          <w:bCs w:val="0"/>
          <w:caps w:val="0"/>
          <w:color w:val="auto"/>
          <w:szCs w:val="22"/>
          <w:lang w:val="nl-NL" w:eastAsia="nl-NL"/>
        </w:rPr>
        <w:softHyphen/>
      </w:r>
      <w:r w:rsidRPr="00DA22D6">
        <w:rPr>
          <w:rFonts w:ascii="Times New Roman" w:eastAsia="Times New Roman" w:hAnsi="Times New Roman" w:cs="Times New Roman"/>
          <w:bCs w:val="0"/>
          <w:caps w:val="0"/>
          <w:color w:val="auto"/>
          <w:szCs w:val="22"/>
          <w:lang w:val="nl-NL" w:eastAsia="nl-NL"/>
        </w:rPr>
        <w:t>huisvesting</w:t>
      </w:r>
      <w:proofErr w:type="spellEnd"/>
      <w:r w:rsidRPr="00DA22D6">
        <w:rPr>
          <w:rFonts w:ascii="Times New Roman" w:eastAsia="Times New Roman" w:hAnsi="Times New Roman" w:cs="Times New Roman"/>
          <w:bCs w:val="0"/>
          <w:caps w:val="0"/>
          <w:color w:val="auto"/>
          <w:szCs w:val="22"/>
          <w:lang w:val="nl-NL" w:eastAsia="nl-NL"/>
        </w:rPr>
        <w:t>). Bij de behandeling van aanvragen om VLIF-steun worden die investeringen evenwel niet gerangschikt onder de noemer “investering gericht op de verbetering van de hygiëne” hoewel een deel van de steun zou kunnen gekoppeld worden aan die doelstelling. De uitvoering van de investeringen zal de veehouder immers mogelijkheden bieden om hygiënischer te werken, te zorgen voor een beter stalklimaat en diergezondheidsproblemen te reduceren.</w:t>
      </w:r>
      <w:r w:rsidR="00452D2E" w:rsidRPr="00DA22D6">
        <w:rPr>
          <w:rFonts w:ascii="Times New Roman" w:eastAsia="Times New Roman" w:hAnsi="Times New Roman" w:cs="Times New Roman"/>
          <w:bCs w:val="0"/>
          <w:caps w:val="0"/>
          <w:color w:val="auto"/>
          <w:szCs w:val="22"/>
          <w:lang w:val="nl-NL" w:eastAsia="nl-NL"/>
        </w:rPr>
        <w:t xml:space="preserve"> Dit moet automatisch leiden tot een lager antibioticagebruik.</w:t>
      </w:r>
    </w:p>
    <w:p w:rsidR="00963076" w:rsidRPr="00DA22D6" w:rsidRDefault="00963076" w:rsidP="007C27FE">
      <w:pPr>
        <w:ind w:left="340"/>
        <w:jc w:val="both"/>
        <w:rPr>
          <w:sz w:val="22"/>
          <w:szCs w:val="22"/>
        </w:rPr>
      </w:pPr>
    </w:p>
    <w:p w:rsidR="00AE6EC5" w:rsidRPr="00DA22D6" w:rsidRDefault="00AE6EC5" w:rsidP="007C27FE">
      <w:pPr>
        <w:ind w:left="340"/>
        <w:jc w:val="both"/>
        <w:rPr>
          <w:sz w:val="22"/>
          <w:szCs w:val="22"/>
        </w:rPr>
      </w:pPr>
      <w:r w:rsidRPr="00DA22D6">
        <w:rPr>
          <w:sz w:val="22"/>
          <w:szCs w:val="22"/>
        </w:rPr>
        <w:t>Het VLIF hanteert één investeringscode die staat voor enkele investeringen die uitsluitend tot doel hebben de hygiëne op het bedrijf te verbeteren vnl. in de varkenshouderij. Het betreft de bouw van een sanitair sas, een sanitaire laad- en losplaats, een reinigingsinstallatie. Het aantal dossiers, de investeringsbedragen en de steun zijn beperkt zoals blijkt uit onderstaand overzicht (tabel 1). De cijfers laten evenwel niet toe conclusies te trekken m.b.t. de VLIF-steun voor de verbetering van de hygiëne op de bedrijven.</w:t>
      </w:r>
    </w:p>
    <w:p w:rsidR="00AE6EC5" w:rsidRPr="00DA22D6" w:rsidRDefault="00AE6EC5" w:rsidP="007C27FE">
      <w:pPr>
        <w:pStyle w:val="StandaardSV"/>
        <w:ind w:left="340"/>
        <w:rPr>
          <w:szCs w:val="22"/>
        </w:rPr>
      </w:pPr>
    </w:p>
    <w:p w:rsidR="00AE6EC5" w:rsidRPr="00DA22D6" w:rsidRDefault="00AE6EC5" w:rsidP="007C27FE">
      <w:pPr>
        <w:pStyle w:val="StandaardSV"/>
        <w:ind w:left="340"/>
        <w:rPr>
          <w:rFonts w:eastAsiaTheme="minorHAnsi"/>
          <w:szCs w:val="22"/>
          <w:lang w:val="nl-BE" w:eastAsia="en-US"/>
        </w:rPr>
      </w:pPr>
      <w:r w:rsidRPr="00DA22D6">
        <w:rPr>
          <w:rFonts w:eastAsiaTheme="minorHAnsi"/>
          <w:szCs w:val="22"/>
          <w:u w:val="single"/>
          <w:lang w:val="nl-BE" w:eastAsia="en-US"/>
        </w:rPr>
        <w:t>Tabel 1.</w:t>
      </w:r>
      <w:r w:rsidRPr="00DA22D6">
        <w:rPr>
          <w:rFonts w:eastAsiaTheme="minorHAnsi"/>
          <w:szCs w:val="22"/>
          <w:lang w:val="nl-BE" w:eastAsia="en-US"/>
        </w:rPr>
        <w:t xml:space="preserve"> Overzicht per jaar van het aantal dossiers, investeringsbedrag en steunbedrag van investeringen i.v.m. bedrijfshygiëne</w:t>
      </w:r>
    </w:p>
    <w:p w:rsidR="00AE6EC5" w:rsidRPr="00DA22D6" w:rsidRDefault="00AE6EC5" w:rsidP="00DA22D6">
      <w:pPr>
        <w:pStyle w:val="StandaardSV"/>
        <w:ind w:left="340"/>
        <w:rPr>
          <w:rFonts w:eastAsiaTheme="minorHAnsi"/>
          <w:szCs w:val="22"/>
          <w:lang w:val="nl-BE" w:eastAsia="en-US"/>
        </w:rPr>
      </w:pPr>
    </w:p>
    <w:tbl>
      <w:tblPr>
        <w:tblStyle w:val="LV-tabel"/>
        <w:tblW w:w="9288" w:type="dxa"/>
        <w:tblInd w:w="708" w:type="dxa"/>
        <w:tblLook w:val="04A0" w:firstRow="1" w:lastRow="0" w:firstColumn="1" w:lastColumn="0" w:noHBand="0" w:noVBand="1"/>
      </w:tblPr>
      <w:tblGrid>
        <w:gridCol w:w="1890"/>
        <w:gridCol w:w="1434"/>
        <w:gridCol w:w="1497"/>
        <w:gridCol w:w="1485"/>
        <w:gridCol w:w="1497"/>
        <w:gridCol w:w="1485"/>
      </w:tblGrid>
      <w:tr w:rsidR="00DA22D6" w:rsidRPr="00DA22D6" w:rsidTr="00012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AE6EC5" w:rsidRPr="00DA22D6" w:rsidRDefault="00AE6EC5" w:rsidP="00DA22D6">
            <w:pPr>
              <w:pStyle w:val="StandaardSV"/>
              <w:rPr>
                <w:rFonts w:eastAsiaTheme="minorHAnsi"/>
                <w:b w:val="0"/>
                <w:color w:val="auto"/>
                <w:szCs w:val="22"/>
                <w:lang w:val="nl-BE" w:eastAsia="en-US"/>
              </w:rPr>
            </w:pPr>
          </w:p>
        </w:tc>
        <w:tc>
          <w:tcPr>
            <w:tcW w:w="1434" w:type="dxa"/>
            <w:hideMark/>
          </w:tcPr>
          <w:p w:rsidR="00AE6EC5" w:rsidRPr="00DA22D6" w:rsidRDefault="00AE6EC5" w:rsidP="00DA22D6">
            <w:pPr>
              <w:pStyle w:val="StandaardSV"/>
              <w:cnfStyle w:val="100000000000" w:firstRow="1" w:lastRow="0" w:firstColumn="0" w:lastColumn="0" w:oddVBand="0" w:evenVBand="0" w:oddHBand="0" w:evenHBand="0" w:firstRowFirstColumn="0" w:firstRowLastColumn="0" w:lastRowFirstColumn="0" w:lastRowLastColumn="0"/>
              <w:rPr>
                <w:rFonts w:eastAsiaTheme="minorHAnsi"/>
                <w:b w:val="0"/>
                <w:color w:val="auto"/>
                <w:szCs w:val="22"/>
                <w:lang w:val="nl-BE" w:eastAsia="en-US"/>
              </w:rPr>
            </w:pPr>
            <w:r w:rsidRPr="00DA22D6">
              <w:rPr>
                <w:rFonts w:eastAsiaTheme="minorHAnsi"/>
                <w:b w:val="0"/>
                <w:color w:val="auto"/>
                <w:szCs w:val="22"/>
                <w:lang w:val="nl-BE" w:eastAsia="en-US"/>
              </w:rPr>
              <w:t>2007</w:t>
            </w:r>
          </w:p>
        </w:tc>
        <w:tc>
          <w:tcPr>
            <w:tcW w:w="1497" w:type="dxa"/>
            <w:hideMark/>
          </w:tcPr>
          <w:p w:rsidR="00AE6EC5" w:rsidRPr="00DA22D6" w:rsidRDefault="00AE6EC5" w:rsidP="00DA22D6">
            <w:pPr>
              <w:pStyle w:val="StandaardSV"/>
              <w:cnfStyle w:val="100000000000" w:firstRow="1" w:lastRow="0" w:firstColumn="0" w:lastColumn="0" w:oddVBand="0" w:evenVBand="0" w:oddHBand="0" w:evenHBand="0" w:firstRowFirstColumn="0" w:firstRowLastColumn="0" w:lastRowFirstColumn="0" w:lastRowLastColumn="0"/>
              <w:rPr>
                <w:rFonts w:eastAsiaTheme="minorHAnsi"/>
                <w:b w:val="0"/>
                <w:color w:val="auto"/>
                <w:szCs w:val="22"/>
                <w:lang w:val="nl-BE" w:eastAsia="en-US"/>
              </w:rPr>
            </w:pPr>
            <w:r w:rsidRPr="00DA22D6">
              <w:rPr>
                <w:rFonts w:eastAsiaTheme="minorHAnsi"/>
                <w:b w:val="0"/>
                <w:color w:val="auto"/>
                <w:szCs w:val="22"/>
                <w:lang w:val="nl-BE" w:eastAsia="en-US"/>
              </w:rPr>
              <w:t>2008</w:t>
            </w:r>
          </w:p>
        </w:tc>
        <w:tc>
          <w:tcPr>
            <w:tcW w:w="1485" w:type="dxa"/>
            <w:hideMark/>
          </w:tcPr>
          <w:p w:rsidR="00AE6EC5" w:rsidRPr="00DA22D6" w:rsidRDefault="00AE6EC5" w:rsidP="00DA22D6">
            <w:pPr>
              <w:pStyle w:val="StandaardSV"/>
              <w:cnfStyle w:val="100000000000" w:firstRow="1" w:lastRow="0" w:firstColumn="0" w:lastColumn="0" w:oddVBand="0" w:evenVBand="0" w:oddHBand="0" w:evenHBand="0" w:firstRowFirstColumn="0" w:firstRowLastColumn="0" w:lastRowFirstColumn="0" w:lastRowLastColumn="0"/>
              <w:rPr>
                <w:rFonts w:eastAsiaTheme="minorHAnsi"/>
                <w:b w:val="0"/>
                <w:color w:val="auto"/>
                <w:szCs w:val="22"/>
                <w:lang w:val="nl-BE" w:eastAsia="en-US"/>
              </w:rPr>
            </w:pPr>
            <w:r w:rsidRPr="00DA22D6">
              <w:rPr>
                <w:rFonts w:eastAsiaTheme="minorHAnsi"/>
                <w:b w:val="0"/>
                <w:color w:val="auto"/>
                <w:szCs w:val="22"/>
                <w:lang w:val="nl-BE" w:eastAsia="en-US"/>
              </w:rPr>
              <w:t>2009</w:t>
            </w:r>
          </w:p>
        </w:tc>
        <w:tc>
          <w:tcPr>
            <w:tcW w:w="1497" w:type="dxa"/>
            <w:hideMark/>
          </w:tcPr>
          <w:p w:rsidR="00AE6EC5" w:rsidRPr="00DA22D6" w:rsidRDefault="00AE6EC5" w:rsidP="00DA22D6">
            <w:pPr>
              <w:pStyle w:val="StandaardSV"/>
              <w:cnfStyle w:val="100000000000" w:firstRow="1" w:lastRow="0" w:firstColumn="0" w:lastColumn="0" w:oddVBand="0" w:evenVBand="0" w:oddHBand="0" w:evenHBand="0" w:firstRowFirstColumn="0" w:firstRowLastColumn="0" w:lastRowFirstColumn="0" w:lastRowLastColumn="0"/>
              <w:rPr>
                <w:rFonts w:eastAsiaTheme="minorHAnsi"/>
                <w:b w:val="0"/>
                <w:color w:val="auto"/>
                <w:szCs w:val="22"/>
                <w:lang w:val="nl-BE" w:eastAsia="en-US"/>
              </w:rPr>
            </w:pPr>
            <w:r w:rsidRPr="00DA22D6">
              <w:rPr>
                <w:rFonts w:eastAsiaTheme="minorHAnsi"/>
                <w:b w:val="0"/>
                <w:color w:val="auto"/>
                <w:szCs w:val="22"/>
                <w:lang w:val="nl-BE" w:eastAsia="en-US"/>
              </w:rPr>
              <w:t>2010</w:t>
            </w:r>
          </w:p>
        </w:tc>
        <w:tc>
          <w:tcPr>
            <w:tcW w:w="1485" w:type="dxa"/>
            <w:hideMark/>
          </w:tcPr>
          <w:p w:rsidR="00AE6EC5" w:rsidRPr="00DA22D6" w:rsidRDefault="00AE6EC5" w:rsidP="00DA22D6">
            <w:pPr>
              <w:pStyle w:val="StandaardSV"/>
              <w:cnfStyle w:val="100000000000" w:firstRow="1" w:lastRow="0" w:firstColumn="0" w:lastColumn="0" w:oddVBand="0" w:evenVBand="0" w:oddHBand="0" w:evenHBand="0" w:firstRowFirstColumn="0" w:firstRowLastColumn="0" w:lastRowFirstColumn="0" w:lastRowLastColumn="0"/>
              <w:rPr>
                <w:rFonts w:eastAsiaTheme="minorHAnsi"/>
                <w:b w:val="0"/>
                <w:color w:val="auto"/>
                <w:szCs w:val="22"/>
                <w:lang w:val="nl-BE" w:eastAsia="en-US"/>
              </w:rPr>
            </w:pPr>
            <w:r w:rsidRPr="00DA22D6">
              <w:rPr>
                <w:rFonts w:eastAsiaTheme="minorHAnsi"/>
                <w:b w:val="0"/>
                <w:color w:val="auto"/>
                <w:szCs w:val="22"/>
                <w:lang w:val="nl-BE" w:eastAsia="en-US"/>
              </w:rPr>
              <w:t>2011</w:t>
            </w:r>
          </w:p>
        </w:tc>
      </w:tr>
      <w:tr w:rsidR="00DA22D6" w:rsidRPr="00DA22D6" w:rsidTr="0001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nil"/>
              <w:bottom w:val="single" w:sz="4" w:space="0" w:color="auto"/>
              <w:right w:val="single" w:sz="4" w:space="0" w:color="auto"/>
            </w:tcBorders>
            <w:hideMark/>
          </w:tcPr>
          <w:p w:rsidR="00AE6EC5" w:rsidRPr="00DA22D6" w:rsidRDefault="00AE6EC5" w:rsidP="00DA22D6">
            <w:pPr>
              <w:pStyle w:val="StandaardSV"/>
              <w:rPr>
                <w:rFonts w:eastAsiaTheme="minorHAnsi"/>
                <w:color w:val="auto"/>
                <w:szCs w:val="22"/>
                <w:lang w:val="nl-BE" w:eastAsia="en-US"/>
              </w:rPr>
            </w:pPr>
            <w:r w:rsidRPr="00DA22D6">
              <w:rPr>
                <w:rFonts w:eastAsiaTheme="minorHAnsi"/>
                <w:color w:val="auto"/>
                <w:szCs w:val="22"/>
                <w:lang w:val="nl-BE" w:eastAsia="en-US"/>
              </w:rPr>
              <w:t>Dossiers</w:t>
            </w:r>
          </w:p>
        </w:tc>
        <w:tc>
          <w:tcPr>
            <w:tcW w:w="1434"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0</w:t>
            </w:r>
          </w:p>
        </w:tc>
        <w:tc>
          <w:tcPr>
            <w:tcW w:w="1497"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5</w:t>
            </w:r>
          </w:p>
        </w:tc>
        <w:tc>
          <w:tcPr>
            <w:tcW w:w="148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2</w:t>
            </w:r>
          </w:p>
        </w:tc>
        <w:tc>
          <w:tcPr>
            <w:tcW w:w="1497"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2</w:t>
            </w:r>
          </w:p>
        </w:tc>
        <w:tc>
          <w:tcPr>
            <w:tcW w:w="1485" w:type="dxa"/>
            <w:tcBorders>
              <w:top w:val="single" w:sz="4" w:space="0" w:color="auto"/>
              <w:left w:val="single" w:sz="4" w:space="0" w:color="auto"/>
              <w:bottom w:val="single" w:sz="4" w:space="0" w:color="auto"/>
              <w:right w:val="nil"/>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1</w:t>
            </w:r>
          </w:p>
        </w:tc>
      </w:tr>
      <w:tr w:rsidR="00DA22D6" w:rsidRPr="00DA22D6" w:rsidTr="00012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nil"/>
              <w:bottom w:val="single" w:sz="4" w:space="0" w:color="auto"/>
              <w:right w:val="single" w:sz="4" w:space="0" w:color="auto"/>
            </w:tcBorders>
            <w:hideMark/>
          </w:tcPr>
          <w:p w:rsidR="00AE6EC5" w:rsidRPr="00DA22D6" w:rsidRDefault="00AE6EC5" w:rsidP="00DA22D6">
            <w:pPr>
              <w:pStyle w:val="StandaardSV"/>
              <w:rPr>
                <w:rFonts w:eastAsiaTheme="minorHAnsi"/>
                <w:color w:val="auto"/>
                <w:szCs w:val="22"/>
                <w:lang w:val="nl-BE" w:eastAsia="en-US"/>
              </w:rPr>
            </w:pPr>
            <w:r w:rsidRPr="00DA22D6">
              <w:rPr>
                <w:rFonts w:eastAsiaTheme="minorHAnsi"/>
                <w:color w:val="auto"/>
                <w:szCs w:val="22"/>
                <w:lang w:val="nl-BE" w:eastAsia="en-US"/>
              </w:rPr>
              <w:t>Investeringsbedrag (euro)</w:t>
            </w:r>
          </w:p>
        </w:tc>
        <w:tc>
          <w:tcPr>
            <w:tcW w:w="1434"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010000" w:firstRow="0" w:lastRow="0" w:firstColumn="0" w:lastColumn="0" w:oddVBand="0" w:evenVBand="0" w:oddHBand="0" w:evenHBand="1"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0</w:t>
            </w:r>
          </w:p>
        </w:tc>
        <w:tc>
          <w:tcPr>
            <w:tcW w:w="1497"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010000" w:firstRow="0" w:lastRow="0" w:firstColumn="0" w:lastColumn="0" w:oddVBand="0" w:evenVBand="0" w:oddHBand="0" w:evenHBand="1"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157.825,75</w:t>
            </w:r>
          </w:p>
        </w:tc>
        <w:tc>
          <w:tcPr>
            <w:tcW w:w="148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010000" w:firstRow="0" w:lastRow="0" w:firstColumn="0" w:lastColumn="0" w:oddVBand="0" w:evenVBand="0" w:oddHBand="0" w:evenHBand="1"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30.600,00</w:t>
            </w:r>
          </w:p>
        </w:tc>
        <w:tc>
          <w:tcPr>
            <w:tcW w:w="1497"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pStyle w:val="StandaardSV"/>
              <w:cnfStyle w:val="000000010000" w:firstRow="0" w:lastRow="0" w:firstColumn="0" w:lastColumn="0" w:oddVBand="0" w:evenVBand="0" w:oddHBand="0" w:evenHBand="1"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14.245,163</w:t>
            </w:r>
          </w:p>
        </w:tc>
        <w:tc>
          <w:tcPr>
            <w:tcW w:w="1485" w:type="dxa"/>
            <w:tcBorders>
              <w:top w:val="single" w:sz="4" w:space="0" w:color="auto"/>
              <w:left w:val="single" w:sz="4" w:space="0" w:color="auto"/>
              <w:bottom w:val="single" w:sz="4" w:space="0" w:color="auto"/>
              <w:right w:val="nil"/>
            </w:tcBorders>
            <w:hideMark/>
          </w:tcPr>
          <w:p w:rsidR="00AE6EC5" w:rsidRPr="00DA22D6" w:rsidRDefault="00AE6EC5" w:rsidP="00DA22D6">
            <w:pPr>
              <w:pStyle w:val="StandaardSV"/>
              <w:cnfStyle w:val="000000010000" w:firstRow="0" w:lastRow="0" w:firstColumn="0" w:lastColumn="0" w:oddVBand="0" w:evenVBand="0" w:oddHBand="0" w:evenHBand="1"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27.915,22</w:t>
            </w:r>
          </w:p>
        </w:tc>
      </w:tr>
      <w:tr w:rsidR="00DA22D6" w:rsidRPr="00DA22D6" w:rsidTr="0001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nil"/>
              <w:bottom w:val="nil"/>
              <w:right w:val="single" w:sz="4" w:space="0" w:color="auto"/>
            </w:tcBorders>
            <w:hideMark/>
          </w:tcPr>
          <w:p w:rsidR="00AE6EC5" w:rsidRPr="00DA22D6" w:rsidRDefault="00AE6EC5" w:rsidP="00DA22D6">
            <w:pPr>
              <w:pStyle w:val="StandaardSV"/>
              <w:rPr>
                <w:rFonts w:eastAsiaTheme="minorHAnsi"/>
                <w:color w:val="auto"/>
                <w:szCs w:val="22"/>
                <w:lang w:val="nl-BE" w:eastAsia="en-US"/>
              </w:rPr>
            </w:pPr>
            <w:r w:rsidRPr="00DA22D6">
              <w:rPr>
                <w:rFonts w:eastAsiaTheme="minorHAnsi"/>
                <w:color w:val="auto"/>
                <w:szCs w:val="22"/>
                <w:lang w:val="nl-BE" w:eastAsia="en-US"/>
              </w:rPr>
              <w:t>Steun (euro)</w:t>
            </w:r>
          </w:p>
        </w:tc>
        <w:tc>
          <w:tcPr>
            <w:tcW w:w="1434" w:type="dxa"/>
            <w:tcBorders>
              <w:top w:val="single" w:sz="4" w:space="0" w:color="auto"/>
              <w:left w:val="single" w:sz="4" w:space="0" w:color="auto"/>
              <w:bottom w:val="nil"/>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0</w:t>
            </w:r>
          </w:p>
        </w:tc>
        <w:tc>
          <w:tcPr>
            <w:tcW w:w="1497" w:type="dxa"/>
            <w:tcBorders>
              <w:top w:val="single" w:sz="4" w:space="0" w:color="auto"/>
              <w:left w:val="single" w:sz="4" w:space="0" w:color="auto"/>
              <w:bottom w:val="nil"/>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31.656,15</w:t>
            </w:r>
          </w:p>
        </w:tc>
        <w:tc>
          <w:tcPr>
            <w:tcW w:w="1485" w:type="dxa"/>
            <w:tcBorders>
              <w:top w:val="single" w:sz="4" w:space="0" w:color="auto"/>
              <w:left w:val="single" w:sz="4" w:space="0" w:color="auto"/>
              <w:bottom w:val="nil"/>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6.120,00</w:t>
            </w:r>
          </w:p>
        </w:tc>
        <w:tc>
          <w:tcPr>
            <w:tcW w:w="1497" w:type="dxa"/>
            <w:tcBorders>
              <w:top w:val="single" w:sz="4" w:space="0" w:color="auto"/>
              <w:left w:val="single" w:sz="4" w:space="0" w:color="auto"/>
              <w:bottom w:val="nil"/>
              <w:right w:val="single" w:sz="4" w:space="0" w:color="auto"/>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2.849,03</w:t>
            </w:r>
          </w:p>
        </w:tc>
        <w:tc>
          <w:tcPr>
            <w:tcW w:w="1485" w:type="dxa"/>
            <w:tcBorders>
              <w:top w:val="single" w:sz="4" w:space="0" w:color="auto"/>
              <w:left w:val="single" w:sz="4" w:space="0" w:color="auto"/>
              <w:bottom w:val="nil"/>
              <w:right w:val="nil"/>
            </w:tcBorders>
            <w:hideMark/>
          </w:tcPr>
          <w:p w:rsidR="00AE6EC5" w:rsidRPr="00DA22D6" w:rsidRDefault="00AE6EC5" w:rsidP="00DA22D6">
            <w:pPr>
              <w:pStyle w:val="StandaardSV"/>
              <w:cnfStyle w:val="000000100000" w:firstRow="0" w:lastRow="0" w:firstColumn="0" w:lastColumn="0" w:oddVBand="0" w:evenVBand="0" w:oddHBand="1" w:evenHBand="0" w:firstRowFirstColumn="0" w:firstRowLastColumn="0" w:lastRowFirstColumn="0" w:lastRowLastColumn="0"/>
              <w:rPr>
                <w:rFonts w:eastAsiaTheme="minorHAnsi"/>
                <w:color w:val="auto"/>
                <w:szCs w:val="22"/>
                <w:lang w:val="nl-BE" w:eastAsia="en-US"/>
              </w:rPr>
            </w:pPr>
            <w:r w:rsidRPr="00DA22D6">
              <w:rPr>
                <w:rFonts w:eastAsiaTheme="minorHAnsi"/>
                <w:color w:val="auto"/>
                <w:szCs w:val="22"/>
                <w:lang w:val="nl-BE" w:eastAsia="en-US"/>
              </w:rPr>
              <w:t>5.583,04</w:t>
            </w:r>
          </w:p>
        </w:tc>
      </w:tr>
    </w:tbl>
    <w:p w:rsidR="00AE6EC5" w:rsidRPr="00DA22D6" w:rsidRDefault="00AE6EC5" w:rsidP="00DA22D6">
      <w:pPr>
        <w:pStyle w:val="StandaardSV"/>
        <w:ind w:left="340"/>
        <w:rPr>
          <w:szCs w:val="22"/>
        </w:rPr>
      </w:pPr>
    </w:p>
    <w:p w:rsidR="00AE6EC5" w:rsidRDefault="00AE6EC5" w:rsidP="007C27FE">
      <w:pPr>
        <w:pStyle w:val="Kop1"/>
        <w:spacing w:before="0" w:after="0" w:line="240" w:lineRule="auto"/>
        <w:ind w:hanging="340"/>
        <w:jc w:val="both"/>
        <w:rPr>
          <w:rFonts w:ascii="Times New Roman" w:eastAsia="Times New Roman" w:hAnsi="Times New Roman" w:cs="Times New Roman"/>
          <w:bCs w:val="0"/>
          <w:caps w:val="0"/>
          <w:color w:val="auto"/>
          <w:szCs w:val="22"/>
          <w:lang w:val="nl-NL" w:eastAsia="nl-NL"/>
        </w:rPr>
      </w:pPr>
      <w:r w:rsidRPr="00DA22D6">
        <w:rPr>
          <w:rFonts w:ascii="Times New Roman" w:eastAsia="Times New Roman" w:hAnsi="Times New Roman" w:cs="Times New Roman"/>
          <w:bCs w:val="0"/>
          <w:caps w:val="0"/>
          <w:color w:val="auto"/>
          <w:szCs w:val="22"/>
          <w:lang w:val="nl-NL" w:eastAsia="nl-NL"/>
        </w:rPr>
        <w:t xml:space="preserve">De ESVAC (European Surveillance of </w:t>
      </w:r>
      <w:proofErr w:type="spellStart"/>
      <w:r w:rsidRPr="00DA22D6">
        <w:rPr>
          <w:rFonts w:ascii="Times New Roman" w:eastAsia="Times New Roman" w:hAnsi="Times New Roman" w:cs="Times New Roman"/>
          <w:bCs w:val="0"/>
          <w:caps w:val="0"/>
          <w:color w:val="auto"/>
          <w:szCs w:val="22"/>
          <w:lang w:val="nl-NL" w:eastAsia="nl-NL"/>
        </w:rPr>
        <w:t>VeterinaryAntimicrobialConsumption</w:t>
      </w:r>
      <w:proofErr w:type="spellEnd"/>
      <w:r w:rsidRPr="00DA22D6">
        <w:rPr>
          <w:rFonts w:ascii="Times New Roman" w:eastAsia="Times New Roman" w:hAnsi="Times New Roman" w:cs="Times New Roman"/>
          <w:bCs w:val="0"/>
          <w:caps w:val="0"/>
          <w:color w:val="auto"/>
          <w:szCs w:val="22"/>
          <w:lang w:val="nl-NL" w:eastAsia="nl-NL"/>
        </w:rPr>
        <w:t xml:space="preserve">) rapporten geven een overzicht van de verkoop van antibiotica in een aantal Europese landen. In het eerste ESVAC rapport (publicatie 2011) zijn de cijfers van 2005 tot en met 2009 opgenomen, in het tweede ESVAC rapport (publicatie 2012) zijn de cijfers met betrekking tot 2010 opgenomen. Het derde ESVAC-rapport met cijfers voor 2011 zal voorgesteld worden op de jaarlijkse ESVAC meeting in maart 2013. </w:t>
      </w:r>
    </w:p>
    <w:p w:rsidR="00DA22D6" w:rsidRPr="00DA22D6" w:rsidRDefault="00DA22D6" w:rsidP="00DA22D6"/>
    <w:p w:rsidR="00AE6EC5" w:rsidRPr="00DA22D6" w:rsidRDefault="00AE6EC5" w:rsidP="007C27FE">
      <w:pPr>
        <w:ind w:left="340"/>
        <w:jc w:val="both"/>
        <w:rPr>
          <w:sz w:val="22"/>
          <w:szCs w:val="22"/>
        </w:rPr>
      </w:pPr>
      <w:r w:rsidRPr="00DA22D6">
        <w:rPr>
          <w:sz w:val="22"/>
          <w:szCs w:val="22"/>
        </w:rPr>
        <w:t xml:space="preserve">Cijfers over de verkoop van antibiotica in België zijn niet opgenomen in de hogervermelde ESVAC rapporten, maar zijn wel terug te vinden in de </w:t>
      </w:r>
      <w:proofErr w:type="spellStart"/>
      <w:r w:rsidRPr="00DA22D6">
        <w:rPr>
          <w:sz w:val="22"/>
          <w:szCs w:val="22"/>
        </w:rPr>
        <w:t>Belvetsac</w:t>
      </w:r>
      <w:proofErr w:type="spellEnd"/>
      <w:r w:rsidRPr="00DA22D6">
        <w:rPr>
          <w:sz w:val="22"/>
          <w:szCs w:val="22"/>
        </w:rPr>
        <w:t xml:space="preserve"> rapporten. Deze cijfers zijn beschikbaar tot en met het jaar 2011. </w:t>
      </w:r>
    </w:p>
    <w:p w:rsidR="00AE6EC5" w:rsidRDefault="00AE6EC5" w:rsidP="007C27FE">
      <w:pPr>
        <w:ind w:left="340"/>
        <w:jc w:val="both"/>
        <w:rPr>
          <w:sz w:val="22"/>
          <w:szCs w:val="22"/>
        </w:rPr>
      </w:pPr>
      <w:r w:rsidRPr="00DA22D6">
        <w:rPr>
          <w:sz w:val="22"/>
          <w:szCs w:val="22"/>
        </w:rPr>
        <w:t>Tabel 2 geeft een overzicht van de totale verkoop van actieve substantie (in 1000 kg) per land en per jaar (van 2007 tot 2010). Voor Nederland en Frankrijk zijn de verkoopcijfers 2011 ook beschikbaar en opgenomen in de tabel.</w:t>
      </w:r>
    </w:p>
    <w:p w:rsidR="00DA22D6" w:rsidRPr="00DA22D6" w:rsidRDefault="00DA22D6" w:rsidP="00DA22D6">
      <w:pPr>
        <w:ind w:left="340"/>
        <w:rPr>
          <w:sz w:val="22"/>
          <w:szCs w:val="22"/>
        </w:rPr>
      </w:pPr>
    </w:p>
    <w:p w:rsidR="00AE6EC5" w:rsidRDefault="00AE6EC5" w:rsidP="00DA22D6">
      <w:pPr>
        <w:ind w:left="340"/>
        <w:rPr>
          <w:sz w:val="22"/>
          <w:szCs w:val="22"/>
        </w:rPr>
      </w:pPr>
      <w:r w:rsidRPr="00DA22D6">
        <w:rPr>
          <w:sz w:val="22"/>
          <w:szCs w:val="22"/>
          <w:u w:val="single"/>
        </w:rPr>
        <w:t>Tabel 2.</w:t>
      </w:r>
      <w:r w:rsidRPr="00DA22D6">
        <w:rPr>
          <w:sz w:val="22"/>
          <w:szCs w:val="22"/>
        </w:rPr>
        <w:t xml:space="preserve"> Verkoop actieve substantie (per 1000 kg)</w:t>
      </w:r>
    </w:p>
    <w:p w:rsidR="007C27FE" w:rsidRPr="00DA22D6" w:rsidRDefault="007C27FE" w:rsidP="00DA22D6">
      <w:pPr>
        <w:ind w:left="340"/>
        <w:rPr>
          <w:sz w:val="22"/>
          <w:szCs w:val="22"/>
          <w:u w:val="single"/>
        </w:rPr>
      </w:pPr>
    </w:p>
    <w:tbl>
      <w:tblPr>
        <w:tblStyle w:val="LV-tabel"/>
        <w:tblW w:w="9210" w:type="dxa"/>
        <w:tblInd w:w="708" w:type="dxa"/>
        <w:tblLook w:val="04A0" w:firstRow="1" w:lastRow="0" w:firstColumn="1" w:lastColumn="0" w:noHBand="0" w:noVBand="1"/>
      </w:tblPr>
      <w:tblGrid>
        <w:gridCol w:w="1535"/>
        <w:gridCol w:w="1535"/>
        <w:gridCol w:w="1535"/>
        <w:gridCol w:w="1535"/>
        <w:gridCol w:w="1535"/>
        <w:gridCol w:w="1535"/>
      </w:tblGrid>
      <w:tr w:rsidR="00DA22D6" w:rsidRPr="00DA22D6" w:rsidTr="00012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AE6EC5" w:rsidRPr="00DA22D6" w:rsidRDefault="00AE6EC5" w:rsidP="00DA22D6">
            <w:pPr>
              <w:jc w:val="both"/>
              <w:rPr>
                <w:rFonts w:eastAsiaTheme="minorHAnsi"/>
                <w:b w:val="0"/>
                <w:color w:val="auto"/>
                <w:sz w:val="22"/>
                <w:szCs w:val="22"/>
                <w:lang w:eastAsia="en-US"/>
              </w:rPr>
            </w:pP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2007</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2008</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2009</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2010</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2011</w:t>
            </w:r>
          </w:p>
        </w:tc>
      </w:tr>
      <w:tr w:rsidR="00DA22D6" w:rsidRPr="00DA22D6" w:rsidTr="0001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Nederland</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589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526</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514</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464</w:t>
            </w:r>
          </w:p>
        </w:tc>
        <w:tc>
          <w:tcPr>
            <w:tcW w:w="1535" w:type="dxa"/>
            <w:tcBorders>
              <w:top w:val="single" w:sz="4" w:space="0" w:color="auto"/>
              <w:left w:val="single" w:sz="4" w:space="0" w:color="auto"/>
              <w:bottom w:val="single" w:sz="4" w:space="0" w:color="auto"/>
              <w:right w:val="nil"/>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338</w:t>
            </w:r>
          </w:p>
        </w:tc>
      </w:tr>
      <w:tr w:rsidR="00DA22D6" w:rsidRPr="00DA22D6" w:rsidTr="00012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Frankrijk</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1.346</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1.188</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1.064</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1.011</w:t>
            </w:r>
          </w:p>
        </w:tc>
        <w:tc>
          <w:tcPr>
            <w:tcW w:w="1535" w:type="dxa"/>
            <w:tcBorders>
              <w:top w:val="single" w:sz="4" w:space="0" w:color="auto"/>
              <w:left w:val="single" w:sz="4" w:space="0" w:color="auto"/>
              <w:bottom w:val="single" w:sz="4" w:space="0" w:color="auto"/>
              <w:right w:val="nil"/>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914</w:t>
            </w:r>
          </w:p>
        </w:tc>
      </w:tr>
      <w:tr w:rsidR="00DA22D6" w:rsidRPr="00DA22D6" w:rsidTr="0001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België</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349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299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304</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299</w:t>
            </w:r>
          </w:p>
        </w:tc>
        <w:tc>
          <w:tcPr>
            <w:tcW w:w="1535" w:type="dxa"/>
            <w:tcBorders>
              <w:top w:val="single" w:sz="4" w:space="0" w:color="auto"/>
              <w:left w:val="single" w:sz="4" w:space="0" w:color="auto"/>
              <w:bottom w:val="single" w:sz="4" w:space="0" w:color="auto"/>
              <w:right w:val="nil"/>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299</w:t>
            </w:r>
          </w:p>
        </w:tc>
      </w:tr>
      <w:tr w:rsidR="00DA22D6" w:rsidRPr="00DA22D6" w:rsidTr="00012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Denemarken</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119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117</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130</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120</w:t>
            </w:r>
          </w:p>
        </w:tc>
        <w:tc>
          <w:tcPr>
            <w:tcW w:w="1535" w:type="dxa"/>
            <w:tcBorders>
              <w:top w:val="single" w:sz="4" w:space="0" w:color="auto"/>
              <w:left w:val="single" w:sz="4" w:space="0" w:color="auto"/>
              <w:bottom w:val="single" w:sz="4" w:space="0" w:color="auto"/>
              <w:right w:val="nil"/>
            </w:tcBorders>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p>
        </w:tc>
      </w:tr>
      <w:tr w:rsidR="00DA22D6" w:rsidRPr="00DA22D6" w:rsidTr="00012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Noorwegen</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6</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6</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6</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6</w:t>
            </w:r>
          </w:p>
        </w:tc>
        <w:tc>
          <w:tcPr>
            <w:tcW w:w="1535" w:type="dxa"/>
            <w:tcBorders>
              <w:top w:val="single" w:sz="4" w:space="0" w:color="auto"/>
              <w:left w:val="single" w:sz="4" w:space="0" w:color="auto"/>
              <w:bottom w:val="single" w:sz="4" w:space="0" w:color="auto"/>
              <w:right w:val="nil"/>
            </w:tcBorders>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p>
        </w:tc>
      </w:tr>
      <w:tr w:rsidR="00DA22D6" w:rsidRPr="00DA22D6" w:rsidTr="00012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nil"/>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Zweden</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17</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16</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15</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14</w:t>
            </w:r>
          </w:p>
        </w:tc>
        <w:tc>
          <w:tcPr>
            <w:tcW w:w="1535" w:type="dxa"/>
            <w:tcBorders>
              <w:top w:val="single" w:sz="4" w:space="0" w:color="auto"/>
              <w:left w:val="single" w:sz="4" w:space="0" w:color="auto"/>
              <w:bottom w:val="nil"/>
              <w:right w:val="nil"/>
            </w:tcBorders>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p>
        </w:tc>
      </w:tr>
    </w:tbl>
    <w:p w:rsidR="00AE6EC5" w:rsidRDefault="00AE6EC5" w:rsidP="00DA22D6">
      <w:pPr>
        <w:ind w:left="170"/>
        <w:rPr>
          <w:rFonts w:eastAsiaTheme="minorHAnsi"/>
          <w:sz w:val="22"/>
          <w:szCs w:val="22"/>
          <w:lang w:eastAsia="en-US"/>
        </w:rPr>
      </w:pPr>
    </w:p>
    <w:p w:rsidR="00AE6EC5" w:rsidRDefault="00AE6EC5" w:rsidP="007C27FE">
      <w:pPr>
        <w:ind w:left="284"/>
        <w:jc w:val="both"/>
        <w:rPr>
          <w:sz w:val="22"/>
          <w:szCs w:val="22"/>
        </w:rPr>
      </w:pPr>
      <w:r w:rsidRPr="00DA22D6">
        <w:rPr>
          <w:sz w:val="22"/>
          <w:szCs w:val="22"/>
        </w:rPr>
        <w:t>Om het gebruik in verhouding tot het aantal aanwezige dieren te kunnen plaatsen worden de verkoopcijfers gedeeld door de geschatte biomassa (incl. slachtdieren). Deze cijfers zijn weergegeven in tabel 3.</w:t>
      </w:r>
    </w:p>
    <w:p w:rsidR="0001276F" w:rsidRPr="00DA22D6" w:rsidRDefault="0001276F" w:rsidP="00DA22D6">
      <w:pPr>
        <w:ind w:left="284"/>
        <w:rPr>
          <w:sz w:val="22"/>
          <w:szCs w:val="22"/>
        </w:rPr>
      </w:pPr>
    </w:p>
    <w:p w:rsidR="00AE6EC5" w:rsidRDefault="00AE6EC5" w:rsidP="00DA22D6">
      <w:pPr>
        <w:ind w:left="284"/>
        <w:rPr>
          <w:sz w:val="22"/>
          <w:szCs w:val="22"/>
        </w:rPr>
      </w:pPr>
      <w:r w:rsidRPr="00DA22D6">
        <w:rPr>
          <w:sz w:val="22"/>
          <w:szCs w:val="22"/>
          <w:u w:val="single"/>
        </w:rPr>
        <w:t>Tabel 3.</w:t>
      </w:r>
      <w:r w:rsidRPr="00DA22D6">
        <w:rPr>
          <w:sz w:val="22"/>
          <w:szCs w:val="22"/>
        </w:rPr>
        <w:t xml:space="preserve"> Gestandaardiseerde verkoop actieve ingrediënten (mg/kg)</w:t>
      </w:r>
    </w:p>
    <w:p w:rsidR="007C27FE" w:rsidRPr="00DA22D6" w:rsidRDefault="007C27FE" w:rsidP="00DA22D6">
      <w:pPr>
        <w:ind w:left="284"/>
        <w:rPr>
          <w:sz w:val="22"/>
          <w:szCs w:val="22"/>
        </w:rPr>
      </w:pPr>
    </w:p>
    <w:tbl>
      <w:tblPr>
        <w:tblStyle w:val="LV-tabel"/>
        <w:tblW w:w="9210" w:type="dxa"/>
        <w:tblInd w:w="708" w:type="dxa"/>
        <w:tblLook w:val="04A0" w:firstRow="1" w:lastRow="0" w:firstColumn="1" w:lastColumn="0" w:noHBand="0" w:noVBand="1"/>
      </w:tblPr>
      <w:tblGrid>
        <w:gridCol w:w="1535"/>
        <w:gridCol w:w="1535"/>
        <w:gridCol w:w="1535"/>
        <w:gridCol w:w="1535"/>
        <w:gridCol w:w="1535"/>
        <w:gridCol w:w="1535"/>
      </w:tblGrid>
      <w:tr w:rsidR="00DA22D6" w:rsidRPr="00DA22D6" w:rsidTr="00DA2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AE6EC5" w:rsidRPr="00DA22D6" w:rsidRDefault="00AE6EC5" w:rsidP="00DA22D6">
            <w:pPr>
              <w:jc w:val="both"/>
              <w:rPr>
                <w:rFonts w:eastAsiaTheme="minorHAnsi"/>
                <w:b w:val="0"/>
                <w:color w:val="auto"/>
                <w:sz w:val="22"/>
                <w:szCs w:val="22"/>
                <w:lang w:eastAsia="en-US"/>
              </w:rPr>
            </w:pP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2007</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2008</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2009</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2010</w:t>
            </w:r>
          </w:p>
        </w:tc>
        <w:tc>
          <w:tcPr>
            <w:tcW w:w="1535" w:type="dxa"/>
            <w:hideMark/>
          </w:tcPr>
          <w:p w:rsidR="00AE6EC5" w:rsidRPr="00DA22D6" w:rsidRDefault="00AE6EC5" w:rsidP="00DA22D6">
            <w:pPr>
              <w:jc w:val="both"/>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szCs w:val="22"/>
                <w:lang w:eastAsia="en-US"/>
              </w:rPr>
            </w:pPr>
            <w:r w:rsidRPr="00DA22D6">
              <w:rPr>
                <w:b w:val="0"/>
                <w:color w:val="auto"/>
                <w:sz w:val="22"/>
                <w:szCs w:val="22"/>
              </w:rPr>
              <w:t>2011</w:t>
            </w:r>
          </w:p>
        </w:tc>
      </w:tr>
      <w:tr w:rsidR="00DA22D6" w:rsidRPr="00DA22D6" w:rsidTr="00DA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Nederland</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179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168</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165</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146</w:t>
            </w:r>
          </w:p>
        </w:tc>
        <w:tc>
          <w:tcPr>
            <w:tcW w:w="1535" w:type="dxa"/>
            <w:tcBorders>
              <w:top w:val="single" w:sz="4" w:space="0" w:color="auto"/>
              <w:left w:val="single" w:sz="4" w:space="0" w:color="auto"/>
              <w:bottom w:val="single" w:sz="4" w:space="0" w:color="auto"/>
              <w:right w:val="nil"/>
            </w:tcBorders>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p>
        </w:tc>
      </w:tr>
      <w:tr w:rsidR="00DA22D6" w:rsidRPr="00DA22D6" w:rsidTr="00DA2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Frankrijk</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173</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154</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141</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132</w:t>
            </w:r>
          </w:p>
        </w:tc>
        <w:tc>
          <w:tcPr>
            <w:tcW w:w="1535" w:type="dxa"/>
            <w:tcBorders>
              <w:top w:val="single" w:sz="4" w:space="0" w:color="auto"/>
              <w:left w:val="single" w:sz="4" w:space="0" w:color="auto"/>
              <w:bottom w:val="single" w:sz="4" w:space="0" w:color="auto"/>
              <w:right w:val="nil"/>
            </w:tcBorders>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p>
        </w:tc>
      </w:tr>
      <w:tr w:rsidR="00DA22D6" w:rsidRPr="00DA22D6" w:rsidTr="00DA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België</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169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149</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147</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139</w:t>
            </w:r>
          </w:p>
        </w:tc>
        <w:tc>
          <w:tcPr>
            <w:tcW w:w="1535" w:type="dxa"/>
            <w:tcBorders>
              <w:top w:val="single" w:sz="4" w:space="0" w:color="auto"/>
              <w:left w:val="single" w:sz="4" w:space="0" w:color="auto"/>
              <w:bottom w:val="single" w:sz="4" w:space="0" w:color="auto"/>
              <w:right w:val="nil"/>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140</w:t>
            </w:r>
          </w:p>
        </w:tc>
      </w:tr>
      <w:tr w:rsidR="00DA22D6" w:rsidRPr="00DA22D6" w:rsidTr="00DA2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Denemarken</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47</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46</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53</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47</w:t>
            </w:r>
          </w:p>
        </w:tc>
        <w:tc>
          <w:tcPr>
            <w:tcW w:w="1535" w:type="dxa"/>
            <w:tcBorders>
              <w:top w:val="single" w:sz="4" w:space="0" w:color="auto"/>
              <w:left w:val="single" w:sz="4" w:space="0" w:color="auto"/>
              <w:bottom w:val="single" w:sz="4" w:space="0" w:color="auto"/>
              <w:right w:val="nil"/>
            </w:tcBorders>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p>
        </w:tc>
      </w:tr>
      <w:tr w:rsidR="00DA22D6" w:rsidRPr="00DA22D6" w:rsidTr="00DA2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single" w:sz="4" w:space="0" w:color="auto"/>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Noorwegen</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15</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14</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14</w:t>
            </w:r>
          </w:p>
        </w:tc>
        <w:tc>
          <w:tcPr>
            <w:tcW w:w="1535" w:type="dxa"/>
            <w:tcBorders>
              <w:top w:val="single" w:sz="4" w:space="0" w:color="auto"/>
              <w:left w:val="single" w:sz="4" w:space="0" w:color="auto"/>
              <w:bottom w:val="single" w:sz="4" w:space="0" w:color="auto"/>
              <w:right w:val="single" w:sz="4" w:space="0" w:color="auto"/>
            </w:tcBorders>
            <w:hideMark/>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r w:rsidRPr="00DA22D6">
              <w:rPr>
                <w:color w:val="auto"/>
                <w:sz w:val="22"/>
                <w:szCs w:val="22"/>
              </w:rPr>
              <w:t>11</w:t>
            </w:r>
          </w:p>
        </w:tc>
        <w:tc>
          <w:tcPr>
            <w:tcW w:w="1535" w:type="dxa"/>
            <w:tcBorders>
              <w:top w:val="single" w:sz="4" w:space="0" w:color="auto"/>
              <w:left w:val="single" w:sz="4" w:space="0" w:color="auto"/>
              <w:bottom w:val="single" w:sz="4" w:space="0" w:color="auto"/>
              <w:right w:val="nil"/>
            </w:tcBorders>
          </w:tcPr>
          <w:p w:rsidR="00AE6EC5" w:rsidRPr="00DA22D6" w:rsidRDefault="00AE6EC5" w:rsidP="00DA22D6">
            <w:pPr>
              <w:jc w:val="both"/>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eastAsia="en-US"/>
              </w:rPr>
            </w:pPr>
          </w:p>
        </w:tc>
      </w:tr>
      <w:tr w:rsidR="00DA22D6" w:rsidRPr="00DA22D6" w:rsidTr="00DA2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left w:val="nil"/>
              <w:bottom w:val="nil"/>
              <w:right w:val="single" w:sz="4" w:space="0" w:color="auto"/>
            </w:tcBorders>
            <w:hideMark/>
          </w:tcPr>
          <w:p w:rsidR="00AE6EC5" w:rsidRPr="00DA22D6" w:rsidRDefault="00AE6EC5" w:rsidP="00DA22D6">
            <w:pPr>
              <w:jc w:val="both"/>
              <w:rPr>
                <w:rFonts w:eastAsiaTheme="minorHAnsi"/>
                <w:color w:val="auto"/>
                <w:sz w:val="22"/>
                <w:szCs w:val="22"/>
                <w:lang w:eastAsia="en-US"/>
              </w:rPr>
            </w:pPr>
            <w:r w:rsidRPr="00DA22D6">
              <w:rPr>
                <w:color w:val="auto"/>
                <w:sz w:val="22"/>
                <w:szCs w:val="22"/>
              </w:rPr>
              <w:t>Zweden</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21</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20</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19</w:t>
            </w:r>
          </w:p>
        </w:tc>
        <w:tc>
          <w:tcPr>
            <w:tcW w:w="1535" w:type="dxa"/>
            <w:tcBorders>
              <w:top w:val="single" w:sz="4" w:space="0" w:color="auto"/>
              <w:left w:val="single" w:sz="4" w:space="0" w:color="auto"/>
              <w:bottom w:val="nil"/>
              <w:right w:val="single" w:sz="4" w:space="0" w:color="auto"/>
            </w:tcBorders>
            <w:hideMark/>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r w:rsidRPr="00DA22D6">
              <w:rPr>
                <w:color w:val="auto"/>
                <w:sz w:val="22"/>
                <w:szCs w:val="22"/>
              </w:rPr>
              <w:t>15</w:t>
            </w:r>
          </w:p>
        </w:tc>
        <w:tc>
          <w:tcPr>
            <w:tcW w:w="1535" w:type="dxa"/>
            <w:tcBorders>
              <w:top w:val="single" w:sz="4" w:space="0" w:color="auto"/>
              <w:left w:val="single" w:sz="4" w:space="0" w:color="auto"/>
              <w:bottom w:val="nil"/>
              <w:right w:val="nil"/>
            </w:tcBorders>
          </w:tcPr>
          <w:p w:rsidR="00AE6EC5" w:rsidRPr="00DA22D6" w:rsidRDefault="00AE6EC5" w:rsidP="00DA22D6">
            <w:pPr>
              <w:jc w:val="both"/>
              <w:cnfStyle w:val="000000010000" w:firstRow="0" w:lastRow="0" w:firstColumn="0" w:lastColumn="0" w:oddVBand="0" w:evenVBand="0" w:oddHBand="0" w:evenHBand="1" w:firstRowFirstColumn="0" w:firstRowLastColumn="0" w:lastRowFirstColumn="0" w:lastRowLastColumn="0"/>
              <w:rPr>
                <w:rFonts w:eastAsiaTheme="minorHAnsi"/>
                <w:color w:val="auto"/>
                <w:sz w:val="22"/>
                <w:szCs w:val="22"/>
                <w:lang w:eastAsia="en-US"/>
              </w:rPr>
            </w:pPr>
          </w:p>
        </w:tc>
      </w:tr>
    </w:tbl>
    <w:p w:rsidR="00DA22D6" w:rsidRPr="00DA22D6" w:rsidRDefault="00DA22D6" w:rsidP="00DA22D6">
      <w:pPr>
        <w:rPr>
          <w:rFonts w:eastAsiaTheme="minorHAnsi"/>
          <w:sz w:val="22"/>
          <w:szCs w:val="22"/>
          <w:lang w:eastAsia="en-US"/>
        </w:rPr>
      </w:pPr>
    </w:p>
    <w:p w:rsidR="008E74DF" w:rsidRPr="00DA22D6" w:rsidRDefault="00DA22D6" w:rsidP="007C27FE">
      <w:pPr>
        <w:pStyle w:val="Kop1"/>
        <w:spacing w:before="0" w:after="0" w:line="240" w:lineRule="auto"/>
        <w:ind w:hanging="340"/>
        <w:jc w:val="both"/>
        <w:rPr>
          <w:rFonts w:ascii="Times New Roman" w:eastAsia="Times New Roman" w:hAnsi="Times New Roman" w:cs="Times New Roman"/>
          <w:bCs w:val="0"/>
          <w:caps w:val="0"/>
          <w:color w:val="auto"/>
          <w:szCs w:val="22"/>
          <w:lang w:val="nl-NL" w:eastAsia="nl-NL"/>
        </w:rPr>
      </w:pPr>
      <w:r>
        <w:rPr>
          <w:rFonts w:ascii="Times New Roman" w:eastAsia="Times New Roman" w:hAnsi="Times New Roman" w:cs="Times New Roman"/>
          <w:bCs w:val="0"/>
          <w:caps w:val="0"/>
          <w:color w:val="auto"/>
          <w:szCs w:val="22"/>
          <w:lang w:val="nl-NL" w:eastAsia="nl-NL"/>
        </w:rPr>
        <w:t xml:space="preserve">Naast </w:t>
      </w:r>
      <w:r w:rsidR="00452D2E" w:rsidRPr="00DA22D6">
        <w:rPr>
          <w:rFonts w:ascii="Times New Roman" w:eastAsia="Times New Roman" w:hAnsi="Times New Roman" w:cs="Times New Roman"/>
          <w:bCs w:val="0"/>
          <w:caps w:val="0"/>
          <w:color w:val="auto"/>
          <w:szCs w:val="22"/>
          <w:lang w:val="nl-NL" w:eastAsia="nl-NL"/>
        </w:rPr>
        <w:t xml:space="preserve">het beleid dat op het bevoegde niveau, in dit geval het federale niveau wordt gevoerd, wordt vanuit het Vlaamse landbouwbeleid vooral ingezet op voorlichting via demonstratieprojecten </w:t>
      </w:r>
    </w:p>
    <w:p w:rsidR="00AE6EC5" w:rsidRPr="00DA22D6" w:rsidRDefault="00452D2E" w:rsidP="007C27FE">
      <w:pPr>
        <w:tabs>
          <w:tab w:val="left" w:pos="1215"/>
        </w:tabs>
        <w:ind w:left="340"/>
        <w:jc w:val="both"/>
        <w:rPr>
          <w:sz w:val="22"/>
          <w:szCs w:val="22"/>
        </w:rPr>
      </w:pPr>
      <w:r w:rsidRPr="00DA22D6">
        <w:rPr>
          <w:sz w:val="22"/>
          <w:szCs w:val="22"/>
        </w:rPr>
        <w:t>(zie antwoord op vraag 2).</w:t>
      </w:r>
    </w:p>
    <w:p w:rsidR="008E74DF" w:rsidRPr="00DA22D6" w:rsidRDefault="008E74DF" w:rsidP="007C27FE">
      <w:pPr>
        <w:tabs>
          <w:tab w:val="left" w:pos="1215"/>
        </w:tabs>
        <w:ind w:left="340"/>
        <w:jc w:val="both"/>
        <w:rPr>
          <w:sz w:val="22"/>
          <w:szCs w:val="22"/>
        </w:rPr>
      </w:pPr>
    </w:p>
    <w:p w:rsidR="002B1104" w:rsidRPr="00DA22D6" w:rsidRDefault="00452D2E" w:rsidP="007C27FE">
      <w:pPr>
        <w:ind w:left="340"/>
        <w:jc w:val="both"/>
        <w:rPr>
          <w:sz w:val="22"/>
          <w:szCs w:val="22"/>
        </w:rPr>
      </w:pPr>
      <w:r w:rsidRPr="00DA22D6">
        <w:rPr>
          <w:sz w:val="22"/>
          <w:szCs w:val="22"/>
        </w:rPr>
        <w:t>Eind 2012 werden 2 nieuwe demonstratieprojecten goedgekeurd: “Verantwoord antibioticagebruik in de intensieve veehouder</w:t>
      </w:r>
      <w:bookmarkStart w:id="0" w:name="_GoBack"/>
      <w:bookmarkEnd w:id="0"/>
      <w:r w:rsidRPr="00DA22D6">
        <w:rPr>
          <w:sz w:val="22"/>
          <w:szCs w:val="22"/>
        </w:rPr>
        <w:t xml:space="preserve">ij” en “Verantwoord gebruik van antibiotica in de Vlaamse melkveehouderij” voor respectievelijk 100.000 </w:t>
      </w:r>
      <w:r w:rsidR="008E74DF" w:rsidRPr="00DA22D6">
        <w:rPr>
          <w:sz w:val="22"/>
          <w:szCs w:val="22"/>
        </w:rPr>
        <w:t xml:space="preserve">euro </w:t>
      </w:r>
      <w:r w:rsidRPr="00DA22D6">
        <w:rPr>
          <w:sz w:val="22"/>
          <w:szCs w:val="22"/>
        </w:rPr>
        <w:t>en 75.000 euro aan subsidie</w:t>
      </w:r>
      <w:r w:rsidR="008E74DF" w:rsidRPr="00DA22D6">
        <w:rPr>
          <w:sz w:val="22"/>
          <w:szCs w:val="22"/>
        </w:rPr>
        <w:t>s</w:t>
      </w:r>
      <w:r w:rsidRPr="00DA22D6">
        <w:rPr>
          <w:sz w:val="22"/>
          <w:szCs w:val="22"/>
        </w:rPr>
        <w:t>.</w:t>
      </w:r>
    </w:p>
    <w:p w:rsidR="00452D2E" w:rsidRPr="00DA22D6" w:rsidRDefault="00452D2E" w:rsidP="007C27FE">
      <w:pPr>
        <w:ind w:left="340"/>
        <w:jc w:val="both"/>
        <w:rPr>
          <w:sz w:val="22"/>
          <w:szCs w:val="22"/>
        </w:rPr>
      </w:pPr>
      <w:r w:rsidRPr="00DA22D6">
        <w:rPr>
          <w:sz w:val="22"/>
          <w:szCs w:val="22"/>
        </w:rPr>
        <w:t>Tot slot moet ook nog vermeld worden dat er binnen het ILVO heel wat onderzoek gebeurd naar het beperken van het antibioticagebruik in de Vlaamse veehouderij.</w:t>
      </w:r>
    </w:p>
    <w:sectPr w:rsidR="00452D2E" w:rsidRPr="00DA22D6" w:rsidSect="0086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904"/>
    <w:multiLevelType w:val="multilevel"/>
    <w:tmpl w:val="4E08095A"/>
    <w:lvl w:ilvl="0">
      <w:start w:val="1"/>
      <w:numFmt w:val="decimal"/>
      <w:pStyle w:val="Kop1"/>
      <w:lvlText w:val="%1"/>
      <w:lvlJc w:val="left"/>
      <w:pPr>
        <w:ind w:left="340" w:hanging="170"/>
      </w:pPr>
    </w:lvl>
    <w:lvl w:ilvl="1">
      <w:start w:val="1"/>
      <w:numFmt w:val="lowerLetter"/>
      <w:pStyle w:val="Kop2"/>
      <w:lvlText w:val="%2)"/>
      <w:lvlJc w:val="left"/>
      <w:pPr>
        <w:tabs>
          <w:tab w:val="num" w:pos="170"/>
        </w:tabs>
        <w:ind w:left="340" w:hanging="170"/>
      </w:pPr>
      <w:rPr>
        <w:color w:val="auto"/>
      </w:rPr>
    </w:lvl>
    <w:lvl w:ilvl="2">
      <w:start w:val="1"/>
      <w:numFmt w:val="decimal"/>
      <w:pStyle w:val="Kop3"/>
      <w:lvlText w:val="%1.%2.%3"/>
      <w:lvlJc w:val="left"/>
      <w:pPr>
        <w:tabs>
          <w:tab w:val="num" w:pos="170"/>
        </w:tabs>
        <w:ind w:left="340" w:hanging="170"/>
      </w:pPr>
      <w:rPr>
        <w:color w:val="009EE0"/>
      </w:rPr>
    </w:lvl>
    <w:lvl w:ilvl="3">
      <w:start w:val="1"/>
      <w:numFmt w:val="decimal"/>
      <w:pStyle w:val="Kop4"/>
      <w:lvlText w:val="%1.%2.%3.%4"/>
      <w:lvlJc w:val="left"/>
      <w:pPr>
        <w:ind w:left="340" w:hanging="170"/>
      </w:pPr>
      <w:rPr>
        <w:sz w:val="16"/>
      </w:rPr>
    </w:lvl>
    <w:lvl w:ilvl="4">
      <w:start w:val="1"/>
      <w:numFmt w:val="decimal"/>
      <w:pStyle w:val="Kop5"/>
      <w:lvlText w:val="%1.%2.%3.%4.%5"/>
      <w:lvlJc w:val="left"/>
      <w:pPr>
        <w:ind w:left="340" w:hanging="170"/>
      </w:pPr>
    </w:lvl>
    <w:lvl w:ilvl="5">
      <w:start w:val="1"/>
      <w:numFmt w:val="lowerRoman"/>
      <w:lvlText w:val="(%6)"/>
      <w:lvlJc w:val="left"/>
      <w:pPr>
        <w:ind w:left="340" w:hanging="170"/>
      </w:pPr>
    </w:lvl>
    <w:lvl w:ilvl="6">
      <w:start w:val="1"/>
      <w:numFmt w:val="decimal"/>
      <w:lvlText w:val="%7."/>
      <w:lvlJc w:val="left"/>
      <w:pPr>
        <w:ind w:left="340" w:hanging="170"/>
      </w:pPr>
    </w:lvl>
    <w:lvl w:ilvl="7">
      <w:start w:val="1"/>
      <w:numFmt w:val="lowerLetter"/>
      <w:lvlText w:val="%8."/>
      <w:lvlJc w:val="left"/>
      <w:pPr>
        <w:ind w:left="340" w:hanging="170"/>
      </w:pPr>
    </w:lvl>
    <w:lvl w:ilvl="8">
      <w:start w:val="1"/>
      <w:numFmt w:val="lowerRoman"/>
      <w:lvlText w:val="%9."/>
      <w:lvlJc w:val="left"/>
      <w:pPr>
        <w:ind w:left="340" w:hanging="170"/>
      </w:pPr>
    </w:lvl>
  </w:abstractNum>
  <w:abstractNum w:abstractNumId="1">
    <w:nsid w:val="2B826586"/>
    <w:multiLevelType w:val="hybridMultilevel"/>
    <w:tmpl w:val="3DE8606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42C54DF7"/>
    <w:multiLevelType w:val="hybridMultilevel"/>
    <w:tmpl w:val="284C470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C3"/>
    <w:rsid w:val="0001276F"/>
    <w:rsid w:val="002B1104"/>
    <w:rsid w:val="00452D2E"/>
    <w:rsid w:val="006931C3"/>
    <w:rsid w:val="007C27FE"/>
    <w:rsid w:val="0086026C"/>
    <w:rsid w:val="008E74DF"/>
    <w:rsid w:val="00963076"/>
    <w:rsid w:val="009D5BC7"/>
    <w:rsid w:val="00AE6EC5"/>
    <w:rsid w:val="00C03E8A"/>
    <w:rsid w:val="00C0659A"/>
    <w:rsid w:val="00DA22D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1C3"/>
    <w:pPr>
      <w:spacing w:after="0" w:line="240" w:lineRule="auto"/>
    </w:pPr>
    <w:rPr>
      <w:rFonts w:ascii="Times New Roman" w:eastAsia="Times New Roman" w:hAnsi="Times New Roman" w:cs="Times New Roman"/>
      <w:sz w:val="24"/>
      <w:szCs w:val="20"/>
      <w:lang w:val="nl-NL" w:eastAsia="nl-NL"/>
    </w:rPr>
  </w:style>
  <w:style w:type="paragraph" w:styleId="Kop1">
    <w:name w:val="heading 1"/>
    <w:next w:val="Standaard"/>
    <w:link w:val="Kop1Char"/>
    <w:uiPriority w:val="4"/>
    <w:qFormat/>
    <w:rsid w:val="00AE6EC5"/>
    <w:pPr>
      <w:keepNext/>
      <w:keepLines/>
      <w:numPr>
        <w:numId w:val="3"/>
      </w:numPr>
      <w:spacing w:before="300" w:after="180" w:line="320" w:lineRule="exact"/>
      <w:outlineLvl w:val="0"/>
    </w:pPr>
    <w:rPr>
      <w:rFonts w:ascii="Verdana" w:eastAsiaTheme="majorEastAsia" w:hAnsi="Verdana" w:cstheme="majorBidi"/>
      <w:bCs/>
      <w:caps/>
      <w:color w:val="009EE0"/>
      <w:szCs w:val="28"/>
    </w:rPr>
  </w:style>
  <w:style w:type="paragraph" w:styleId="Kop2">
    <w:name w:val="heading 2"/>
    <w:next w:val="Standaard"/>
    <w:link w:val="Kop2Char"/>
    <w:uiPriority w:val="4"/>
    <w:unhideWhenUsed/>
    <w:qFormat/>
    <w:rsid w:val="00AE6EC5"/>
    <w:pPr>
      <w:keepNext/>
      <w:keepLines/>
      <w:numPr>
        <w:ilvl w:val="1"/>
        <w:numId w:val="3"/>
      </w:numPr>
      <w:spacing w:before="300" w:after="180" w:line="240" w:lineRule="exact"/>
      <w:outlineLvl w:val="1"/>
    </w:pPr>
    <w:rPr>
      <w:rFonts w:ascii="Verdana" w:eastAsiaTheme="majorEastAsia" w:hAnsi="Verdana" w:cstheme="majorBidi"/>
      <w:b/>
      <w:bCs/>
      <w:sz w:val="18"/>
      <w:szCs w:val="26"/>
    </w:rPr>
  </w:style>
  <w:style w:type="paragraph" w:styleId="Kop3">
    <w:name w:val="heading 3"/>
    <w:next w:val="Standaard"/>
    <w:link w:val="Kop3Char"/>
    <w:uiPriority w:val="4"/>
    <w:unhideWhenUsed/>
    <w:qFormat/>
    <w:rsid w:val="00AE6EC5"/>
    <w:pPr>
      <w:keepNext/>
      <w:keepLines/>
      <w:numPr>
        <w:ilvl w:val="2"/>
        <w:numId w:val="3"/>
      </w:numPr>
      <w:spacing w:before="300" w:after="180" w:line="240" w:lineRule="exact"/>
      <w:ind w:left="850" w:hanging="680"/>
      <w:outlineLvl w:val="2"/>
    </w:pPr>
    <w:rPr>
      <w:rFonts w:ascii="Verdana" w:eastAsiaTheme="majorEastAsia" w:hAnsi="Verdana" w:cstheme="majorBidi"/>
      <w:b/>
      <w:bCs/>
      <w:sz w:val="18"/>
    </w:rPr>
  </w:style>
  <w:style w:type="paragraph" w:styleId="Kop4">
    <w:name w:val="heading 4"/>
    <w:basedOn w:val="Standaard"/>
    <w:next w:val="Standaard"/>
    <w:link w:val="Kop4Char"/>
    <w:uiPriority w:val="4"/>
    <w:semiHidden/>
    <w:unhideWhenUsed/>
    <w:qFormat/>
    <w:rsid w:val="00AE6EC5"/>
    <w:pPr>
      <w:keepNext/>
      <w:numPr>
        <w:ilvl w:val="3"/>
        <w:numId w:val="3"/>
      </w:numPr>
      <w:spacing w:before="240" w:after="60" w:line="240" w:lineRule="atLeast"/>
      <w:ind w:left="1021" w:hanging="851"/>
      <w:jc w:val="both"/>
      <w:outlineLvl w:val="3"/>
    </w:pPr>
    <w:rPr>
      <w:rFonts w:ascii="Verdana" w:eastAsiaTheme="minorHAnsi" w:hAnsi="Verdana"/>
      <w:b/>
      <w:bCs/>
      <w:sz w:val="18"/>
      <w:szCs w:val="28"/>
      <w:lang w:val="nl-BE" w:eastAsia="en-US"/>
    </w:rPr>
  </w:style>
  <w:style w:type="paragraph" w:styleId="Kop5">
    <w:name w:val="heading 5"/>
    <w:basedOn w:val="Standaard"/>
    <w:next w:val="Standaard"/>
    <w:link w:val="Kop5Char"/>
    <w:uiPriority w:val="4"/>
    <w:semiHidden/>
    <w:unhideWhenUsed/>
    <w:qFormat/>
    <w:rsid w:val="00AE6EC5"/>
    <w:pPr>
      <w:numPr>
        <w:ilvl w:val="4"/>
        <w:numId w:val="3"/>
      </w:numPr>
      <w:spacing w:before="240" w:after="60" w:line="240" w:lineRule="atLeast"/>
      <w:ind w:left="1191" w:hanging="1021"/>
      <w:jc w:val="both"/>
      <w:outlineLvl w:val="4"/>
    </w:pPr>
    <w:rPr>
      <w:rFonts w:ascii="Verdana" w:eastAsiaTheme="minorHAnsi" w:hAnsi="Verdana" w:cstheme="minorBidi"/>
      <w:bCs/>
      <w:iCs/>
      <w:sz w:val="18"/>
      <w:szCs w:val="26"/>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931C3"/>
    <w:pPr>
      <w:jc w:val="both"/>
    </w:pPr>
    <w:rPr>
      <w:b/>
      <w:smallCaps/>
      <w:sz w:val="22"/>
    </w:rPr>
  </w:style>
  <w:style w:type="paragraph" w:customStyle="1" w:styleId="SVTitel">
    <w:name w:val="SV Titel"/>
    <w:basedOn w:val="Standaard"/>
    <w:rsid w:val="006931C3"/>
    <w:pPr>
      <w:jc w:val="both"/>
    </w:pPr>
    <w:rPr>
      <w:i/>
      <w:sz w:val="22"/>
    </w:rPr>
  </w:style>
  <w:style w:type="paragraph" w:customStyle="1" w:styleId="StandaardSV">
    <w:name w:val="Standaard SV"/>
    <w:basedOn w:val="Standaard"/>
    <w:rsid w:val="006931C3"/>
    <w:pPr>
      <w:jc w:val="both"/>
    </w:pPr>
    <w:rPr>
      <w:sz w:val="22"/>
    </w:rPr>
  </w:style>
  <w:style w:type="character" w:customStyle="1" w:styleId="Kop1Char">
    <w:name w:val="Kop 1 Char"/>
    <w:basedOn w:val="Standaardalinea-lettertype"/>
    <w:link w:val="Kop1"/>
    <w:uiPriority w:val="4"/>
    <w:rsid w:val="00AE6EC5"/>
    <w:rPr>
      <w:rFonts w:ascii="Verdana" w:eastAsiaTheme="majorEastAsia" w:hAnsi="Verdana" w:cstheme="majorBidi"/>
      <w:bCs/>
      <w:caps/>
      <w:color w:val="009EE0"/>
      <w:szCs w:val="28"/>
    </w:rPr>
  </w:style>
  <w:style w:type="character" w:customStyle="1" w:styleId="Kop2Char">
    <w:name w:val="Kop 2 Char"/>
    <w:basedOn w:val="Standaardalinea-lettertype"/>
    <w:link w:val="Kop2"/>
    <w:uiPriority w:val="4"/>
    <w:rsid w:val="00AE6EC5"/>
    <w:rPr>
      <w:rFonts w:ascii="Verdana" w:eastAsiaTheme="majorEastAsia" w:hAnsi="Verdana" w:cstheme="majorBidi"/>
      <w:b/>
      <w:bCs/>
      <w:sz w:val="18"/>
      <w:szCs w:val="26"/>
    </w:rPr>
  </w:style>
  <w:style w:type="character" w:customStyle="1" w:styleId="Kop3Char">
    <w:name w:val="Kop 3 Char"/>
    <w:basedOn w:val="Standaardalinea-lettertype"/>
    <w:link w:val="Kop3"/>
    <w:uiPriority w:val="4"/>
    <w:rsid w:val="00AE6EC5"/>
    <w:rPr>
      <w:rFonts w:ascii="Verdana" w:eastAsiaTheme="majorEastAsia" w:hAnsi="Verdana" w:cstheme="majorBidi"/>
      <w:b/>
      <w:bCs/>
      <w:sz w:val="18"/>
    </w:rPr>
  </w:style>
  <w:style w:type="character" w:customStyle="1" w:styleId="Kop4Char">
    <w:name w:val="Kop 4 Char"/>
    <w:basedOn w:val="Standaardalinea-lettertype"/>
    <w:link w:val="Kop4"/>
    <w:uiPriority w:val="4"/>
    <w:semiHidden/>
    <w:rsid w:val="00AE6EC5"/>
    <w:rPr>
      <w:rFonts w:ascii="Verdana" w:hAnsi="Verdana" w:cs="Times New Roman"/>
      <w:b/>
      <w:bCs/>
      <w:sz w:val="18"/>
      <w:szCs w:val="28"/>
    </w:rPr>
  </w:style>
  <w:style w:type="character" w:customStyle="1" w:styleId="Kop5Char">
    <w:name w:val="Kop 5 Char"/>
    <w:basedOn w:val="Standaardalinea-lettertype"/>
    <w:link w:val="Kop5"/>
    <w:uiPriority w:val="4"/>
    <w:semiHidden/>
    <w:rsid w:val="00AE6EC5"/>
    <w:rPr>
      <w:rFonts w:ascii="Verdana" w:hAnsi="Verdana"/>
      <w:bCs/>
      <w:iCs/>
      <w:sz w:val="18"/>
      <w:szCs w:val="26"/>
    </w:rPr>
  </w:style>
  <w:style w:type="table" w:customStyle="1" w:styleId="LV-tabel">
    <w:name w:val="LV-tabel"/>
    <w:basedOn w:val="Standaardtabel"/>
    <w:uiPriority w:val="99"/>
    <w:qFormat/>
    <w:rsid w:val="00AE6EC5"/>
    <w:pPr>
      <w:spacing w:after="0" w:line="240" w:lineRule="auto"/>
      <w:jc w:val="right"/>
    </w:pPr>
    <w:rPr>
      <w:rFonts w:ascii="Verdana" w:eastAsia="Calibri" w:hAnsi="Verdana" w:cs="Calibri"/>
      <w:color w:val="3C3C3C"/>
      <w:sz w:val="14"/>
      <w:szCs w:val="20"/>
      <w:lang w:eastAsia="nl-BE"/>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Verdana" w:hAnsi="Verdana" w:hint="default"/>
        <w:b/>
        <w:i w:val="0"/>
        <w:color w:val="FFFFFF"/>
        <w:sz w:val="14"/>
        <w:szCs w:val="14"/>
        <w:u w:color="FFFFFF"/>
      </w:rPr>
      <w:tblPr/>
      <w:tcPr>
        <w:tcBorders>
          <w:top w:val="nil"/>
          <w:left w:val="nil"/>
          <w:bottom w:val="nil"/>
          <w:right w:val="nil"/>
          <w:insideH w:val="nil"/>
          <w:insideV w:val="nil"/>
          <w:tl2br w:val="nil"/>
          <w:tr2bl w:val="nil"/>
        </w:tcBorders>
        <w:shd w:val="clear" w:color="auto" w:fill="878787"/>
      </w:tcPr>
    </w:tblStylePr>
    <w:tblStylePr w:type="lastRow">
      <w:rPr>
        <w:color w:val="FFFFFF" w:themeColor="background1"/>
        <w:u w:color="FFFFFF" w:themeColor="background1"/>
      </w:rPr>
      <w:tblPr/>
      <w:tcPr>
        <w:tcBorders>
          <w:top w:val="nil"/>
          <w:left w:val="nil"/>
          <w:bottom w:val="nil"/>
          <w:right w:val="nil"/>
          <w:insideH w:val="nil"/>
          <w:insideV w:val="nil"/>
          <w:tl2br w:val="nil"/>
          <w:tr2bl w:val="nil"/>
        </w:tcBorders>
        <w:shd w:val="clear" w:color="auto" w:fill="9D9D9D"/>
      </w:tcPr>
    </w:tblStylePr>
    <w:tblStylePr w:type="firstCol">
      <w:pPr>
        <w:wordWrap/>
        <w:jc w:val="left"/>
      </w:pPr>
      <w:tblPr/>
      <w:tcPr>
        <w:shd w:val="clear" w:color="auto" w:fill="F4EED8"/>
      </w:tcPr>
    </w:tblStylePr>
    <w:tblStylePr w:type="band1Horz">
      <w:rPr>
        <w:color w:val="58595B"/>
      </w:rPr>
    </w:tblStylePr>
    <w:tblStylePr w:type="band2Horz">
      <w:rPr>
        <w:color w:val="58595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1C3"/>
    <w:pPr>
      <w:spacing w:after="0" w:line="240" w:lineRule="auto"/>
    </w:pPr>
    <w:rPr>
      <w:rFonts w:ascii="Times New Roman" w:eastAsia="Times New Roman" w:hAnsi="Times New Roman" w:cs="Times New Roman"/>
      <w:sz w:val="24"/>
      <w:szCs w:val="20"/>
      <w:lang w:val="nl-NL" w:eastAsia="nl-NL"/>
    </w:rPr>
  </w:style>
  <w:style w:type="paragraph" w:styleId="Kop1">
    <w:name w:val="heading 1"/>
    <w:next w:val="Standaard"/>
    <w:link w:val="Kop1Char"/>
    <w:uiPriority w:val="4"/>
    <w:qFormat/>
    <w:rsid w:val="00AE6EC5"/>
    <w:pPr>
      <w:keepNext/>
      <w:keepLines/>
      <w:numPr>
        <w:numId w:val="3"/>
      </w:numPr>
      <w:spacing w:before="300" w:after="180" w:line="320" w:lineRule="exact"/>
      <w:outlineLvl w:val="0"/>
    </w:pPr>
    <w:rPr>
      <w:rFonts w:ascii="Verdana" w:eastAsiaTheme="majorEastAsia" w:hAnsi="Verdana" w:cstheme="majorBidi"/>
      <w:bCs/>
      <w:caps/>
      <w:color w:val="009EE0"/>
      <w:szCs w:val="28"/>
    </w:rPr>
  </w:style>
  <w:style w:type="paragraph" w:styleId="Kop2">
    <w:name w:val="heading 2"/>
    <w:next w:val="Standaard"/>
    <w:link w:val="Kop2Char"/>
    <w:uiPriority w:val="4"/>
    <w:unhideWhenUsed/>
    <w:qFormat/>
    <w:rsid w:val="00AE6EC5"/>
    <w:pPr>
      <w:keepNext/>
      <w:keepLines/>
      <w:numPr>
        <w:ilvl w:val="1"/>
        <w:numId w:val="3"/>
      </w:numPr>
      <w:spacing w:before="300" w:after="180" w:line="240" w:lineRule="exact"/>
      <w:outlineLvl w:val="1"/>
    </w:pPr>
    <w:rPr>
      <w:rFonts w:ascii="Verdana" w:eastAsiaTheme="majorEastAsia" w:hAnsi="Verdana" w:cstheme="majorBidi"/>
      <w:b/>
      <w:bCs/>
      <w:sz w:val="18"/>
      <w:szCs w:val="26"/>
    </w:rPr>
  </w:style>
  <w:style w:type="paragraph" w:styleId="Kop3">
    <w:name w:val="heading 3"/>
    <w:next w:val="Standaard"/>
    <w:link w:val="Kop3Char"/>
    <w:uiPriority w:val="4"/>
    <w:unhideWhenUsed/>
    <w:qFormat/>
    <w:rsid w:val="00AE6EC5"/>
    <w:pPr>
      <w:keepNext/>
      <w:keepLines/>
      <w:numPr>
        <w:ilvl w:val="2"/>
        <w:numId w:val="3"/>
      </w:numPr>
      <w:spacing w:before="300" w:after="180" w:line="240" w:lineRule="exact"/>
      <w:ind w:left="850" w:hanging="680"/>
      <w:outlineLvl w:val="2"/>
    </w:pPr>
    <w:rPr>
      <w:rFonts w:ascii="Verdana" w:eastAsiaTheme="majorEastAsia" w:hAnsi="Verdana" w:cstheme="majorBidi"/>
      <w:b/>
      <w:bCs/>
      <w:sz w:val="18"/>
    </w:rPr>
  </w:style>
  <w:style w:type="paragraph" w:styleId="Kop4">
    <w:name w:val="heading 4"/>
    <w:basedOn w:val="Standaard"/>
    <w:next w:val="Standaard"/>
    <w:link w:val="Kop4Char"/>
    <w:uiPriority w:val="4"/>
    <w:semiHidden/>
    <w:unhideWhenUsed/>
    <w:qFormat/>
    <w:rsid w:val="00AE6EC5"/>
    <w:pPr>
      <w:keepNext/>
      <w:numPr>
        <w:ilvl w:val="3"/>
        <w:numId w:val="3"/>
      </w:numPr>
      <w:spacing w:before="240" w:after="60" w:line="240" w:lineRule="atLeast"/>
      <w:ind w:left="1021" w:hanging="851"/>
      <w:jc w:val="both"/>
      <w:outlineLvl w:val="3"/>
    </w:pPr>
    <w:rPr>
      <w:rFonts w:ascii="Verdana" w:eastAsiaTheme="minorHAnsi" w:hAnsi="Verdana"/>
      <w:b/>
      <w:bCs/>
      <w:sz w:val="18"/>
      <w:szCs w:val="28"/>
      <w:lang w:val="nl-BE" w:eastAsia="en-US"/>
    </w:rPr>
  </w:style>
  <w:style w:type="paragraph" w:styleId="Kop5">
    <w:name w:val="heading 5"/>
    <w:basedOn w:val="Standaard"/>
    <w:next w:val="Standaard"/>
    <w:link w:val="Kop5Char"/>
    <w:uiPriority w:val="4"/>
    <w:semiHidden/>
    <w:unhideWhenUsed/>
    <w:qFormat/>
    <w:rsid w:val="00AE6EC5"/>
    <w:pPr>
      <w:numPr>
        <w:ilvl w:val="4"/>
        <w:numId w:val="3"/>
      </w:numPr>
      <w:spacing w:before="240" w:after="60" w:line="240" w:lineRule="atLeast"/>
      <w:ind w:left="1191" w:hanging="1021"/>
      <w:jc w:val="both"/>
      <w:outlineLvl w:val="4"/>
    </w:pPr>
    <w:rPr>
      <w:rFonts w:ascii="Verdana" w:eastAsiaTheme="minorHAnsi" w:hAnsi="Verdana" w:cstheme="minorBidi"/>
      <w:bCs/>
      <w:iCs/>
      <w:sz w:val="18"/>
      <w:szCs w:val="26"/>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931C3"/>
    <w:pPr>
      <w:jc w:val="both"/>
    </w:pPr>
    <w:rPr>
      <w:b/>
      <w:smallCaps/>
      <w:sz w:val="22"/>
    </w:rPr>
  </w:style>
  <w:style w:type="paragraph" w:customStyle="1" w:styleId="SVTitel">
    <w:name w:val="SV Titel"/>
    <w:basedOn w:val="Standaard"/>
    <w:rsid w:val="006931C3"/>
    <w:pPr>
      <w:jc w:val="both"/>
    </w:pPr>
    <w:rPr>
      <w:i/>
      <w:sz w:val="22"/>
    </w:rPr>
  </w:style>
  <w:style w:type="paragraph" w:customStyle="1" w:styleId="StandaardSV">
    <w:name w:val="Standaard SV"/>
    <w:basedOn w:val="Standaard"/>
    <w:rsid w:val="006931C3"/>
    <w:pPr>
      <w:jc w:val="both"/>
    </w:pPr>
    <w:rPr>
      <w:sz w:val="22"/>
    </w:rPr>
  </w:style>
  <w:style w:type="character" w:customStyle="1" w:styleId="Kop1Char">
    <w:name w:val="Kop 1 Char"/>
    <w:basedOn w:val="Standaardalinea-lettertype"/>
    <w:link w:val="Kop1"/>
    <w:uiPriority w:val="4"/>
    <w:rsid w:val="00AE6EC5"/>
    <w:rPr>
      <w:rFonts w:ascii="Verdana" w:eastAsiaTheme="majorEastAsia" w:hAnsi="Verdana" w:cstheme="majorBidi"/>
      <w:bCs/>
      <w:caps/>
      <w:color w:val="009EE0"/>
      <w:szCs w:val="28"/>
    </w:rPr>
  </w:style>
  <w:style w:type="character" w:customStyle="1" w:styleId="Kop2Char">
    <w:name w:val="Kop 2 Char"/>
    <w:basedOn w:val="Standaardalinea-lettertype"/>
    <w:link w:val="Kop2"/>
    <w:uiPriority w:val="4"/>
    <w:rsid w:val="00AE6EC5"/>
    <w:rPr>
      <w:rFonts w:ascii="Verdana" w:eastAsiaTheme="majorEastAsia" w:hAnsi="Verdana" w:cstheme="majorBidi"/>
      <w:b/>
      <w:bCs/>
      <w:sz w:val="18"/>
      <w:szCs w:val="26"/>
    </w:rPr>
  </w:style>
  <w:style w:type="character" w:customStyle="1" w:styleId="Kop3Char">
    <w:name w:val="Kop 3 Char"/>
    <w:basedOn w:val="Standaardalinea-lettertype"/>
    <w:link w:val="Kop3"/>
    <w:uiPriority w:val="4"/>
    <w:rsid w:val="00AE6EC5"/>
    <w:rPr>
      <w:rFonts w:ascii="Verdana" w:eastAsiaTheme="majorEastAsia" w:hAnsi="Verdana" w:cstheme="majorBidi"/>
      <w:b/>
      <w:bCs/>
      <w:sz w:val="18"/>
    </w:rPr>
  </w:style>
  <w:style w:type="character" w:customStyle="1" w:styleId="Kop4Char">
    <w:name w:val="Kop 4 Char"/>
    <w:basedOn w:val="Standaardalinea-lettertype"/>
    <w:link w:val="Kop4"/>
    <w:uiPriority w:val="4"/>
    <w:semiHidden/>
    <w:rsid w:val="00AE6EC5"/>
    <w:rPr>
      <w:rFonts w:ascii="Verdana" w:hAnsi="Verdana" w:cs="Times New Roman"/>
      <w:b/>
      <w:bCs/>
      <w:sz w:val="18"/>
      <w:szCs w:val="28"/>
    </w:rPr>
  </w:style>
  <w:style w:type="character" w:customStyle="1" w:styleId="Kop5Char">
    <w:name w:val="Kop 5 Char"/>
    <w:basedOn w:val="Standaardalinea-lettertype"/>
    <w:link w:val="Kop5"/>
    <w:uiPriority w:val="4"/>
    <w:semiHidden/>
    <w:rsid w:val="00AE6EC5"/>
    <w:rPr>
      <w:rFonts w:ascii="Verdana" w:hAnsi="Verdana"/>
      <w:bCs/>
      <w:iCs/>
      <w:sz w:val="18"/>
      <w:szCs w:val="26"/>
    </w:rPr>
  </w:style>
  <w:style w:type="table" w:customStyle="1" w:styleId="LV-tabel">
    <w:name w:val="LV-tabel"/>
    <w:basedOn w:val="Standaardtabel"/>
    <w:uiPriority w:val="99"/>
    <w:qFormat/>
    <w:rsid w:val="00AE6EC5"/>
    <w:pPr>
      <w:spacing w:after="0" w:line="240" w:lineRule="auto"/>
      <w:jc w:val="right"/>
    </w:pPr>
    <w:rPr>
      <w:rFonts w:ascii="Verdana" w:eastAsia="Calibri" w:hAnsi="Verdana" w:cs="Calibri"/>
      <w:color w:val="3C3C3C"/>
      <w:sz w:val="14"/>
      <w:szCs w:val="20"/>
      <w:lang w:eastAsia="nl-BE"/>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Verdana" w:hAnsi="Verdana" w:hint="default"/>
        <w:b/>
        <w:i w:val="0"/>
        <w:color w:val="FFFFFF"/>
        <w:sz w:val="14"/>
        <w:szCs w:val="14"/>
        <w:u w:color="FFFFFF"/>
      </w:rPr>
      <w:tblPr/>
      <w:tcPr>
        <w:tcBorders>
          <w:top w:val="nil"/>
          <w:left w:val="nil"/>
          <w:bottom w:val="nil"/>
          <w:right w:val="nil"/>
          <w:insideH w:val="nil"/>
          <w:insideV w:val="nil"/>
          <w:tl2br w:val="nil"/>
          <w:tr2bl w:val="nil"/>
        </w:tcBorders>
        <w:shd w:val="clear" w:color="auto" w:fill="878787"/>
      </w:tcPr>
    </w:tblStylePr>
    <w:tblStylePr w:type="lastRow">
      <w:rPr>
        <w:color w:val="FFFFFF" w:themeColor="background1"/>
        <w:u w:color="FFFFFF" w:themeColor="background1"/>
      </w:rPr>
      <w:tblPr/>
      <w:tcPr>
        <w:tcBorders>
          <w:top w:val="nil"/>
          <w:left w:val="nil"/>
          <w:bottom w:val="nil"/>
          <w:right w:val="nil"/>
          <w:insideH w:val="nil"/>
          <w:insideV w:val="nil"/>
          <w:tl2br w:val="nil"/>
          <w:tr2bl w:val="nil"/>
        </w:tcBorders>
        <w:shd w:val="clear" w:color="auto" w:fill="9D9D9D"/>
      </w:tcPr>
    </w:tblStylePr>
    <w:tblStylePr w:type="firstCol">
      <w:pPr>
        <w:wordWrap/>
        <w:jc w:val="left"/>
      </w:pPr>
      <w:tblPr/>
      <w:tcPr>
        <w:shd w:val="clear" w:color="auto" w:fill="F4EED8"/>
      </w:tcPr>
    </w:tblStylePr>
    <w:tblStylePr w:type="band1Horz">
      <w:rPr>
        <w:color w:val="58595B"/>
      </w:rPr>
    </w:tblStylePr>
    <w:tblStylePr w:type="band2Horz">
      <w:rPr>
        <w:color w:val="58595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6579">
      <w:bodyDiv w:val="1"/>
      <w:marLeft w:val="0"/>
      <w:marRight w:val="0"/>
      <w:marTop w:val="0"/>
      <w:marBottom w:val="0"/>
      <w:divBdr>
        <w:top w:val="none" w:sz="0" w:space="0" w:color="auto"/>
        <w:left w:val="none" w:sz="0" w:space="0" w:color="auto"/>
        <w:bottom w:val="none" w:sz="0" w:space="0" w:color="auto"/>
        <w:right w:val="none" w:sz="0" w:space="0" w:color="auto"/>
      </w:divBdr>
    </w:div>
    <w:div w:id="21070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Verstrynge, Johan</dc:creator>
  <cp:lastModifiedBy>Nathalie De Keyzer</cp:lastModifiedBy>
  <cp:revision>4</cp:revision>
  <dcterms:created xsi:type="dcterms:W3CDTF">2013-01-10T13:47:00Z</dcterms:created>
  <dcterms:modified xsi:type="dcterms:W3CDTF">2013-01-11T06:46:00Z</dcterms:modified>
</cp:coreProperties>
</file>