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Pr="00E36A68" w:rsidRDefault="00045E43" w:rsidP="00045E43">
      <w:pPr>
        <w:rPr>
          <w:b/>
          <w:smallCaps/>
          <w:sz w:val="22"/>
          <w:szCs w:val="22"/>
        </w:rPr>
      </w:pPr>
      <w:r w:rsidRPr="00E36A68">
        <w:rPr>
          <w:b/>
          <w:smallCaps/>
          <w:sz w:val="22"/>
          <w:szCs w:val="22"/>
        </w:rPr>
        <w:t>antwoord</w:t>
      </w:r>
    </w:p>
    <w:p w:rsidR="00045E43" w:rsidRPr="00E36A68" w:rsidRDefault="00045E43" w:rsidP="00045E43">
      <w:pPr>
        <w:rPr>
          <w:sz w:val="22"/>
          <w:szCs w:val="22"/>
        </w:rPr>
      </w:pPr>
      <w:r w:rsidRPr="00E36A68">
        <w:rPr>
          <w:sz w:val="22"/>
          <w:szCs w:val="22"/>
        </w:rPr>
        <w:t xml:space="preserve">op vraag nr. </w:t>
      </w:r>
      <w:r w:rsidR="008B66FE" w:rsidRPr="00E36A68">
        <w:rPr>
          <w:sz w:val="22"/>
          <w:szCs w:val="22"/>
        </w:rPr>
        <w:t>114</w:t>
      </w:r>
      <w:r w:rsidRPr="00E36A68">
        <w:rPr>
          <w:sz w:val="22"/>
          <w:szCs w:val="22"/>
        </w:rPr>
        <w:t xml:space="preserve"> van </w:t>
      </w:r>
      <w:r w:rsidR="008B66FE" w:rsidRPr="00E36A68">
        <w:rPr>
          <w:sz w:val="22"/>
          <w:szCs w:val="22"/>
        </w:rPr>
        <w:t>29 november 2012</w:t>
      </w:r>
    </w:p>
    <w:p w:rsidR="005431C7" w:rsidRDefault="00045E43" w:rsidP="00045E43">
      <w:pPr>
        <w:rPr>
          <w:sz w:val="22"/>
        </w:rPr>
      </w:pPr>
      <w:r w:rsidRPr="00E36A68">
        <w:rPr>
          <w:sz w:val="22"/>
          <w:szCs w:val="22"/>
        </w:rPr>
        <w:t xml:space="preserve">van </w:t>
      </w:r>
      <w:proofErr w:type="spellStart"/>
      <w:r w:rsidR="00E23648">
        <w:rPr>
          <w:b/>
          <w:smallCaps/>
          <w:spacing w:val="-3"/>
          <w:sz w:val="22"/>
          <w:szCs w:val="22"/>
        </w:rPr>
        <w:t>lode</w:t>
      </w:r>
      <w:proofErr w:type="spellEnd"/>
      <w:r w:rsidR="00E23648">
        <w:rPr>
          <w:b/>
          <w:smallCaps/>
          <w:spacing w:val="-3"/>
          <w:sz w:val="22"/>
          <w:szCs w:val="22"/>
        </w:rPr>
        <w:t xml:space="preserve"> </w:t>
      </w:r>
      <w:proofErr w:type="spellStart"/>
      <w:r w:rsidR="00E23648">
        <w:rPr>
          <w:b/>
          <w:smallCaps/>
          <w:spacing w:val="-3"/>
          <w:sz w:val="22"/>
          <w:szCs w:val="22"/>
        </w:rPr>
        <w:t>vereeck</w:t>
      </w:r>
      <w:proofErr w:type="spellEnd"/>
    </w:p>
    <w:p w:rsidR="005431C7" w:rsidRDefault="005431C7" w:rsidP="009976C1">
      <w:pPr>
        <w:pBdr>
          <w:bottom w:val="single" w:sz="4" w:space="1" w:color="auto"/>
        </w:pBdr>
        <w:jc w:val="both"/>
        <w:rPr>
          <w:sz w:val="22"/>
        </w:rPr>
      </w:pPr>
    </w:p>
    <w:p w:rsidR="006A324D" w:rsidRPr="003F450F" w:rsidRDefault="006A324D" w:rsidP="006114A2">
      <w:pPr>
        <w:rPr>
          <w:sz w:val="22"/>
          <w:szCs w:val="22"/>
        </w:rPr>
      </w:pPr>
    </w:p>
    <w:p w:rsidR="00AB0AA4" w:rsidRPr="003F450F" w:rsidRDefault="00AB0AA4" w:rsidP="006114A2">
      <w:pPr>
        <w:rPr>
          <w:sz w:val="22"/>
          <w:szCs w:val="22"/>
        </w:rPr>
        <w:sectPr w:rsidR="00AB0AA4" w:rsidRPr="003F450F">
          <w:pgSz w:w="11906" w:h="16838"/>
          <w:pgMar w:top="1417" w:right="1417" w:bottom="1417" w:left="1417" w:header="708" w:footer="708" w:gutter="0"/>
          <w:cols w:space="708"/>
          <w:docGrid w:linePitch="360"/>
        </w:sectPr>
      </w:pPr>
    </w:p>
    <w:p w:rsidR="007B527F" w:rsidRDefault="007B527F" w:rsidP="006114A2">
      <w:pPr>
        <w:rPr>
          <w:sz w:val="22"/>
          <w:szCs w:val="22"/>
        </w:rPr>
      </w:pPr>
    </w:p>
    <w:p w:rsidR="008616E4" w:rsidRPr="008616E4" w:rsidRDefault="008616E4" w:rsidP="008616E4">
      <w:pPr>
        <w:tabs>
          <w:tab w:val="left" w:pos="284"/>
          <w:tab w:val="left" w:pos="567"/>
          <w:tab w:val="left" w:pos="851"/>
          <w:tab w:val="center" w:pos="4111"/>
          <w:tab w:val="right" w:pos="8789"/>
        </w:tabs>
        <w:jc w:val="both"/>
        <w:rPr>
          <w:b/>
          <w:i/>
          <w:sz w:val="22"/>
          <w:szCs w:val="22"/>
        </w:rPr>
      </w:pPr>
      <w:r w:rsidRPr="00A236EB">
        <w:rPr>
          <w:b/>
          <w:i/>
          <w:sz w:val="22"/>
          <w:szCs w:val="22"/>
        </w:rPr>
        <w:t>Elementen van antwoord, voor wat betreft de bevoegdheden van de minister-president t.a.v. het b</w:t>
      </w:r>
      <w:r w:rsidRPr="00A236EB">
        <w:rPr>
          <w:b/>
          <w:i/>
          <w:sz w:val="22"/>
          <w:szCs w:val="22"/>
        </w:rPr>
        <w:t>e</w:t>
      </w:r>
      <w:r w:rsidRPr="00A236EB">
        <w:rPr>
          <w:b/>
          <w:i/>
          <w:sz w:val="22"/>
          <w:szCs w:val="22"/>
        </w:rPr>
        <w:t>leidsdomein "</w:t>
      </w:r>
      <w:r>
        <w:rPr>
          <w:b/>
          <w:i/>
          <w:sz w:val="22"/>
          <w:szCs w:val="22"/>
        </w:rPr>
        <w:t>Economie” (EWI)</w:t>
      </w:r>
    </w:p>
    <w:p w:rsidR="008616E4" w:rsidRDefault="008616E4" w:rsidP="006114A2">
      <w:pPr>
        <w:rPr>
          <w:sz w:val="22"/>
          <w:szCs w:val="22"/>
        </w:rPr>
      </w:pPr>
    </w:p>
    <w:p w:rsidR="008B66FE" w:rsidRDefault="008B66FE" w:rsidP="00A3553C">
      <w:pPr>
        <w:pStyle w:val="Plattetekst2"/>
        <w:numPr>
          <w:ilvl w:val="0"/>
          <w:numId w:val="5"/>
        </w:numPr>
        <w:tabs>
          <w:tab w:val="clear" w:pos="284"/>
          <w:tab w:val="clear" w:pos="567"/>
          <w:tab w:val="clear" w:pos="851"/>
          <w:tab w:val="clear" w:pos="1134"/>
          <w:tab w:val="clear" w:pos="4253"/>
          <w:tab w:val="clear" w:pos="8278"/>
        </w:tabs>
        <w:spacing w:after="0" w:line="240" w:lineRule="auto"/>
        <w:jc w:val="both"/>
        <w:rPr>
          <w:rFonts w:ascii="Times New Roman" w:hAnsi="Times New Roman"/>
          <w:sz w:val="22"/>
        </w:rPr>
      </w:pPr>
      <w:r w:rsidRPr="00302BE7">
        <w:rPr>
          <w:rFonts w:ascii="Times New Roman" w:hAnsi="Times New Roman"/>
          <w:sz w:val="22"/>
        </w:rPr>
        <w:t xml:space="preserve">Binnen het beleidsdomein Economie, Wetenschap en Innovatie </w:t>
      </w:r>
      <w:r w:rsidR="00010900">
        <w:rPr>
          <w:rFonts w:ascii="Times New Roman" w:hAnsi="Times New Roman"/>
          <w:sz w:val="22"/>
        </w:rPr>
        <w:t xml:space="preserve">(EWI) </w:t>
      </w:r>
      <w:r w:rsidRPr="00302BE7">
        <w:rPr>
          <w:rFonts w:ascii="Times New Roman" w:hAnsi="Times New Roman"/>
          <w:sz w:val="22"/>
        </w:rPr>
        <w:t>is het Agentschap Onde</w:t>
      </w:r>
      <w:r w:rsidRPr="00302BE7">
        <w:rPr>
          <w:rFonts w:ascii="Times New Roman" w:hAnsi="Times New Roman"/>
          <w:sz w:val="22"/>
        </w:rPr>
        <w:t>r</w:t>
      </w:r>
      <w:r w:rsidRPr="00302BE7">
        <w:rPr>
          <w:rFonts w:ascii="Times New Roman" w:hAnsi="Times New Roman"/>
          <w:sz w:val="22"/>
        </w:rPr>
        <w:t>nemen als management- en certificeringsautoriteit verantwoordelijk voor het beheer van de Eur</w:t>
      </w:r>
      <w:r w:rsidRPr="00302BE7">
        <w:rPr>
          <w:rFonts w:ascii="Times New Roman" w:hAnsi="Times New Roman"/>
          <w:sz w:val="22"/>
        </w:rPr>
        <w:t>o</w:t>
      </w:r>
      <w:r w:rsidRPr="00302BE7">
        <w:rPr>
          <w:rFonts w:ascii="Times New Roman" w:hAnsi="Times New Roman"/>
          <w:sz w:val="22"/>
        </w:rPr>
        <w:t xml:space="preserve">pese middelen in het kader van het Europees Fonds voor Regionale Ontwikkeling (EFRO). Bij de start van elke </w:t>
      </w:r>
      <w:r>
        <w:rPr>
          <w:rFonts w:ascii="Times New Roman" w:hAnsi="Times New Roman"/>
          <w:sz w:val="22"/>
        </w:rPr>
        <w:t>7</w:t>
      </w:r>
      <w:r w:rsidRPr="00302BE7">
        <w:rPr>
          <w:rFonts w:ascii="Times New Roman" w:hAnsi="Times New Roman"/>
          <w:sz w:val="22"/>
        </w:rPr>
        <w:t xml:space="preserve">-jarige programmaperiode, in casu 2000-2006 en 2007-2013, stelt Europa een voorschot ter beschikking. </w:t>
      </w:r>
      <w:r>
        <w:rPr>
          <w:rFonts w:ascii="Times New Roman" w:hAnsi="Times New Roman"/>
          <w:sz w:val="22"/>
        </w:rPr>
        <w:t>De uitvoeringsperiode van een programma loopt telkens nog 2 jaar la</w:t>
      </w:r>
      <w:r>
        <w:rPr>
          <w:rFonts w:ascii="Times New Roman" w:hAnsi="Times New Roman"/>
          <w:sz w:val="22"/>
        </w:rPr>
        <w:t>n</w:t>
      </w:r>
      <w:r>
        <w:rPr>
          <w:rFonts w:ascii="Times New Roman" w:hAnsi="Times New Roman"/>
          <w:sz w:val="22"/>
        </w:rPr>
        <w:t xml:space="preserve">ger waardoor er steeds een </w:t>
      </w:r>
      <w:r w:rsidR="00010900">
        <w:rPr>
          <w:rFonts w:ascii="Times New Roman" w:hAnsi="Times New Roman"/>
          <w:sz w:val="22"/>
        </w:rPr>
        <w:t>overlappings</w:t>
      </w:r>
      <w:r>
        <w:rPr>
          <w:rFonts w:ascii="Times New Roman" w:hAnsi="Times New Roman"/>
          <w:sz w:val="22"/>
        </w:rPr>
        <w:t xml:space="preserve">periode is. </w:t>
      </w:r>
      <w:r w:rsidRPr="00302BE7">
        <w:rPr>
          <w:rFonts w:ascii="Times New Roman" w:hAnsi="Times New Roman"/>
          <w:sz w:val="22"/>
        </w:rPr>
        <w:t>De door de projectuitvoerders verrichte uitg</w:t>
      </w:r>
      <w:r w:rsidRPr="00302BE7">
        <w:rPr>
          <w:rFonts w:ascii="Times New Roman" w:hAnsi="Times New Roman"/>
          <w:sz w:val="22"/>
        </w:rPr>
        <w:t>a</w:t>
      </w:r>
      <w:r w:rsidRPr="00302BE7">
        <w:rPr>
          <w:rFonts w:ascii="Times New Roman" w:hAnsi="Times New Roman"/>
          <w:sz w:val="22"/>
        </w:rPr>
        <w:t>ven worden gecontroleerd en vervolgens wordt de EFRO-steun uitbetaald</w:t>
      </w:r>
      <w:r>
        <w:rPr>
          <w:rFonts w:ascii="Times New Roman" w:hAnsi="Times New Roman"/>
          <w:sz w:val="22"/>
        </w:rPr>
        <w:t xml:space="preserve">. De gecontroleerde en gecertificeerde uitgaven worden door de certificeringsautoriteit periodiek aan Europa overgemaakt waarna Europa bijkomende middelen ter beschikking stelt. </w:t>
      </w:r>
    </w:p>
    <w:p w:rsidR="008B66FE" w:rsidRDefault="008B66FE" w:rsidP="00010900">
      <w:pPr>
        <w:pStyle w:val="Plattetekst2"/>
        <w:tabs>
          <w:tab w:val="clear" w:pos="284"/>
          <w:tab w:val="clear" w:pos="567"/>
          <w:tab w:val="clear" w:pos="851"/>
          <w:tab w:val="clear" w:pos="1134"/>
          <w:tab w:val="clear" w:pos="4253"/>
          <w:tab w:val="clear" w:pos="8278"/>
        </w:tabs>
        <w:spacing w:after="0" w:line="240" w:lineRule="auto"/>
        <w:ind w:left="360"/>
        <w:rPr>
          <w:rFonts w:ascii="Times New Roman" w:hAnsi="Times New Roman"/>
          <w:sz w:val="22"/>
        </w:rPr>
      </w:pPr>
    </w:p>
    <w:p w:rsidR="008B66FE" w:rsidRDefault="008B66FE" w:rsidP="00010900">
      <w:pPr>
        <w:pStyle w:val="Plattetekst2"/>
        <w:tabs>
          <w:tab w:val="clear" w:pos="284"/>
          <w:tab w:val="clear" w:pos="567"/>
          <w:tab w:val="clear" w:pos="851"/>
          <w:tab w:val="clear" w:pos="1134"/>
          <w:tab w:val="clear" w:pos="4253"/>
          <w:tab w:val="clear" w:pos="8278"/>
        </w:tabs>
        <w:spacing w:after="0" w:line="240" w:lineRule="auto"/>
        <w:ind w:left="360"/>
        <w:rPr>
          <w:rFonts w:ascii="Times New Roman" w:hAnsi="Times New Roman"/>
          <w:sz w:val="22"/>
        </w:rPr>
      </w:pPr>
      <w:r>
        <w:rPr>
          <w:rFonts w:ascii="Times New Roman" w:hAnsi="Times New Roman"/>
          <w:sz w:val="22"/>
        </w:rPr>
        <w:t>Overzicht van de belegde EFRO-middelen</w:t>
      </w:r>
      <w:r w:rsidR="00010900">
        <w:rPr>
          <w:rFonts w:ascii="Times New Roman" w:hAnsi="Times New Roman"/>
          <w:sz w:val="22"/>
        </w:rPr>
        <w:t xml:space="preserve"> (bedragen in duizend euro)</w:t>
      </w:r>
      <w:r>
        <w:rPr>
          <w:rFonts w:ascii="Times New Roman" w:hAnsi="Times New Roman"/>
          <w:sz w:val="22"/>
        </w:rPr>
        <w:t>:</w:t>
      </w:r>
    </w:p>
    <w:p w:rsidR="008B66FE" w:rsidRDefault="008B66FE" w:rsidP="00010900">
      <w:pPr>
        <w:pStyle w:val="Plattetekst2"/>
        <w:tabs>
          <w:tab w:val="clear" w:pos="284"/>
          <w:tab w:val="clear" w:pos="567"/>
          <w:tab w:val="clear" w:pos="851"/>
          <w:tab w:val="clear" w:pos="1134"/>
          <w:tab w:val="clear" w:pos="4253"/>
          <w:tab w:val="clear" w:pos="8278"/>
        </w:tabs>
        <w:spacing w:after="0" w:line="240" w:lineRule="auto"/>
        <w:ind w:left="360"/>
        <w:rPr>
          <w:rFonts w:ascii="Times New Roman" w:hAnsi="Times New Roman"/>
          <w:sz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080"/>
      </w:tblGrid>
      <w:tr w:rsidR="008B66FE" w:rsidRPr="00010900" w:rsidTr="00010900">
        <w:trPr>
          <w:trHeight w:val="70"/>
          <w:jc w:val="center"/>
        </w:trPr>
        <w:tc>
          <w:tcPr>
            <w:tcW w:w="766" w:type="dxa"/>
            <w:shd w:val="pct10" w:color="auto" w:fill="auto"/>
          </w:tcPr>
          <w:p w:rsidR="008B66FE" w:rsidRPr="00010900"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b/>
                <w:sz w:val="22"/>
              </w:rPr>
            </w:pPr>
            <w:r w:rsidRPr="00010900">
              <w:rPr>
                <w:rFonts w:ascii="Times New Roman" w:hAnsi="Times New Roman"/>
                <w:b/>
                <w:sz w:val="22"/>
              </w:rPr>
              <w:t>Jaar</w:t>
            </w:r>
          </w:p>
        </w:tc>
        <w:tc>
          <w:tcPr>
            <w:tcW w:w="2080" w:type="dxa"/>
            <w:shd w:val="pct10" w:color="auto" w:fill="auto"/>
          </w:tcPr>
          <w:p w:rsidR="008B66FE" w:rsidRPr="00010900"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b/>
                <w:sz w:val="22"/>
              </w:rPr>
            </w:pPr>
            <w:r w:rsidRPr="00010900">
              <w:rPr>
                <w:rFonts w:ascii="Times New Roman" w:hAnsi="Times New Roman"/>
                <w:b/>
                <w:sz w:val="22"/>
              </w:rPr>
              <w:t>Gemiddeld bedrag</w:t>
            </w:r>
          </w:p>
        </w:tc>
      </w:tr>
      <w:tr w:rsidR="008B66FE" w:rsidRPr="000B0282" w:rsidTr="00010900">
        <w:trPr>
          <w:trHeight w:val="70"/>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2005</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Pr>
                <w:rFonts w:ascii="Times New Roman" w:hAnsi="Times New Roman"/>
                <w:sz w:val="22"/>
              </w:rPr>
              <w:t>15.724</w:t>
            </w:r>
          </w:p>
        </w:tc>
      </w:tr>
      <w:tr w:rsidR="008B66FE" w:rsidRPr="000B0282" w:rsidTr="00010900">
        <w:trPr>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2006</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Pr>
                <w:rFonts w:ascii="Times New Roman" w:hAnsi="Times New Roman"/>
                <w:sz w:val="22"/>
              </w:rPr>
              <w:t>17.225</w:t>
            </w:r>
          </w:p>
        </w:tc>
      </w:tr>
      <w:tr w:rsidR="008B66FE" w:rsidRPr="000B0282" w:rsidTr="00010900">
        <w:trPr>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2007</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Pr>
                <w:rFonts w:ascii="Times New Roman" w:hAnsi="Times New Roman"/>
                <w:sz w:val="22"/>
              </w:rPr>
              <w:t>17.904</w:t>
            </w:r>
          </w:p>
        </w:tc>
      </w:tr>
      <w:tr w:rsidR="008B66FE" w:rsidRPr="000B0282" w:rsidTr="00010900">
        <w:trPr>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2008</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30.892</w:t>
            </w:r>
          </w:p>
        </w:tc>
      </w:tr>
      <w:tr w:rsidR="008B66FE" w:rsidRPr="000B0282" w:rsidTr="00010900">
        <w:trPr>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2009</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24.259</w:t>
            </w:r>
          </w:p>
        </w:tc>
      </w:tr>
      <w:tr w:rsidR="008B66FE" w:rsidRPr="000B0282" w:rsidTr="00010900">
        <w:trPr>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2010</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19.</w:t>
            </w:r>
            <w:r>
              <w:rPr>
                <w:rFonts w:ascii="Times New Roman" w:hAnsi="Times New Roman"/>
                <w:sz w:val="22"/>
              </w:rPr>
              <w:t>894</w:t>
            </w:r>
          </w:p>
        </w:tc>
      </w:tr>
      <w:tr w:rsidR="008B66FE" w:rsidRPr="000B0282" w:rsidTr="00010900">
        <w:trPr>
          <w:jc w:val="center"/>
        </w:trPr>
        <w:tc>
          <w:tcPr>
            <w:tcW w:w="766"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sidRPr="000B0282">
              <w:rPr>
                <w:rFonts w:ascii="Times New Roman" w:hAnsi="Times New Roman"/>
                <w:sz w:val="22"/>
              </w:rPr>
              <w:t>2011</w:t>
            </w:r>
          </w:p>
        </w:tc>
        <w:tc>
          <w:tcPr>
            <w:tcW w:w="2080" w:type="dxa"/>
            <w:shd w:val="clear" w:color="auto" w:fill="auto"/>
          </w:tcPr>
          <w:p w:rsidR="008B66FE" w:rsidRPr="000B0282" w:rsidRDefault="008B66FE" w:rsidP="00010900">
            <w:pPr>
              <w:pStyle w:val="Plattetekst2"/>
              <w:tabs>
                <w:tab w:val="clear" w:pos="284"/>
                <w:tab w:val="clear" w:pos="567"/>
                <w:tab w:val="clear" w:pos="851"/>
                <w:tab w:val="clear" w:pos="1134"/>
                <w:tab w:val="clear" w:pos="4253"/>
                <w:tab w:val="clear" w:pos="8278"/>
              </w:tabs>
              <w:spacing w:after="0" w:line="240" w:lineRule="auto"/>
              <w:jc w:val="center"/>
              <w:rPr>
                <w:rFonts w:ascii="Times New Roman" w:hAnsi="Times New Roman"/>
                <w:sz w:val="22"/>
              </w:rPr>
            </w:pPr>
            <w:r>
              <w:rPr>
                <w:rFonts w:ascii="Times New Roman" w:hAnsi="Times New Roman"/>
                <w:sz w:val="22"/>
              </w:rPr>
              <w:t>23.954</w:t>
            </w:r>
          </w:p>
        </w:tc>
      </w:tr>
    </w:tbl>
    <w:p w:rsidR="008B66FE" w:rsidRDefault="008B66FE" w:rsidP="00010900">
      <w:pPr>
        <w:pStyle w:val="Plattetekst2"/>
        <w:tabs>
          <w:tab w:val="clear" w:pos="284"/>
          <w:tab w:val="clear" w:pos="567"/>
          <w:tab w:val="clear" w:pos="851"/>
          <w:tab w:val="clear" w:pos="1134"/>
          <w:tab w:val="clear" w:pos="4253"/>
          <w:tab w:val="clear" w:pos="8278"/>
        </w:tabs>
        <w:spacing w:after="0" w:line="240" w:lineRule="auto"/>
        <w:ind w:left="360"/>
        <w:rPr>
          <w:rFonts w:ascii="Times New Roman" w:hAnsi="Times New Roman"/>
          <w:sz w:val="22"/>
        </w:rPr>
      </w:pPr>
    </w:p>
    <w:p w:rsidR="008B66FE" w:rsidRDefault="008B66FE" w:rsidP="00A3553C">
      <w:pPr>
        <w:pStyle w:val="Plattetekst2"/>
        <w:tabs>
          <w:tab w:val="clear" w:pos="284"/>
          <w:tab w:val="clear" w:pos="567"/>
          <w:tab w:val="clear" w:pos="851"/>
          <w:tab w:val="clear" w:pos="1134"/>
          <w:tab w:val="clear" w:pos="4253"/>
          <w:tab w:val="clear" w:pos="8278"/>
        </w:tabs>
        <w:spacing w:after="0" w:line="240" w:lineRule="auto"/>
        <w:ind w:left="360"/>
        <w:jc w:val="both"/>
        <w:rPr>
          <w:rFonts w:ascii="Times New Roman" w:hAnsi="Times New Roman"/>
          <w:sz w:val="22"/>
        </w:rPr>
      </w:pPr>
      <w:r>
        <w:rPr>
          <w:rFonts w:ascii="Times New Roman" w:hAnsi="Times New Roman"/>
          <w:sz w:val="22"/>
        </w:rPr>
        <w:t>Tot en met 2007 betreft het enkel EFRO-middelen van de programmaperiode 2000-2006 (uitd</w:t>
      </w:r>
      <w:r>
        <w:rPr>
          <w:rFonts w:ascii="Times New Roman" w:hAnsi="Times New Roman"/>
          <w:sz w:val="22"/>
        </w:rPr>
        <w:t>o</w:t>
      </w:r>
      <w:r>
        <w:rPr>
          <w:rFonts w:ascii="Times New Roman" w:hAnsi="Times New Roman"/>
          <w:sz w:val="22"/>
        </w:rPr>
        <w:t>vend begin 2009). Vanaf 2008 waren de EFRO-middelen voor de periode 2007-2013 ter beschi</w:t>
      </w:r>
      <w:r>
        <w:rPr>
          <w:rFonts w:ascii="Times New Roman" w:hAnsi="Times New Roman"/>
          <w:sz w:val="22"/>
        </w:rPr>
        <w:t>k</w:t>
      </w:r>
      <w:r>
        <w:rPr>
          <w:rFonts w:ascii="Times New Roman" w:hAnsi="Times New Roman"/>
          <w:sz w:val="22"/>
        </w:rPr>
        <w:t>king.</w:t>
      </w:r>
    </w:p>
    <w:p w:rsidR="008B66FE" w:rsidRDefault="008B66FE" w:rsidP="00A3553C">
      <w:pPr>
        <w:pStyle w:val="Plattetekst2"/>
        <w:tabs>
          <w:tab w:val="clear" w:pos="284"/>
          <w:tab w:val="clear" w:pos="567"/>
          <w:tab w:val="clear" w:pos="851"/>
          <w:tab w:val="clear" w:pos="1134"/>
          <w:tab w:val="clear" w:pos="4253"/>
          <w:tab w:val="clear" w:pos="8278"/>
        </w:tabs>
        <w:spacing w:after="0" w:line="240" w:lineRule="auto"/>
        <w:ind w:left="360"/>
        <w:jc w:val="both"/>
        <w:rPr>
          <w:rFonts w:ascii="Times New Roman" w:hAnsi="Times New Roman"/>
          <w:sz w:val="22"/>
        </w:rPr>
      </w:pPr>
    </w:p>
    <w:p w:rsidR="008B66FE" w:rsidRDefault="008B66FE" w:rsidP="00A3553C">
      <w:pPr>
        <w:pStyle w:val="Plattetekst2"/>
        <w:numPr>
          <w:ilvl w:val="0"/>
          <w:numId w:val="5"/>
        </w:numPr>
        <w:tabs>
          <w:tab w:val="clear" w:pos="284"/>
          <w:tab w:val="clear" w:pos="567"/>
          <w:tab w:val="clear" w:pos="851"/>
          <w:tab w:val="clear" w:pos="1134"/>
          <w:tab w:val="clear" w:pos="4253"/>
          <w:tab w:val="clear" w:pos="8278"/>
        </w:tabs>
        <w:spacing w:after="0" w:line="240" w:lineRule="auto"/>
        <w:jc w:val="both"/>
        <w:rPr>
          <w:rFonts w:ascii="Times New Roman" w:hAnsi="Times New Roman"/>
          <w:sz w:val="22"/>
        </w:rPr>
      </w:pPr>
      <w:r>
        <w:rPr>
          <w:rFonts w:ascii="Times New Roman" w:hAnsi="Times New Roman"/>
          <w:sz w:val="22"/>
        </w:rPr>
        <w:t xml:space="preserve">De EFRO-middelen werden belegd op kortlopende termijnrekeningen (gemiddelde looptijd van 1 maand) met </w:t>
      </w:r>
      <w:r w:rsidRPr="0066059C">
        <w:rPr>
          <w:rFonts w:ascii="Times New Roman" w:hAnsi="Times New Roman"/>
          <w:sz w:val="22"/>
        </w:rPr>
        <w:t>enkelvoudige interesten op eindvervaldag</w:t>
      </w:r>
      <w:r>
        <w:rPr>
          <w:rFonts w:ascii="Times New Roman" w:hAnsi="Times New Roman"/>
          <w:sz w:val="22"/>
        </w:rPr>
        <w:t>. De intrestvoet werd berekend op basis van de Euribor</w:t>
      </w:r>
      <w:r w:rsidR="00010900">
        <w:rPr>
          <w:rFonts w:ascii="Times New Roman" w:hAnsi="Times New Roman"/>
          <w:sz w:val="22"/>
        </w:rPr>
        <w:t>-</w:t>
      </w:r>
      <w:r>
        <w:rPr>
          <w:rFonts w:ascii="Times New Roman" w:hAnsi="Times New Roman"/>
          <w:sz w:val="22"/>
        </w:rPr>
        <w:t>rente in de overeenstemmende periode verhoogd met een marge bepaald door de bank.</w:t>
      </w:r>
    </w:p>
    <w:p w:rsidR="008B66FE" w:rsidRDefault="008B66FE" w:rsidP="00010900">
      <w:pPr>
        <w:pStyle w:val="Lijstalinea"/>
        <w:rPr>
          <w:rFonts w:ascii="Times New Roman" w:hAnsi="Times New Roman"/>
          <w:sz w:val="22"/>
        </w:rPr>
      </w:pPr>
    </w:p>
    <w:p w:rsidR="008B66FE" w:rsidRDefault="008B66FE" w:rsidP="00010900">
      <w:pPr>
        <w:pStyle w:val="Plattetekst2"/>
        <w:numPr>
          <w:ilvl w:val="0"/>
          <w:numId w:val="5"/>
        </w:numPr>
        <w:tabs>
          <w:tab w:val="clear" w:pos="284"/>
          <w:tab w:val="clear" w:pos="567"/>
          <w:tab w:val="clear" w:pos="851"/>
          <w:tab w:val="clear" w:pos="1134"/>
          <w:tab w:val="clear" w:pos="4253"/>
          <w:tab w:val="clear" w:pos="8278"/>
        </w:tabs>
        <w:spacing w:after="0" w:line="240" w:lineRule="auto"/>
        <w:rPr>
          <w:rFonts w:ascii="Times New Roman" w:hAnsi="Times New Roman"/>
          <w:sz w:val="22"/>
        </w:rPr>
      </w:pPr>
      <w:r w:rsidRPr="00932B4F">
        <w:rPr>
          <w:rFonts w:ascii="Times New Roman" w:hAnsi="Times New Roman"/>
          <w:sz w:val="22"/>
        </w:rPr>
        <w:t>O</w:t>
      </w:r>
      <w:r>
        <w:rPr>
          <w:rFonts w:ascii="Times New Roman" w:hAnsi="Times New Roman"/>
          <w:sz w:val="22"/>
        </w:rPr>
        <w:t xml:space="preserve">ntvangen intresten in </w:t>
      </w:r>
      <w:r w:rsidR="00010900">
        <w:rPr>
          <w:rFonts w:ascii="Times New Roman" w:hAnsi="Times New Roman"/>
          <w:sz w:val="22"/>
        </w:rPr>
        <w:t xml:space="preserve">de </w:t>
      </w:r>
      <w:r>
        <w:rPr>
          <w:rFonts w:ascii="Times New Roman" w:hAnsi="Times New Roman"/>
          <w:sz w:val="22"/>
        </w:rPr>
        <w:t xml:space="preserve">periode 2005-2011 </w:t>
      </w:r>
      <w:r w:rsidR="00010900">
        <w:rPr>
          <w:rFonts w:ascii="Times New Roman" w:hAnsi="Times New Roman"/>
          <w:sz w:val="22"/>
        </w:rPr>
        <w:t>(</w:t>
      </w:r>
      <w:r>
        <w:rPr>
          <w:rFonts w:ascii="Times New Roman" w:hAnsi="Times New Roman"/>
          <w:sz w:val="22"/>
        </w:rPr>
        <w:t>programmaperiode 2000-2006</w:t>
      </w:r>
      <w:r w:rsidR="00010900">
        <w:rPr>
          <w:rFonts w:ascii="Times New Roman" w:hAnsi="Times New Roman"/>
          <w:sz w:val="22"/>
        </w:rPr>
        <w:t>)</w:t>
      </w:r>
      <w:r>
        <w:rPr>
          <w:rFonts w:ascii="Times New Roman" w:hAnsi="Times New Roman"/>
          <w:sz w:val="22"/>
        </w:rPr>
        <w:t>:</w:t>
      </w:r>
      <w:r w:rsidR="00010900">
        <w:rPr>
          <w:rFonts w:ascii="Times New Roman" w:hAnsi="Times New Roman"/>
          <w:sz w:val="22"/>
        </w:rPr>
        <w:t xml:space="preserve"> € </w:t>
      </w:r>
      <w:r>
        <w:rPr>
          <w:rFonts w:ascii="Times New Roman" w:hAnsi="Times New Roman"/>
          <w:sz w:val="22"/>
        </w:rPr>
        <w:t>2.242.325</w:t>
      </w:r>
      <w:r w:rsidR="00010900">
        <w:rPr>
          <w:rFonts w:ascii="Times New Roman" w:hAnsi="Times New Roman"/>
          <w:sz w:val="22"/>
        </w:rPr>
        <w:t>;</w:t>
      </w:r>
    </w:p>
    <w:p w:rsidR="008B66FE" w:rsidRDefault="008B66FE" w:rsidP="00A3553C">
      <w:pPr>
        <w:pStyle w:val="Plattetekst2"/>
        <w:tabs>
          <w:tab w:val="clear" w:pos="284"/>
          <w:tab w:val="clear" w:pos="567"/>
          <w:tab w:val="clear" w:pos="851"/>
          <w:tab w:val="clear" w:pos="1134"/>
          <w:tab w:val="clear" w:pos="4253"/>
          <w:tab w:val="clear" w:pos="8278"/>
        </w:tabs>
        <w:spacing w:after="0" w:line="240" w:lineRule="auto"/>
        <w:ind w:left="426"/>
        <w:rPr>
          <w:rFonts w:ascii="Times New Roman" w:hAnsi="Times New Roman"/>
          <w:sz w:val="22"/>
        </w:rPr>
      </w:pPr>
      <w:r w:rsidRPr="00932B4F">
        <w:rPr>
          <w:rFonts w:ascii="Times New Roman" w:hAnsi="Times New Roman"/>
          <w:sz w:val="22"/>
        </w:rPr>
        <w:t>O</w:t>
      </w:r>
      <w:r>
        <w:rPr>
          <w:rFonts w:ascii="Times New Roman" w:hAnsi="Times New Roman"/>
          <w:sz w:val="22"/>
        </w:rPr>
        <w:t xml:space="preserve">ntvangen intresten in </w:t>
      </w:r>
      <w:r w:rsidR="00010900">
        <w:rPr>
          <w:rFonts w:ascii="Times New Roman" w:hAnsi="Times New Roman"/>
          <w:sz w:val="22"/>
        </w:rPr>
        <w:t xml:space="preserve">de </w:t>
      </w:r>
      <w:r>
        <w:rPr>
          <w:rFonts w:ascii="Times New Roman" w:hAnsi="Times New Roman"/>
          <w:sz w:val="22"/>
        </w:rPr>
        <w:t xml:space="preserve">periode 2005-2011 </w:t>
      </w:r>
      <w:r w:rsidR="00010900">
        <w:rPr>
          <w:rFonts w:ascii="Times New Roman" w:hAnsi="Times New Roman"/>
          <w:sz w:val="22"/>
        </w:rPr>
        <w:t>(</w:t>
      </w:r>
      <w:r>
        <w:rPr>
          <w:rFonts w:ascii="Times New Roman" w:hAnsi="Times New Roman"/>
          <w:sz w:val="22"/>
        </w:rPr>
        <w:t>programmaperiode 2007-2013</w:t>
      </w:r>
      <w:r w:rsidR="00010900">
        <w:rPr>
          <w:rFonts w:ascii="Times New Roman" w:hAnsi="Times New Roman"/>
          <w:sz w:val="22"/>
        </w:rPr>
        <w:t>)</w:t>
      </w:r>
      <w:r>
        <w:rPr>
          <w:rFonts w:ascii="Times New Roman" w:hAnsi="Times New Roman"/>
          <w:sz w:val="22"/>
        </w:rPr>
        <w:t>:</w:t>
      </w:r>
      <w:r w:rsidR="00010900">
        <w:rPr>
          <w:rFonts w:ascii="Times New Roman" w:hAnsi="Times New Roman"/>
          <w:sz w:val="22"/>
        </w:rPr>
        <w:t xml:space="preserve"> € </w:t>
      </w:r>
      <w:r>
        <w:rPr>
          <w:rFonts w:ascii="Times New Roman" w:hAnsi="Times New Roman"/>
          <w:sz w:val="22"/>
        </w:rPr>
        <w:t>610.572</w:t>
      </w:r>
      <w:r w:rsidR="00010900">
        <w:rPr>
          <w:rFonts w:ascii="Times New Roman" w:hAnsi="Times New Roman"/>
          <w:sz w:val="22"/>
        </w:rPr>
        <w:t>.</w:t>
      </w:r>
    </w:p>
    <w:p w:rsidR="008B66FE" w:rsidRPr="00932B4F" w:rsidRDefault="008B66FE" w:rsidP="00010900">
      <w:pPr>
        <w:pStyle w:val="Plattetekst2"/>
        <w:tabs>
          <w:tab w:val="clear" w:pos="284"/>
          <w:tab w:val="clear" w:pos="567"/>
          <w:tab w:val="clear" w:pos="851"/>
          <w:tab w:val="clear" w:pos="1134"/>
          <w:tab w:val="clear" w:pos="4253"/>
          <w:tab w:val="clear" w:pos="8278"/>
        </w:tabs>
        <w:spacing w:after="0" w:line="240" w:lineRule="auto"/>
        <w:rPr>
          <w:rFonts w:ascii="Times New Roman" w:hAnsi="Times New Roman"/>
          <w:sz w:val="22"/>
        </w:rPr>
      </w:pPr>
    </w:p>
    <w:p w:rsidR="008B66FE" w:rsidRPr="00825EF3" w:rsidRDefault="008B66FE" w:rsidP="00A3553C">
      <w:pPr>
        <w:numPr>
          <w:ilvl w:val="0"/>
          <w:numId w:val="5"/>
        </w:numPr>
        <w:autoSpaceDE w:val="0"/>
        <w:autoSpaceDN w:val="0"/>
        <w:adjustRightInd w:val="0"/>
        <w:jc w:val="both"/>
        <w:rPr>
          <w:sz w:val="22"/>
        </w:rPr>
      </w:pPr>
      <w:r w:rsidRPr="00825EF3">
        <w:rPr>
          <w:sz w:val="22"/>
        </w:rPr>
        <w:t xml:space="preserve">Betreffende </w:t>
      </w:r>
      <w:r w:rsidR="00010900">
        <w:rPr>
          <w:sz w:val="22"/>
        </w:rPr>
        <w:t xml:space="preserve">de </w:t>
      </w:r>
      <w:r w:rsidRPr="00825EF3">
        <w:rPr>
          <w:sz w:val="22"/>
        </w:rPr>
        <w:t xml:space="preserve">programmaperiode 2000-2006 bepaalt </w:t>
      </w:r>
      <w:r w:rsidR="00010900">
        <w:rPr>
          <w:sz w:val="22"/>
        </w:rPr>
        <w:t xml:space="preserve">art. </w:t>
      </w:r>
      <w:r w:rsidRPr="00825EF3">
        <w:rPr>
          <w:sz w:val="22"/>
        </w:rPr>
        <w:t>32 van Verordening 1260/1999 dat eventuele renteopbrengst van het voorschot door de betalingsautoriteit aan de middelen voor het bijstandspakket wordt toegevoegd. Per programma wordt de door het voorschot voortgebrachte rente aangemerkt als middelen van de betrokken lidstaat die, om het effect van de fondsen te ve</w:t>
      </w:r>
      <w:r w:rsidRPr="00825EF3">
        <w:rPr>
          <w:sz w:val="22"/>
        </w:rPr>
        <w:t>r</w:t>
      </w:r>
      <w:r w:rsidRPr="00825EF3">
        <w:rPr>
          <w:sz w:val="22"/>
        </w:rPr>
        <w:t xml:space="preserve">sterken, voor dezelfde doeleinden als het voorschot zelf dienen te worden gebruikt. In concreto werden de gegenereerde intresten aangewend voor de financiering van projecten passend binnen de operationele doelstellingen van de programma’s alsook voor uitgaven in het kader van </w:t>
      </w:r>
      <w:r>
        <w:rPr>
          <w:sz w:val="22"/>
        </w:rPr>
        <w:t xml:space="preserve">de </w:t>
      </w:r>
      <w:r>
        <w:rPr>
          <w:sz w:val="22"/>
        </w:rPr>
        <w:lastRenderedPageBreak/>
        <w:t xml:space="preserve">Technische Bijstand, zijnde het budget voorzien voor </w:t>
      </w:r>
      <w:r w:rsidRPr="00825EF3">
        <w:rPr>
          <w:sz w:val="22"/>
        </w:rPr>
        <w:t>het beheer van de programma’s</w:t>
      </w:r>
      <w:r>
        <w:rPr>
          <w:sz w:val="22"/>
        </w:rPr>
        <w:t xml:space="preserve"> (monitoring, evaluatie, communicatie, audit, …)</w:t>
      </w:r>
      <w:r w:rsidRPr="00825EF3">
        <w:rPr>
          <w:sz w:val="22"/>
        </w:rPr>
        <w:t>.</w:t>
      </w:r>
    </w:p>
    <w:p w:rsidR="008B66FE" w:rsidRDefault="008B66FE" w:rsidP="00010900">
      <w:pPr>
        <w:autoSpaceDE w:val="0"/>
        <w:autoSpaceDN w:val="0"/>
        <w:adjustRightInd w:val="0"/>
        <w:ind w:left="360"/>
        <w:rPr>
          <w:sz w:val="22"/>
        </w:rPr>
      </w:pPr>
    </w:p>
    <w:p w:rsidR="008B66FE" w:rsidRDefault="008B66FE" w:rsidP="00A3553C">
      <w:pPr>
        <w:autoSpaceDE w:val="0"/>
        <w:autoSpaceDN w:val="0"/>
        <w:adjustRightInd w:val="0"/>
        <w:ind w:left="360"/>
        <w:jc w:val="both"/>
        <w:rPr>
          <w:sz w:val="22"/>
        </w:rPr>
      </w:pPr>
      <w:r>
        <w:rPr>
          <w:sz w:val="22"/>
        </w:rPr>
        <w:t xml:space="preserve">Betreffende </w:t>
      </w:r>
      <w:r w:rsidR="00010900">
        <w:rPr>
          <w:sz w:val="22"/>
        </w:rPr>
        <w:t xml:space="preserve">de </w:t>
      </w:r>
      <w:r>
        <w:rPr>
          <w:sz w:val="22"/>
        </w:rPr>
        <w:t>programmaperiode 2007-2013 bepaalt art.</w:t>
      </w:r>
      <w:r w:rsidR="00010900">
        <w:rPr>
          <w:sz w:val="22"/>
        </w:rPr>
        <w:t xml:space="preserve"> </w:t>
      </w:r>
      <w:r>
        <w:rPr>
          <w:sz w:val="22"/>
        </w:rPr>
        <w:t xml:space="preserve">83 van Verordening 1083/2006 dat de </w:t>
      </w:r>
      <w:r w:rsidRPr="00CF6D7E">
        <w:rPr>
          <w:sz w:val="22"/>
        </w:rPr>
        <w:t>renteopbrengsten van de voorfinanciering voor het</w:t>
      </w:r>
      <w:r>
        <w:rPr>
          <w:sz w:val="22"/>
        </w:rPr>
        <w:t xml:space="preserve"> </w:t>
      </w:r>
      <w:r w:rsidRPr="00CF6D7E">
        <w:rPr>
          <w:sz w:val="22"/>
        </w:rPr>
        <w:t>betrokken operationele programma worden b</w:t>
      </w:r>
      <w:r w:rsidRPr="00CF6D7E">
        <w:rPr>
          <w:sz w:val="22"/>
        </w:rPr>
        <w:t>e</w:t>
      </w:r>
      <w:r w:rsidRPr="00CF6D7E">
        <w:rPr>
          <w:sz w:val="22"/>
        </w:rPr>
        <w:t>stemd, aangezien deze</w:t>
      </w:r>
      <w:r>
        <w:rPr>
          <w:sz w:val="22"/>
        </w:rPr>
        <w:t xml:space="preserve"> </w:t>
      </w:r>
      <w:r w:rsidRPr="00CF6D7E">
        <w:rPr>
          <w:sz w:val="22"/>
        </w:rPr>
        <w:t>worden beschouwd</w:t>
      </w:r>
      <w:r>
        <w:rPr>
          <w:sz w:val="22"/>
        </w:rPr>
        <w:t xml:space="preserve"> </w:t>
      </w:r>
      <w:r w:rsidRPr="00CF6D7E">
        <w:rPr>
          <w:sz w:val="22"/>
        </w:rPr>
        <w:t>als middelen voor de lidstaat</w:t>
      </w:r>
      <w:r>
        <w:rPr>
          <w:sz w:val="22"/>
        </w:rPr>
        <w:t xml:space="preserve"> in de vorm van </w:t>
      </w:r>
      <w:r w:rsidRPr="00CF6D7E">
        <w:rPr>
          <w:sz w:val="22"/>
        </w:rPr>
        <w:t>nationale</w:t>
      </w:r>
      <w:r>
        <w:rPr>
          <w:sz w:val="22"/>
        </w:rPr>
        <w:t xml:space="preserve"> o</w:t>
      </w:r>
      <w:r w:rsidRPr="00CF6D7E">
        <w:rPr>
          <w:sz w:val="22"/>
        </w:rPr>
        <w:t>verheidsbijdrage</w:t>
      </w:r>
      <w:r>
        <w:rPr>
          <w:sz w:val="22"/>
        </w:rPr>
        <w:t xml:space="preserve">. Deze opbrengsten </w:t>
      </w:r>
      <w:r w:rsidRPr="00CF6D7E">
        <w:rPr>
          <w:sz w:val="22"/>
        </w:rPr>
        <w:t>worden bij de Commissie gedeclareerd op</w:t>
      </w:r>
      <w:r>
        <w:rPr>
          <w:sz w:val="22"/>
        </w:rPr>
        <w:t xml:space="preserve"> </w:t>
      </w:r>
      <w:r w:rsidRPr="00CF6D7E">
        <w:rPr>
          <w:sz w:val="22"/>
        </w:rPr>
        <w:t>het tijdstip van de definitieve afsluiting van het operationele</w:t>
      </w:r>
      <w:r>
        <w:rPr>
          <w:sz w:val="22"/>
        </w:rPr>
        <w:t xml:space="preserve"> </w:t>
      </w:r>
      <w:r w:rsidRPr="00CF6D7E">
        <w:rPr>
          <w:sz w:val="22"/>
        </w:rPr>
        <w:t>programma.</w:t>
      </w:r>
      <w:r>
        <w:rPr>
          <w:sz w:val="22"/>
        </w:rPr>
        <w:t xml:space="preserve"> De intresten van de lopende programmap</w:t>
      </w:r>
      <w:r>
        <w:rPr>
          <w:sz w:val="22"/>
        </w:rPr>
        <w:t>e</w:t>
      </w:r>
      <w:r>
        <w:rPr>
          <w:sz w:val="22"/>
        </w:rPr>
        <w:t>riode 2007-2013 werden nog niet aangewend.</w:t>
      </w:r>
    </w:p>
    <w:p w:rsidR="008616E4" w:rsidRDefault="008616E4" w:rsidP="00010900">
      <w:pPr>
        <w:autoSpaceDE w:val="0"/>
        <w:autoSpaceDN w:val="0"/>
        <w:adjustRightInd w:val="0"/>
        <w:ind w:left="360"/>
        <w:rPr>
          <w:sz w:val="22"/>
        </w:rPr>
      </w:pPr>
    </w:p>
    <w:p w:rsidR="008616E4" w:rsidRDefault="008616E4" w:rsidP="008616E4">
      <w:pPr>
        <w:tabs>
          <w:tab w:val="left" w:pos="284"/>
          <w:tab w:val="left" w:pos="567"/>
          <w:tab w:val="left" w:pos="851"/>
          <w:tab w:val="center" w:pos="4111"/>
          <w:tab w:val="right" w:pos="8789"/>
        </w:tabs>
        <w:jc w:val="both"/>
        <w:rPr>
          <w:b/>
          <w:i/>
          <w:sz w:val="22"/>
          <w:szCs w:val="22"/>
        </w:rPr>
      </w:pPr>
      <w:r w:rsidRPr="00A236EB">
        <w:rPr>
          <w:b/>
          <w:i/>
          <w:sz w:val="22"/>
          <w:szCs w:val="22"/>
        </w:rPr>
        <w:t>Elementen van antwoord, voor wat betreft de bevoegdheden van de minister-president t.a.v. het b</w:t>
      </w:r>
      <w:r w:rsidRPr="00A236EB">
        <w:rPr>
          <w:b/>
          <w:i/>
          <w:sz w:val="22"/>
          <w:szCs w:val="22"/>
        </w:rPr>
        <w:t>e</w:t>
      </w:r>
      <w:r w:rsidRPr="00A236EB">
        <w:rPr>
          <w:b/>
          <w:i/>
          <w:sz w:val="22"/>
          <w:szCs w:val="22"/>
        </w:rPr>
        <w:t>leidsdomein "</w:t>
      </w:r>
      <w:r>
        <w:rPr>
          <w:b/>
          <w:i/>
          <w:sz w:val="22"/>
          <w:szCs w:val="22"/>
        </w:rPr>
        <w:t>Landbouw en Visserij” (LV)</w:t>
      </w:r>
    </w:p>
    <w:p w:rsidR="002C04CB" w:rsidRDefault="002C04CB" w:rsidP="00010900">
      <w:pPr>
        <w:autoSpaceDE w:val="0"/>
        <w:autoSpaceDN w:val="0"/>
        <w:adjustRightInd w:val="0"/>
        <w:ind w:left="360"/>
        <w:rPr>
          <w:sz w:val="22"/>
        </w:rPr>
      </w:pPr>
    </w:p>
    <w:p w:rsidR="002C04CB" w:rsidRPr="00E80C20" w:rsidRDefault="002C04CB" w:rsidP="002C04CB">
      <w:pPr>
        <w:pStyle w:val="SVTitel"/>
        <w:numPr>
          <w:ilvl w:val="0"/>
          <w:numId w:val="6"/>
        </w:numPr>
        <w:rPr>
          <w:i w:val="0"/>
        </w:rPr>
      </w:pPr>
    </w:p>
    <w:tbl>
      <w:tblPr>
        <w:tblW w:w="8726" w:type="dxa"/>
        <w:tblInd w:w="708" w:type="dxa"/>
        <w:tblCellMar>
          <w:left w:w="70" w:type="dxa"/>
          <w:right w:w="70" w:type="dxa"/>
        </w:tblCellMar>
        <w:tblLook w:val="04A0" w:firstRow="1" w:lastRow="0" w:firstColumn="1" w:lastColumn="0" w:noHBand="0" w:noVBand="1"/>
      </w:tblPr>
      <w:tblGrid>
        <w:gridCol w:w="1096"/>
        <w:gridCol w:w="1071"/>
        <w:gridCol w:w="1071"/>
        <w:gridCol w:w="1071"/>
        <w:gridCol w:w="1071"/>
        <w:gridCol w:w="1071"/>
        <w:gridCol w:w="1071"/>
        <w:gridCol w:w="1220"/>
      </w:tblGrid>
      <w:tr w:rsidR="002C04CB" w:rsidRPr="002C04CB" w:rsidTr="002C04CB">
        <w:trPr>
          <w:trHeight w:val="240"/>
        </w:trPr>
        <w:tc>
          <w:tcPr>
            <w:tcW w:w="1080" w:type="dxa"/>
            <w:tcBorders>
              <w:top w:val="nil"/>
              <w:left w:val="nil"/>
              <w:bottom w:val="single" w:sz="4" w:space="0" w:color="auto"/>
              <w:right w:val="nil"/>
            </w:tcBorders>
            <w:shd w:val="clear" w:color="auto" w:fill="auto"/>
            <w:noWrap/>
            <w:vAlign w:val="center"/>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BELEGD   BEDRAG</w:t>
            </w:r>
          </w:p>
        </w:tc>
        <w:tc>
          <w:tcPr>
            <w:tcW w:w="1071"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c>
          <w:tcPr>
            <w:tcW w:w="1071"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c>
          <w:tcPr>
            <w:tcW w:w="1071"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c>
          <w:tcPr>
            <w:tcW w:w="1071"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c>
          <w:tcPr>
            <w:tcW w:w="1071"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c>
          <w:tcPr>
            <w:tcW w:w="1071"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c>
          <w:tcPr>
            <w:tcW w:w="1220" w:type="dxa"/>
            <w:tcBorders>
              <w:top w:val="nil"/>
              <w:left w:val="nil"/>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p>
        </w:tc>
      </w:tr>
      <w:tr w:rsidR="002C04CB" w:rsidRPr="002C04CB" w:rsidTr="002C04CB">
        <w:trPr>
          <w:trHeight w:val="255"/>
        </w:trPr>
        <w:tc>
          <w:tcPr>
            <w:tcW w:w="1080" w:type="dxa"/>
            <w:tcBorders>
              <w:top w:val="nil"/>
              <w:left w:val="single" w:sz="4" w:space="0" w:color="auto"/>
              <w:bottom w:val="single" w:sz="4" w:space="0" w:color="auto"/>
              <w:right w:val="nil"/>
            </w:tcBorders>
            <w:shd w:val="clear" w:color="auto" w:fill="auto"/>
            <w:noWrap/>
            <w:vAlign w:val="center"/>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JAARTAL</w:t>
            </w:r>
          </w:p>
        </w:tc>
        <w:tc>
          <w:tcPr>
            <w:tcW w:w="1071"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1/1/2005</w:t>
            </w:r>
          </w:p>
        </w:tc>
        <w:tc>
          <w:tcPr>
            <w:tcW w:w="1071"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1/1/2006</w:t>
            </w:r>
          </w:p>
        </w:tc>
        <w:tc>
          <w:tcPr>
            <w:tcW w:w="1071"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1/1/2007</w:t>
            </w:r>
          </w:p>
        </w:tc>
        <w:tc>
          <w:tcPr>
            <w:tcW w:w="1071"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1/1/2008</w:t>
            </w:r>
          </w:p>
        </w:tc>
        <w:tc>
          <w:tcPr>
            <w:tcW w:w="1071"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1/1/2009</w:t>
            </w:r>
          </w:p>
        </w:tc>
        <w:tc>
          <w:tcPr>
            <w:tcW w:w="1071"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1/1/2010</w:t>
            </w:r>
          </w:p>
        </w:tc>
        <w:tc>
          <w:tcPr>
            <w:tcW w:w="1220" w:type="dxa"/>
            <w:tcBorders>
              <w:top w:val="double" w:sz="6" w:space="0" w:color="auto"/>
              <w:left w:val="single" w:sz="4" w:space="0" w:color="auto"/>
              <w:bottom w:val="single" w:sz="4" w:space="0" w:color="auto"/>
              <w:right w:val="nil"/>
            </w:tcBorders>
            <w:shd w:val="clear" w:color="auto" w:fill="auto"/>
            <w:noWrap/>
            <w:vAlign w:val="center"/>
            <w:hideMark/>
          </w:tcPr>
          <w:p w:rsidR="002C04CB" w:rsidRPr="002C04CB" w:rsidRDefault="002C04CB" w:rsidP="00E55610">
            <w:pPr>
              <w:rPr>
                <w:bCs/>
                <w:color w:val="000000"/>
                <w:sz w:val="20"/>
                <w:szCs w:val="20"/>
                <w:lang w:val="nl-BE" w:eastAsia="nl-BE"/>
              </w:rPr>
            </w:pPr>
            <w:r w:rsidRPr="002C04CB">
              <w:rPr>
                <w:bCs/>
                <w:color w:val="000000"/>
                <w:sz w:val="20"/>
                <w:szCs w:val="20"/>
                <w:lang w:val="nl-BE" w:eastAsia="nl-BE"/>
              </w:rPr>
              <w:t xml:space="preserve"> 1/1/2011</w:t>
            </w:r>
          </w:p>
        </w:tc>
      </w:tr>
      <w:tr w:rsidR="002C04CB" w:rsidRPr="002C04CB" w:rsidTr="002C04CB">
        <w:trPr>
          <w:trHeight w:val="225"/>
        </w:trPr>
        <w:tc>
          <w:tcPr>
            <w:tcW w:w="1080" w:type="dxa"/>
            <w:tcBorders>
              <w:top w:val="single" w:sz="8" w:space="0" w:color="auto"/>
              <w:left w:val="double" w:sz="6" w:space="0" w:color="auto"/>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71" w:type="dxa"/>
            <w:tcBorders>
              <w:top w:val="single" w:sz="8" w:space="0" w:color="auto"/>
              <w:left w:val="single" w:sz="4" w:space="0" w:color="auto"/>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71" w:type="dxa"/>
            <w:tcBorders>
              <w:top w:val="single" w:sz="8"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71" w:type="dxa"/>
            <w:tcBorders>
              <w:top w:val="single" w:sz="8"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71" w:type="dxa"/>
            <w:tcBorders>
              <w:top w:val="single" w:sz="8"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71" w:type="dxa"/>
            <w:tcBorders>
              <w:top w:val="single" w:sz="8"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71" w:type="dxa"/>
            <w:tcBorders>
              <w:top w:val="single" w:sz="8"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220" w:type="dxa"/>
            <w:tcBorders>
              <w:top w:val="single" w:sz="8" w:space="0" w:color="auto"/>
              <w:left w:val="single" w:sz="4" w:space="0" w:color="auto"/>
              <w:bottom w:val="nil"/>
              <w:right w:val="double" w:sz="6"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r>
      <w:tr w:rsidR="002C04CB" w:rsidRPr="002C04CB" w:rsidTr="002C04CB">
        <w:trPr>
          <w:trHeight w:val="225"/>
        </w:trPr>
        <w:tc>
          <w:tcPr>
            <w:tcW w:w="1080" w:type="dxa"/>
            <w:tcBorders>
              <w:top w:val="nil"/>
              <w:left w:val="double" w:sz="6" w:space="0" w:color="auto"/>
              <w:bottom w:val="nil"/>
              <w:right w:val="nil"/>
            </w:tcBorders>
            <w:shd w:val="clear" w:color="auto" w:fill="auto"/>
            <w:noWrap/>
            <w:vAlign w:val="bottom"/>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EOGFL</w:t>
            </w:r>
          </w:p>
        </w:tc>
        <w:tc>
          <w:tcPr>
            <w:tcW w:w="1071" w:type="dxa"/>
            <w:tcBorders>
              <w:top w:val="nil"/>
              <w:left w:val="single" w:sz="4" w:space="0" w:color="auto"/>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1.535.055</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1.559.620</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1.106.777</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1.083.095</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1.156.301</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1.166.795</w:t>
            </w:r>
          </w:p>
        </w:tc>
        <w:tc>
          <w:tcPr>
            <w:tcW w:w="1220" w:type="dxa"/>
            <w:tcBorders>
              <w:top w:val="nil"/>
              <w:left w:val="nil"/>
              <w:bottom w:val="nil"/>
              <w:right w:val="double" w:sz="6"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1.172.145</w:t>
            </w:r>
          </w:p>
        </w:tc>
      </w:tr>
      <w:tr w:rsidR="002C04CB" w:rsidRPr="002C04CB" w:rsidTr="002C04CB">
        <w:trPr>
          <w:trHeight w:val="240"/>
        </w:trPr>
        <w:tc>
          <w:tcPr>
            <w:tcW w:w="1080" w:type="dxa"/>
            <w:tcBorders>
              <w:top w:val="nil"/>
              <w:left w:val="double" w:sz="6" w:space="0" w:color="auto"/>
              <w:bottom w:val="nil"/>
              <w:right w:val="nil"/>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p w:rsidR="002C04CB" w:rsidRPr="002C04CB" w:rsidRDefault="002C04CB" w:rsidP="00E55610">
            <w:pPr>
              <w:rPr>
                <w:b/>
                <w:color w:val="000000"/>
                <w:sz w:val="20"/>
                <w:szCs w:val="20"/>
                <w:lang w:val="nl-BE" w:eastAsia="nl-BE"/>
              </w:rPr>
            </w:pPr>
            <w:r w:rsidRPr="002C04CB">
              <w:rPr>
                <w:b/>
                <w:color w:val="000000"/>
                <w:sz w:val="20"/>
                <w:szCs w:val="20"/>
                <w:lang w:val="nl-BE" w:eastAsia="nl-BE"/>
              </w:rPr>
              <w:t xml:space="preserve">FIOV/EVF </w:t>
            </w:r>
          </w:p>
        </w:tc>
        <w:tc>
          <w:tcPr>
            <w:tcW w:w="1071" w:type="dxa"/>
            <w:tcBorders>
              <w:top w:val="nil"/>
              <w:left w:val="single" w:sz="4" w:space="0" w:color="auto"/>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208.874</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630.316 </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6.484.384</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7.000.000</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7.490.000</w:t>
            </w:r>
          </w:p>
        </w:tc>
        <w:tc>
          <w:tcPr>
            <w:tcW w:w="1071"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2.900.000</w:t>
            </w:r>
          </w:p>
        </w:tc>
        <w:tc>
          <w:tcPr>
            <w:tcW w:w="1220" w:type="dxa"/>
            <w:tcBorders>
              <w:top w:val="nil"/>
              <w:left w:val="nil"/>
              <w:bottom w:val="nil"/>
              <w:right w:val="double" w:sz="6"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2.600.000</w:t>
            </w:r>
          </w:p>
        </w:tc>
      </w:tr>
      <w:tr w:rsidR="002C04CB" w:rsidRPr="002C04CB" w:rsidTr="002C04CB">
        <w:trPr>
          <w:trHeight w:val="240"/>
        </w:trPr>
        <w:tc>
          <w:tcPr>
            <w:tcW w:w="1080" w:type="dxa"/>
            <w:tcBorders>
              <w:top w:val="nil"/>
              <w:left w:val="double" w:sz="6" w:space="0" w:color="auto"/>
              <w:bottom w:val="double" w:sz="6" w:space="0" w:color="auto"/>
              <w:right w:val="nil"/>
            </w:tcBorders>
            <w:shd w:val="clear" w:color="auto" w:fill="auto"/>
            <w:noWrap/>
            <w:vAlign w:val="bottom"/>
          </w:tcPr>
          <w:p w:rsidR="002C04CB" w:rsidRPr="002C04CB" w:rsidRDefault="002C04CB" w:rsidP="00E55610">
            <w:pPr>
              <w:rPr>
                <w:color w:val="000000"/>
                <w:sz w:val="20"/>
                <w:szCs w:val="20"/>
                <w:lang w:val="nl-BE" w:eastAsia="nl-BE"/>
              </w:rPr>
            </w:pPr>
          </w:p>
          <w:p w:rsidR="002C04CB" w:rsidRPr="002C04CB" w:rsidRDefault="002C04CB" w:rsidP="00E55610">
            <w:pPr>
              <w:rPr>
                <w:b/>
                <w:color w:val="000000"/>
                <w:sz w:val="20"/>
                <w:szCs w:val="20"/>
                <w:lang w:val="nl-BE" w:eastAsia="nl-BE"/>
              </w:rPr>
            </w:pPr>
            <w:r w:rsidRPr="002C04CB">
              <w:rPr>
                <w:b/>
                <w:color w:val="000000"/>
                <w:sz w:val="20"/>
                <w:szCs w:val="20"/>
                <w:lang w:val="nl-BE" w:eastAsia="nl-BE"/>
              </w:rPr>
              <w:t>LEADER</w:t>
            </w:r>
          </w:p>
        </w:tc>
        <w:tc>
          <w:tcPr>
            <w:tcW w:w="1071" w:type="dxa"/>
            <w:tcBorders>
              <w:top w:val="nil"/>
              <w:left w:val="single" w:sz="4" w:space="0" w:color="auto"/>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278</w:t>
            </w:r>
          </w:p>
        </w:tc>
        <w:tc>
          <w:tcPr>
            <w:tcW w:w="1071"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0</w:t>
            </w:r>
          </w:p>
        </w:tc>
        <w:tc>
          <w:tcPr>
            <w:tcW w:w="1071"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364.255</w:t>
            </w:r>
          </w:p>
        </w:tc>
        <w:tc>
          <w:tcPr>
            <w:tcW w:w="1071"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120.000</w:t>
            </w:r>
          </w:p>
        </w:tc>
        <w:tc>
          <w:tcPr>
            <w:tcW w:w="1071"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393.670</w:t>
            </w:r>
          </w:p>
        </w:tc>
        <w:tc>
          <w:tcPr>
            <w:tcW w:w="1071"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394.493</w:t>
            </w:r>
          </w:p>
        </w:tc>
        <w:tc>
          <w:tcPr>
            <w:tcW w:w="1220" w:type="dxa"/>
            <w:tcBorders>
              <w:top w:val="nil"/>
              <w:left w:val="nil"/>
              <w:bottom w:val="double" w:sz="6" w:space="0" w:color="auto"/>
              <w:right w:val="double" w:sz="6" w:space="0" w:color="auto"/>
            </w:tcBorders>
            <w:shd w:val="clear" w:color="auto" w:fill="auto"/>
            <w:noWrap/>
            <w:vAlign w:val="bottom"/>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0</w:t>
            </w:r>
          </w:p>
        </w:tc>
      </w:tr>
    </w:tbl>
    <w:p w:rsidR="002C04CB" w:rsidRPr="00196D41" w:rsidRDefault="002C04CB" w:rsidP="002C04CB">
      <w:pPr>
        <w:pStyle w:val="SVTitel"/>
        <w:rPr>
          <w:i w:val="0"/>
        </w:rPr>
      </w:pPr>
    </w:p>
    <w:p w:rsidR="002C04CB" w:rsidRPr="00E80C20" w:rsidRDefault="002C04CB" w:rsidP="002C04CB">
      <w:pPr>
        <w:pStyle w:val="SVTitel"/>
        <w:numPr>
          <w:ilvl w:val="0"/>
          <w:numId w:val="6"/>
        </w:numPr>
        <w:rPr>
          <w:i w:val="0"/>
        </w:rPr>
      </w:pPr>
      <w:r w:rsidRPr="00E80C20">
        <w:rPr>
          <w:i w:val="0"/>
        </w:rPr>
        <w:t>De middelen werden belegd op een beleggingsrekening tegen een intrest die op het moment van de herbelegging op de markt gangbaar was. De beleggingsperiode hing af van de noodzakelijke beschikbaarheid en varieerde van 14 dagen tot 6 maanden.</w:t>
      </w:r>
    </w:p>
    <w:p w:rsidR="002C04CB" w:rsidRPr="00196D41" w:rsidRDefault="002C04CB" w:rsidP="002C04CB">
      <w:pPr>
        <w:pStyle w:val="SVTitel"/>
        <w:rPr>
          <w:i w:val="0"/>
        </w:rPr>
      </w:pPr>
    </w:p>
    <w:p w:rsidR="002C04CB" w:rsidRPr="00E80C20" w:rsidRDefault="002C04CB" w:rsidP="002C04CB">
      <w:pPr>
        <w:pStyle w:val="SVTitel"/>
        <w:numPr>
          <w:ilvl w:val="0"/>
          <w:numId w:val="6"/>
        </w:numPr>
        <w:rPr>
          <w:i w:val="0"/>
        </w:rPr>
      </w:pPr>
    </w:p>
    <w:tbl>
      <w:tblPr>
        <w:tblW w:w="9157" w:type="dxa"/>
        <w:tblInd w:w="708" w:type="dxa"/>
        <w:tblCellMar>
          <w:left w:w="70" w:type="dxa"/>
          <w:right w:w="70" w:type="dxa"/>
        </w:tblCellMar>
        <w:tblLook w:val="04A0" w:firstRow="1" w:lastRow="0" w:firstColumn="1" w:lastColumn="0" w:noHBand="0" w:noVBand="1"/>
      </w:tblPr>
      <w:tblGrid>
        <w:gridCol w:w="1207"/>
        <w:gridCol w:w="1058"/>
        <w:gridCol w:w="1058"/>
        <w:gridCol w:w="1173"/>
        <w:gridCol w:w="1234"/>
        <w:gridCol w:w="1260"/>
        <w:gridCol w:w="1199"/>
        <w:gridCol w:w="968"/>
      </w:tblGrid>
      <w:tr w:rsidR="002C04CB" w:rsidRPr="002C04CB" w:rsidTr="002C04CB">
        <w:trPr>
          <w:trHeight w:val="225"/>
        </w:trPr>
        <w:tc>
          <w:tcPr>
            <w:tcW w:w="4496" w:type="dxa"/>
            <w:gridSpan w:val="4"/>
            <w:tcBorders>
              <w:top w:val="nil"/>
              <w:left w:val="nil"/>
              <w:bottom w:val="nil"/>
              <w:right w:val="nil"/>
            </w:tcBorders>
            <w:shd w:val="clear" w:color="auto" w:fill="auto"/>
            <w:noWrap/>
            <w:vAlign w:val="bottom"/>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 xml:space="preserve">VERWORVENEN BELEGGINGSINKOMSTEN </w:t>
            </w:r>
          </w:p>
        </w:tc>
        <w:tc>
          <w:tcPr>
            <w:tcW w:w="1234" w:type="dxa"/>
            <w:tcBorders>
              <w:top w:val="nil"/>
              <w:left w:val="nil"/>
              <w:bottom w:val="nil"/>
              <w:right w:val="nil"/>
            </w:tcBorders>
            <w:shd w:val="clear" w:color="auto" w:fill="auto"/>
            <w:noWrap/>
            <w:vAlign w:val="bottom"/>
            <w:hideMark/>
          </w:tcPr>
          <w:p w:rsidR="002C04CB" w:rsidRPr="002C04CB" w:rsidRDefault="002C04CB" w:rsidP="00E55610">
            <w:pPr>
              <w:rPr>
                <w:b/>
                <w:bCs/>
                <w:color w:val="000000"/>
                <w:sz w:val="20"/>
                <w:szCs w:val="20"/>
                <w:lang w:val="nl-BE" w:eastAsia="nl-BE"/>
              </w:rPr>
            </w:pPr>
          </w:p>
        </w:tc>
        <w:tc>
          <w:tcPr>
            <w:tcW w:w="1260" w:type="dxa"/>
            <w:tcBorders>
              <w:top w:val="nil"/>
              <w:left w:val="nil"/>
              <w:bottom w:val="nil"/>
              <w:right w:val="nil"/>
            </w:tcBorders>
            <w:shd w:val="clear" w:color="auto" w:fill="auto"/>
            <w:noWrap/>
            <w:vAlign w:val="bottom"/>
            <w:hideMark/>
          </w:tcPr>
          <w:p w:rsidR="002C04CB" w:rsidRPr="002C04CB" w:rsidRDefault="002C04CB" w:rsidP="00E55610">
            <w:pPr>
              <w:rPr>
                <w:b/>
                <w:bCs/>
                <w:color w:val="000000"/>
                <w:sz w:val="20"/>
                <w:szCs w:val="20"/>
                <w:lang w:val="nl-BE" w:eastAsia="nl-BE"/>
              </w:rPr>
            </w:pPr>
          </w:p>
        </w:tc>
        <w:tc>
          <w:tcPr>
            <w:tcW w:w="1199" w:type="dxa"/>
            <w:tcBorders>
              <w:top w:val="nil"/>
              <w:left w:val="nil"/>
              <w:bottom w:val="nil"/>
              <w:right w:val="nil"/>
            </w:tcBorders>
            <w:shd w:val="clear" w:color="auto" w:fill="auto"/>
            <w:noWrap/>
            <w:vAlign w:val="bottom"/>
            <w:hideMark/>
          </w:tcPr>
          <w:p w:rsidR="002C04CB" w:rsidRPr="002C04CB" w:rsidRDefault="002C04CB" w:rsidP="00E55610">
            <w:pPr>
              <w:rPr>
                <w:b/>
                <w:bCs/>
                <w:color w:val="000000"/>
                <w:sz w:val="20"/>
                <w:szCs w:val="20"/>
                <w:lang w:val="nl-BE" w:eastAsia="nl-BE"/>
              </w:rPr>
            </w:pPr>
          </w:p>
        </w:tc>
        <w:tc>
          <w:tcPr>
            <w:tcW w:w="968" w:type="dxa"/>
            <w:tcBorders>
              <w:top w:val="nil"/>
              <w:left w:val="nil"/>
              <w:bottom w:val="nil"/>
              <w:right w:val="nil"/>
            </w:tcBorders>
            <w:shd w:val="clear" w:color="auto" w:fill="auto"/>
            <w:noWrap/>
            <w:vAlign w:val="bottom"/>
            <w:hideMark/>
          </w:tcPr>
          <w:p w:rsidR="002C04CB" w:rsidRPr="002C04CB" w:rsidRDefault="002C04CB" w:rsidP="00E55610">
            <w:pPr>
              <w:rPr>
                <w:b/>
                <w:bCs/>
                <w:color w:val="000000"/>
                <w:sz w:val="20"/>
                <w:szCs w:val="20"/>
                <w:lang w:val="nl-BE" w:eastAsia="nl-BE"/>
              </w:rPr>
            </w:pPr>
          </w:p>
        </w:tc>
      </w:tr>
      <w:tr w:rsidR="002C04CB" w:rsidRPr="002C04CB" w:rsidTr="002C04CB">
        <w:trPr>
          <w:trHeight w:val="240"/>
        </w:trPr>
        <w:tc>
          <w:tcPr>
            <w:tcW w:w="1207"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1058"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1058"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1173"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1234"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1260"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1199" w:type="dxa"/>
            <w:tcBorders>
              <w:top w:val="nil"/>
              <w:left w:val="nil"/>
              <w:bottom w:val="nil"/>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c>
          <w:tcPr>
            <w:tcW w:w="968" w:type="dxa"/>
            <w:tcBorders>
              <w:top w:val="nil"/>
              <w:left w:val="nil"/>
              <w:bottom w:val="double" w:sz="6" w:space="0" w:color="auto"/>
              <w:right w:val="nil"/>
            </w:tcBorders>
            <w:shd w:val="clear" w:color="auto" w:fill="auto"/>
            <w:noWrap/>
            <w:vAlign w:val="bottom"/>
            <w:hideMark/>
          </w:tcPr>
          <w:p w:rsidR="002C04CB" w:rsidRPr="002C04CB" w:rsidRDefault="002C04CB" w:rsidP="00E55610">
            <w:pPr>
              <w:jc w:val="center"/>
              <w:rPr>
                <w:color w:val="000000"/>
                <w:sz w:val="20"/>
                <w:szCs w:val="20"/>
                <w:lang w:val="nl-BE" w:eastAsia="nl-BE"/>
              </w:rPr>
            </w:pPr>
          </w:p>
        </w:tc>
      </w:tr>
      <w:tr w:rsidR="002C04CB" w:rsidRPr="002C04CB" w:rsidTr="002C04CB">
        <w:trPr>
          <w:trHeight w:val="255"/>
        </w:trPr>
        <w:tc>
          <w:tcPr>
            <w:tcW w:w="1207" w:type="dxa"/>
            <w:tcBorders>
              <w:top w:val="double" w:sz="6" w:space="0" w:color="auto"/>
              <w:left w:val="double" w:sz="6" w:space="0" w:color="auto"/>
              <w:bottom w:val="single" w:sz="8" w:space="0" w:color="auto"/>
              <w:right w:val="single" w:sz="4" w:space="0" w:color="auto"/>
            </w:tcBorders>
            <w:shd w:val="clear" w:color="auto" w:fill="auto"/>
            <w:noWrap/>
            <w:vAlign w:val="bottom"/>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JAARTAL</w:t>
            </w:r>
          </w:p>
        </w:tc>
        <w:tc>
          <w:tcPr>
            <w:tcW w:w="1058"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2005</w:t>
            </w:r>
          </w:p>
        </w:tc>
        <w:tc>
          <w:tcPr>
            <w:tcW w:w="1058"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2006</w:t>
            </w:r>
          </w:p>
        </w:tc>
        <w:tc>
          <w:tcPr>
            <w:tcW w:w="1173"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2007</w:t>
            </w:r>
          </w:p>
        </w:tc>
        <w:tc>
          <w:tcPr>
            <w:tcW w:w="1234"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2008</w:t>
            </w:r>
          </w:p>
        </w:tc>
        <w:tc>
          <w:tcPr>
            <w:tcW w:w="1260"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2009</w:t>
            </w:r>
          </w:p>
        </w:tc>
        <w:tc>
          <w:tcPr>
            <w:tcW w:w="1199"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2010</w:t>
            </w:r>
          </w:p>
        </w:tc>
        <w:tc>
          <w:tcPr>
            <w:tcW w:w="968" w:type="dxa"/>
            <w:tcBorders>
              <w:top w:val="double" w:sz="6" w:space="0" w:color="auto"/>
              <w:left w:val="nil"/>
              <w:bottom w:val="single" w:sz="8" w:space="0" w:color="auto"/>
              <w:right w:val="single" w:sz="4" w:space="0" w:color="auto"/>
            </w:tcBorders>
            <w:shd w:val="clear" w:color="auto" w:fill="auto"/>
            <w:noWrap/>
            <w:vAlign w:val="center"/>
            <w:hideMark/>
          </w:tcPr>
          <w:p w:rsidR="002C04CB" w:rsidRPr="002C04CB" w:rsidRDefault="002C04CB" w:rsidP="00E55610">
            <w:pPr>
              <w:jc w:val="center"/>
              <w:rPr>
                <w:b/>
                <w:bCs/>
                <w:color w:val="000000"/>
                <w:sz w:val="20"/>
                <w:szCs w:val="20"/>
                <w:lang w:val="nl-BE" w:eastAsia="nl-BE"/>
              </w:rPr>
            </w:pPr>
            <w:r w:rsidRPr="002C04CB">
              <w:rPr>
                <w:b/>
                <w:bCs/>
                <w:color w:val="000000"/>
                <w:sz w:val="20"/>
                <w:szCs w:val="20"/>
                <w:lang w:val="nl-BE" w:eastAsia="nl-BE"/>
              </w:rPr>
              <w:t>2011</w:t>
            </w:r>
          </w:p>
        </w:tc>
      </w:tr>
      <w:tr w:rsidR="002C04CB" w:rsidRPr="002C04CB" w:rsidTr="002C04CB">
        <w:trPr>
          <w:trHeight w:val="225"/>
        </w:trPr>
        <w:tc>
          <w:tcPr>
            <w:tcW w:w="1207" w:type="dxa"/>
            <w:tcBorders>
              <w:top w:val="single" w:sz="4" w:space="0" w:color="auto"/>
              <w:left w:val="double" w:sz="6" w:space="0" w:color="auto"/>
              <w:bottom w:val="nil"/>
              <w:right w:val="single" w:sz="4" w:space="0" w:color="auto"/>
            </w:tcBorders>
            <w:shd w:val="clear" w:color="auto" w:fill="auto"/>
            <w:noWrap/>
            <w:vAlign w:val="bottom"/>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 </w:t>
            </w:r>
          </w:p>
        </w:tc>
        <w:tc>
          <w:tcPr>
            <w:tcW w:w="1058"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058"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173"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234"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260"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1199"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c>
          <w:tcPr>
            <w:tcW w:w="968" w:type="dxa"/>
            <w:tcBorders>
              <w:top w:val="single" w:sz="4" w:space="0" w:color="auto"/>
              <w:left w:val="nil"/>
              <w:bottom w:val="nil"/>
              <w:right w:val="single" w:sz="4" w:space="0" w:color="auto"/>
            </w:tcBorders>
            <w:shd w:val="clear" w:color="auto" w:fill="auto"/>
            <w:noWrap/>
            <w:vAlign w:val="bottom"/>
            <w:hideMark/>
          </w:tcPr>
          <w:p w:rsidR="002C04CB" w:rsidRPr="002C04CB" w:rsidRDefault="002C04CB" w:rsidP="00E55610">
            <w:pPr>
              <w:rPr>
                <w:color w:val="000000"/>
                <w:sz w:val="20"/>
                <w:szCs w:val="20"/>
                <w:lang w:val="nl-BE" w:eastAsia="nl-BE"/>
              </w:rPr>
            </w:pPr>
            <w:r w:rsidRPr="002C04CB">
              <w:rPr>
                <w:color w:val="000000"/>
                <w:sz w:val="20"/>
                <w:szCs w:val="20"/>
                <w:lang w:val="nl-BE" w:eastAsia="nl-BE"/>
              </w:rPr>
              <w:t> </w:t>
            </w:r>
          </w:p>
        </w:tc>
      </w:tr>
      <w:tr w:rsidR="002C04CB" w:rsidRPr="002C04CB" w:rsidTr="002C04CB">
        <w:trPr>
          <w:trHeight w:val="225"/>
        </w:trPr>
        <w:tc>
          <w:tcPr>
            <w:tcW w:w="1207" w:type="dxa"/>
            <w:tcBorders>
              <w:top w:val="nil"/>
              <w:left w:val="double" w:sz="6" w:space="0" w:color="auto"/>
              <w:bottom w:val="nil"/>
              <w:right w:val="single" w:sz="4" w:space="0" w:color="auto"/>
            </w:tcBorders>
            <w:shd w:val="clear" w:color="auto" w:fill="auto"/>
            <w:noWrap/>
            <w:vAlign w:val="bottom"/>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EOGFL</w:t>
            </w:r>
          </w:p>
        </w:tc>
        <w:tc>
          <w:tcPr>
            <w:tcW w:w="1058"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24.565,00</w:t>
            </w:r>
          </w:p>
        </w:tc>
        <w:tc>
          <w:tcPr>
            <w:tcW w:w="1058"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35.700,72</w:t>
            </w:r>
          </w:p>
        </w:tc>
        <w:tc>
          <w:tcPr>
            <w:tcW w:w="1173"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34.848,66</w:t>
            </w:r>
          </w:p>
        </w:tc>
        <w:tc>
          <w:tcPr>
            <w:tcW w:w="1234"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40.758,08</w:t>
            </w:r>
          </w:p>
        </w:tc>
        <w:tc>
          <w:tcPr>
            <w:tcW w:w="1260"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10.375,52</w:t>
            </w:r>
          </w:p>
        </w:tc>
        <w:tc>
          <w:tcPr>
            <w:tcW w:w="1199"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5.350,07</w:t>
            </w:r>
          </w:p>
        </w:tc>
        <w:tc>
          <w:tcPr>
            <w:tcW w:w="968" w:type="dxa"/>
            <w:tcBorders>
              <w:top w:val="nil"/>
              <w:left w:val="single" w:sz="4" w:space="0" w:color="auto"/>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14,444,46</w:t>
            </w:r>
          </w:p>
        </w:tc>
      </w:tr>
      <w:tr w:rsidR="002C04CB" w:rsidRPr="002C04CB" w:rsidTr="002C04CB">
        <w:trPr>
          <w:trHeight w:val="240"/>
        </w:trPr>
        <w:tc>
          <w:tcPr>
            <w:tcW w:w="1207" w:type="dxa"/>
            <w:tcBorders>
              <w:top w:val="nil"/>
              <w:left w:val="double" w:sz="6" w:space="0" w:color="auto"/>
              <w:bottom w:val="nil"/>
              <w:right w:val="single" w:sz="4" w:space="0" w:color="auto"/>
            </w:tcBorders>
            <w:shd w:val="clear" w:color="auto" w:fill="auto"/>
            <w:noWrap/>
            <w:vAlign w:val="bottom"/>
            <w:hideMark/>
          </w:tcPr>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 </w:t>
            </w:r>
          </w:p>
          <w:p w:rsidR="002C04CB" w:rsidRPr="002C04CB" w:rsidRDefault="002C04CB" w:rsidP="00E55610">
            <w:pPr>
              <w:rPr>
                <w:b/>
                <w:bCs/>
                <w:color w:val="000000"/>
                <w:sz w:val="20"/>
                <w:szCs w:val="20"/>
                <w:lang w:val="nl-BE" w:eastAsia="nl-BE"/>
              </w:rPr>
            </w:pPr>
            <w:r w:rsidRPr="002C04CB">
              <w:rPr>
                <w:b/>
                <w:bCs/>
                <w:color w:val="000000"/>
                <w:sz w:val="20"/>
                <w:szCs w:val="20"/>
                <w:lang w:val="nl-BE" w:eastAsia="nl-BE"/>
              </w:rPr>
              <w:t>FIOV/EVF</w:t>
            </w:r>
          </w:p>
        </w:tc>
        <w:tc>
          <w:tcPr>
            <w:tcW w:w="1058"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15.562,65 </w:t>
            </w:r>
          </w:p>
        </w:tc>
        <w:tc>
          <w:tcPr>
            <w:tcW w:w="1058"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48.350,28 </w:t>
            </w:r>
          </w:p>
        </w:tc>
        <w:tc>
          <w:tcPr>
            <w:tcW w:w="1173"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 xml:space="preserve">        </w:t>
            </w:r>
          </w:p>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 xml:space="preserve">   117.942,87</w:t>
            </w:r>
          </w:p>
        </w:tc>
        <w:tc>
          <w:tcPr>
            <w:tcW w:w="1234"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     26.489,07</w:t>
            </w:r>
          </w:p>
        </w:tc>
        <w:tc>
          <w:tcPr>
            <w:tcW w:w="1260"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     13.732,62</w:t>
            </w:r>
          </w:p>
        </w:tc>
        <w:tc>
          <w:tcPr>
            <w:tcW w:w="1199"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         849,06</w:t>
            </w:r>
          </w:p>
        </w:tc>
        <w:tc>
          <w:tcPr>
            <w:tcW w:w="968" w:type="dxa"/>
            <w:tcBorders>
              <w:top w:val="nil"/>
              <w:left w:val="nil"/>
              <w:bottom w:val="nil"/>
              <w:right w:val="single" w:sz="4" w:space="0" w:color="auto"/>
            </w:tcBorders>
            <w:shd w:val="clear" w:color="auto" w:fill="auto"/>
            <w:noWrap/>
            <w:vAlign w:val="bottom"/>
            <w:hideMark/>
          </w:tcPr>
          <w:p w:rsidR="002C04CB" w:rsidRPr="002C04CB" w:rsidRDefault="002C04CB" w:rsidP="00E55610">
            <w:pPr>
              <w:jc w:val="right"/>
              <w:rPr>
                <w:color w:val="000000"/>
                <w:sz w:val="20"/>
                <w:szCs w:val="20"/>
                <w:lang w:val="nl-BE" w:eastAsia="nl-BE"/>
              </w:rPr>
            </w:pPr>
            <w:r w:rsidRPr="002C04CB">
              <w:rPr>
                <w:color w:val="000000"/>
                <w:sz w:val="20"/>
                <w:szCs w:val="20"/>
                <w:lang w:val="nl-BE" w:eastAsia="nl-BE"/>
              </w:rPr>
              <w:t>  1.750,62</w:t>
            </w:r>
          </w:p>
        </w:tc>
      </w:tr>
      <w:tr w:rsidR="002C04CB" w:rsidRPr="002C04CB" w:rsidTr="002C04CB">
        <w:trPr>
          <w:trHeight w:val="240"/>
        </w:trPr>
        <w:tc>
          <w:tcPr>
            <w:tcW w:w="1207" w:type="dxa"/>
            <w:tcBorders>
              <w:top w:val="nil"/>
              <w:left w:val="double" w:sz="6" w:space="0" w:color="auto"/>
              <w:bottom w:val="double" w:sz="6" w:space="0" w:color="auto"/>
              <w:right w:val="single" w:sz="4" w:space="0" w:color="auto"/>
            </w:tcBorders>
            <w:shd w:val="clear" w:color="auto" w:fill="auto"/>
            <w:noWrap/>
            <w:vAlign w:val="bottom"/>
          </w:tcPr>
          <w:p w:rsidR="002C04CB" w:rsidRPr="002C04CB" w:rsidRDefault="002C04CB" w:rsidP="00E55610">
            <w:pPr>
              <w:rPr>
                <w:b/>
                <w:bCs/>
                <w:color w:val="000000"/>
                <w:sz w:val="20"/>
                <w:szCs w:val="20"/>
              </w:rPr>
            </w:pPr>
          </w:p>
          <w:p w:rsidR="002C04CB" w:rsidRPr="002C04CB" w:rsidRDefault="002C04CB" w:rsidP="00E55610">
            <w:pPr>
              <w:rPr>
                <w:b/>
                <w:bCs/>
                <w:color w:val="000000"/>
                <w:sz w:val="20"/>
                <w:szCs w:val="20"/>
              </w:rPr>
            </w:pPr>
            <w:r w:rsidRPr="002C04CB">
              <w:rPr>
                <w:b/>
                <w:bCs/>
                <w:color w:val="000000"/>
                <w:sz w:val="20"/>
                <w:szCs w:val="20"/>
              </w:rPr>
              <w:t>LEADER</w:t>
            </w:r>
          </w:p>
        </w:tc>
        <w:tc>
          <w:tcPr>
            <w:tcW w:w="1058"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579,54</w:t>
            </w:r>
          </w:p>
        </w:tc>
        <w:tc>
          <w:tcPr>
            <w:tcW w:w="1058"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3.497,33</w:t>
            </w:r>
          </w:p>
        </w:tc>
        <w:tc>
          <w:tcPr>
            <w:tcW w:w="1173"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 xml:space="preserve">      4.694,88</w:t>
            </w:r>
          </w:p>
        </w:tc>
        <w:tc>
          <w:tcPr>
            <w:tcW w:w="1234"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 xml:space="preserve">         237,53</w:t>
            </w:r>
          </w:p>
        </w:tc>
        <w:tc>
          <w:tcPr>
            <w:tcW w:w="1260"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 xml:space="preserve">      2.571,22</w:t>
            </w:r>
          </w:p>
        </w:tc>
        <w:tc>
          <w:tcPr>
            <w:tcW w:w="1199"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 xml:space="preserve">         991,98</w:t>
            </w:r>
          </w:p>
        </w:tc>
        <w:tc>
          <w:tcPr>
            <w:tcW w:w="968" w:type="dxa"/>
            <w:tcBorders>
              <w:top w:val="nil"/>
              <w:left w:val="nil"/>
              <w:bottom w:val="double" w:sz="6" w:space="0" w:color="auto"/>
              <w:right w:val="single" w:sz="4" w:space="0" w:color="auto"/>
            </w:tcBorders>
            <w:shd w:val="clear" w:color="auto" w:fill="auto"/>
            <w:noWrap/>
            <w:vAlign w:val="bottom"/>
          </w:tcPr>
          <w:p w:rsidR="002C04CB" w:rsidRPr="002C04CB" w:rsidRDefault="002C04CB" w:rsidP="00E55610">
            <w:pPr>
              <w:jc w:val="right"/>
              <w:rPr>
                <w:color w:val="000000"/>
                <w:sz w:val="20"/>
                <w:szCs w:val="20"/>
              </w:rPr>
            </w:pPr>
            <w:r w:rsidRPr="002C04CB">
              <w:rPr>
                <w:color w:val="000000"/>
                <w:sz w:val="20"/>
                <w:szCs w:val="20"/>
              </w:rPr>
              <w:t>0</w:t>
            </w:r>
          </w:p>
        </w:tc>
      </w:tr>
    </w:tbl>
    <w:p w:rsidR="002C04CB" w:rsidRPr="00196D41" w:rsidRDefault="002C04CB" w:rsidP="002C04CB">
      <w:pPr>
        <w:pStyle w:val="SVTitel"/>
        <w:rPr>
          <w:i w:val="0"/>
        </w:rPr>
      </w:pPr>
    </w:p>
    <w:p w:rsidR="002C04CB" w:rsidRPr="00E80C20" w:rsidRDefault="002C04CB" w:rsidP="002C04CB">
      <w:pPr>
        <w:pStyle w:val="SVTitel"/>
        <w:numPr>
          <w:ilvl w:val="0"/>
          <w:numId w:val="6"/>
        </w:numPr>
        <w:rPr>
          <w:i w:val="0"/>
        </w:rPr>
      </w:pPr>
      <w:r w:rsidRPr="00E80C20">
        <w:rPr>
          <w:i w:val="0"/>
        </w:rPr>
        <w:t>De beschikbare middelen werden afhankelijk van de noodzaak aangewend voor uitgaven op de programma’s in het kader van het Gemeenschappelijk Landbouwbeleid.</w:t>
      </w:r>
      <w:bookmarkStart w:id="0" w:name="_GoBack"/>
      <w:bookmarkEnd w:id="0"/>
    </w:p>
    <w:sectPr w:rsidR="002C04CB" w:rsidRPr="00E80C20">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144C5FCA"/>
    <w:multiLevelType w:val="singleLevel"/>
    <w:tmpl w:val="0413000F"/>
    <w:lvl w:ilvl="0">
      <w:start w:val="1"/>
      <w:numFmt w:val="decimal"/>
      <w:lvlText w:val="%1."/>
      <w:lvlJc w:val="left"/>
      <w:pPr>
        <w:tabs>
          <w:tab w:val="num" w:pos="360"/>
        </w:tabs>
        <w:ind w:left="360" w:hanging="360"/>
      </w:pPr>
    </w:lvl>
  </w:abstractNum>
  <w:abstractNum w:abstractNumId="2">
    <w:nsid w:val="24A512C1"/>
    <w:multiLevelType w:val="hybridMultilevel"/>
    <w:tmpl w:val="6BDC3120"/>
    <w:lvl w:ilvl="0" w:tplc="A3767F50">
      <w:start w:val="2"/>
      <w:numFmt w:val="decimal"/>
      <w:lvlText w:val="%1."/>
      <w:lvlJc w:val="left"/>
      <w:pPr>
        <w:tabs>
          <w:tab w:val="num" w:pos="720"/>
        </w:tabs>
        <w:ind w:left="720" w:hanging="360"/>
      </w:pPr>
      <w:rPr>
        <w:rFonts w:hint="default"/>
      </w:rPr>
    </w:lvl>
    <w:lvl w:ilvl="1" w:tplc="9F226510" w:tentative="1">
      <w:start w:val="1"/>
      <w:numFmt w:val="lowerLetter"/>
      <w:lvlText w:val="%2."/>
      <w:lvlJc w:val="left"/>
      <w:pPr>
        <w:tabs>
          <w:tab w:val="num" w:pos="1440"/>
        </w:tabs>
        <w:ind w:left="1440" w:hanging="360"/>
      </w:pPr>
    </w:lvl>
    <w:lvl w:ilvl="2" w:tplc="94B2F51A" w:tentative="1">
      <w:start w:val="1"/>
      <w:numFmt w:val="lowerRoman"/>
      <w:lvlText w:val="%3."/>
      <w:lvlJc w:val="right"/>
      <w:pPr>
        <w:tabs>
          <w:tab w:val="num" w:pos="2160"/>
        </w:tabs>
        <w:ind w:left="2160" w:hanging="180"/>
      </w:pPr>
    </w:lvl>
    <w:lvl w:ilvl="3" w:tplc="7532A3A0" w:tentative="1">
      <w:start w:val="1"/>
      <w:numFmt w:val="decimal"/>
      <w:lvlText w:val="%4."/>
      <w:lvlJc w:val="left"/>
      <w:pPr>
        <w:tabs>
          <w:tab w:val="num" w:pos="2880"/>
        </w:tabs>
        <w:ind w:left="2880" w:hanging="360"/>
      </w:pPr>
    </w:lvl>
    <w:lvl w:ilvl="4" w:tplc="A1A8244C" w:tentative="1">
      <w:start w:val="1"/>
      <w:numFmt w:val="lowerLetter"/>
      <w:lvlText w:val="%5."/>
      <w:lvlJc w:val="left"/>
      <w:pPr>
        <w:tabs>
          <w:tab w:val="num" w:pos="3600"/>
        </w:tabs>
        <w:ind w:left="3600" w:hanging="360"/>
      </w:pPr>
    </w:lvl>
    <w:lvl w:ilvl="5" w:tplc="F94EC33E" w:tentative="1">
      <w:start w:val="1"/>
      <w:numFmt w:val="lowerRoman"/>
      <w:lvlText w:val="%6."/>
      <w:lvlJc w:val="right"/>
      <w:pPr>
        <w:tabs>
          <w:tab w:val="num" w:pos="4320"/>
        </w:tabs>
        <w:ind w:left="4320" w:hanging="180"/>
      </w:pPr>
    </w:lvl>
    <w:lvl w:ilvl="6" w:tplc="9E5A7690" w:tentative="1">
      <w:start w:val="1"/>
      <w:numFmt w:val="decimal"/>
      <w:lvlText w:val="%7."/>
      <w:lvlJc w:val="left"/>
      <w:pPr>
        <w:tabs>
          <w:tab w:val="num" w:pos="5040"/>
        </w:tabs>
        <w:ind w:left="5040" w:hanging="360"/>
      </w:pPr>
    </w:lvl>
    <w:lvl w:ilvl="7" w:tplc="FA5637FE" w:tentative="1">
      <w:start w:val="1"/>
      <w:numFmt w:val="lowerLetter"/>
      <w:lvlText w:val="%8."/>
      <w:lvlJc w:val="left"/>
      <w:pPr>
        <w:tabs>
          <w:tab w:val="num" w:pos="5760"/>
        </w:tabs>
        <w:ind w:left="5760" w:hanging="360"/>
      </w:pPr>
    </w:lvl>
    <w:lvl w:ilvl="8" w:tplc="82B6F1E6" w:tentative="1">
      <w:start w:val="1"/>
      <w:numFmt w:val="lowerRoman"/>
      <w:lvlText w:val="%9."/>
      <w:lvlJc w:val="right"/>
      <w:pPr>
        <w:tabs>
          <w:tab w:val="num" w:pos="6480"/>
        </w:tabs>
        <w:ind w:left="648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8C751E"/>
    <w:multiLevelType w:val="hybridMultilevel"/>
    <w:tmpl w:val="2B6C4F6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10900"/>
    <w:rsid w:val="00045E43"/>
    <w:rsid w:val="00157A87"/>
    <w:rsid w:val="001747B4"/>
    <w:rsid w:val="001F0937"/>
    <w:rsid w:val="002730B7"/>
    <w:rsid w:val="002C04CB"/>
    <w:rsid w:val="003F450F"/>
    <w:rsid w:val="005431C7"/>
    <w:rsid w:val="006114A2"/>
    <w:rsid w:val="006A324D"/>
    <w:rsid w:val="006F7264"/>
    <w:rsid w:val="007A666B"/>
    <w:rsid w:val="007B527F"/>
    <w:rsid w:val="007F7F53"/>
    <w:rsid w:val="008616E4"/>
    <w:rsid w:val="008B66FE"/>
    <w:rsid w:val="009976C1"/>
    <w:rsid w:val="009E2C40"/>
    <w:rsid w:val="00A3553C"/>
    <w:rsid w:val="00AB0AA4"/>
    <w:rsid w:val="00D522C8"/>
    <w:rsid w:val="00E23648"/>
    <w:rsid w:val="00E36A68"/>
    <w:rsid w:val="00EB7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Plattetekst">
    <w:name w:val="Body Text"/>
    <w:basedOn w:val="Standaard"/>
    <w:link w:val="PlattetekstChar"/>
    <w:rsid w:val="008B66FE"/>
    <w:pPr>
      <w:keepNext/>
      <w:tabs>
        <w:tab w:val="left" w:pos="-1440"/>
        <w:tab w:val="left" w:pos="-1340"/>
        <w:tab w:val="left" w:pos="-720"/>
        <w:tab w:val="left" w:pos="-22"/>
        <w:tab w:val="left" w:pos="170"/>
        <w:tab w:val="left" w:pos="260"/>
        <w:tab w:val="left" w:pos="566"/>
        <w:tab w:val="left" w:pos="849"/>
        <w:tab w:val="left" w:pos="1134"/>
        <w:tab w:val="left" w:pos="1417"/>
        <w:tab w:val="left" w:pos="1700"/>
        <w:tab w:val="left" w:pos="1927"/>
        <w:tab w:val="left" w:pos="1960"/>
        <w:tab w:val="left" w:pos="2268"/>
        <w:tab w:val="left" w:pos="2551"/>
        <w:tab w:val="left" w:pos="2834"/>
        <w:tab w:val="left" w:pos="3117"/>
        <w:tab w:val="left" w:pos="3402"/>
        <w:tab w:val="left" w:pos="3685"/>
        <w:tab w:val="left" w:pos="3968"/>
        <w:tab w:val="left" w:pos="4251"/>
        <w:tab w:val="left" w:pos="4534"/>
        <w:tab w:val="left" w:pos="4819"/>
        <w:tab w:val="left" w:pos="5040"/>
        <w:tab w:val="left" w:pos="5102"/>
        <w:tab w:val="left" w:pos="5385"/>
        <w:tab w:val="left" w:pos="5668"/>
        <w:tab w:val="left" w:pos="5760"/>
        <w:tab w:val="left" w:pos="595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Garamond" w:hAnsi="Garamond"/>
      <w:color w:val="FF0000"/>
      <w:szCs w:val="20"/>
    </w:rPr>
  </w:style>
  <w:style w:type="character" w:customStyle="1" w:styleId="PlattetekstChar">
    <w:name w:val="Platte tekst Char"/>
    <w:basedOn w:val="Standaardalinea-lettertype"/>
    <w:link w:val="Plattetekst"/>
    <w:rsid w:val="008B66FE"/>
    <w:rPr>
      <w:rFonts w:ascii="Garamond" w:hAnsi="Garamond"/>
      <w:color w:val="FF0000"/>
      <w:sz w:val="24"/>
      <w:lang w:val="nl-NL" w:eastAsia="nl-NL"/>
    </w:rPr>
  </w:style>
  <w:style w:type="paragraph" w:styleId="Lijstalinea">
    <w:name w:val="List Paragraph"/>
    <w:basedOn w:val="Standaard"/>
    <w:uiPriority w:val="34"/>
    <w:qFormat/>
    <w:rsid w:val="008B66FE"/>
    <w:pPr>
      <w:tabs>
        <w:tab w:val="left" w:pos="284"/>
        <w:tab w:val="left" w:pos="567"/>
        <w:tab w:val="left" w:pos="851"/>
        <w:tab w:val="left" w:pos="1134"/>
        <w:tab w:val="center" w:pos="4253"/>
        <w:tab w:val="right" w:pos="8278"/>
      </w:tabs>
      <w:ind w:left="708"/>
    </w:pPr>
    <w:rPr>
      <w:rFonts w:ascii="Courier New" w:hAnsi="Courier New"/>
      <w:sz w:val="20"/>
      <w:szCs w:val="20"/>
    </w:rPr>
  </w:style>
  <w:style w:type="paragraph" w:styleId="Plattetekst2">
    <w:name w:val="Body Text 2"/>
    <w:basedOn w:val="Standaard"/>
    <w:link w:val="Plattetekst2Char"/>
    <w:rsid w:val="008B66FE"/>
    <w:pPr>
      <w:tabs>
        <w:tab w:val="left" w:pos="284"/>
        <w:tab w:val="left" w:pos="567"/>
        <w:tab w:val="left" w:pos="851"/>
        <w:tab w:val="left" w:pos="1134"/>
        <w:tab w:val="center" w:pos="4253"/>
        <w:tab w:val="right" w:pos="8278"/>
      </w:tabs>
      <w:spacing w:after="120" w:line="480" w:lineRule="auto"/>
    </w:pPr>
    <w:rPr>
      <w:rFonts w:ascii="Courier New" w:hAnsi="Courier New"/>
      <w:sz w:val="20"/>
      <w:szCs w:val="20"/>
    </w:rPr>
  </w:style>
  <w:style w:type="character" w:customStyle="1" w:styleId="Plattetekst2Char">
    <w:name w:val="Platte tekst 2 Char"/>
    <w:basedOn w:val="Standaardalinea-lettertype"/>
    <w:link w:val="Plattetekst2"/>
    <w:rsid w:val="008B66FE"/>
    <w:rPr>
      <w:rFonts w:ascii="Courier New" w:hAnsi="Courier New"/>
      <w:lang w:val="nl-NL" w:eastAsia="nl-NL"/>
    </w:rPr>
  </w:style>
  <w:style w:type="paragraph" w:customStyle="1" w:styleId="SVTitel">
    <w:name w:val="SV Titel"/>
    <w:basedOn w:val="Standaard"/>
    <w:rsid w:val="002C04CB"/>
    <w:pPr>
      <w:jc w:val="both"/>
    </w:pPr>
    <w:rPr>
      <w: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Plattetekst">
    <w:name w:val="Body Text"/>
    <w:basedOn w:val="Standaard"/>
    <w:link w:val="PlattetekstChar"/>
    <w:rsid w:val="008B66FE"/>
    <w:pPr>
      <w:keepNext/>
      <w:tabs>
        <w:tab w:val="left" w:pos="-1440"/>
        <w:tab w:val="left" w:pos="-1340"/>
        <w:tab w:val="left" w:pos="-720"/>
        <w:tab w:val="left" w:pos="-22"/>
        <w:tab w:val="left" w:pos="170"/>
        <w:tab w:val="left" w:pos="260"/>
        <w:tab w:val="left" w:pos="566"/>
        <w:tab w:val="left" w:pos="849"/>
        <w:tab w:val="left" w:pos="1134"/>
        <w:tab w:val="left" w:pos="1417"/>
        <w:tab w:val="left" w:pos="1700"/>
        <w:tab w:val="left" w:pos="1927"/>
        <w:tab w:val="left" w:pos="1960"/>
        <w:tab w:val="left" w:pos="2268"/>
        <w:tab w:val="left" w:pos="2551"/>
        <w:tab w:val="left" w:pos="2834"/>
        <w:tab w:val="left" w:pos="3117"/>
        <w:tab w:val="left" w:pos="3402"/>
        <w:tab w:val="left" w:pos="3685"/>
        <w:tab w:val="left" w:pos="3968"/>
        <w:tab w:val="left" w:pos="4251"/>
        <w:tab w:val="left" w:pos="4534"/>
        <w:tab w:val="left" w:pos="4819"/>
        <w:tab w:val="left" w:pos="5040"/>
        <w:tab w:val="left" w:pos="5102"/>
        <w:tab w:val="left" w:pos="5385"/>
        <w:tab w:val="left" w:pos="5668"/>
        <w:tab w:val="left" w:pos="5760"/>
        <w:tab w:val="left" w:pos="595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Garamond" w:hAnsi="Garamond"/>
      <w:color w:val="FF0000"/>
      <w:szCs w:val="20"/>
    </w:rPr>
  </w:style>
  <w:style w:type="character" w:customStyle="1" w:styleId="PlattetekstChar">
    <w:name w:val="Platte tekst Char"/>
    <w:basedOn w:val="Standaardalinea-lettertype"/>
    <w:link w:val="Plattetekst"/>
    <w:rsid w:val="008B66FE"/>
    <w:rPr>
      <w:rFonts w:ascii="Garamond" w:hAnsi="Garamond"/>
      <w:color w:val="FF0000"/>
      <w:sz w:val="24"/>
      <w:lang w:val="nl-NL" w:eastAsia="nl-NL"/>
    </w:rPr>
  </w:style>
  <w:style w:type="paragraph" w:styleId="Lijstalinea">
    <w:name w:val="List Paragraph"/>
    <w:basedOn w:val="Standaard"/>
    <w:uiPriority w:val="34"/>
    <w:qFormat/>
    <w:rsid w:val="008B66FE"/>
    <w:pPr>
      <w:tabs>
        <w:tab w:val="left" w:pos="284"/>
        <w:tab w:val="left" w:pos="567"/>
        <w:tab w:val="left" w:pos="851"/>
        <w:tab w:val="left" w:pos="1134"/>
        <w:tab w:val="center" w:pos="4253"/>
        <w:tab w:val="right" w:pos="8278"/>
      </w:tabs>
      <w:ind w:left="708"/>
    </w:pPr>
    <w:rPr>
      <w:rFonts w:ascii="Courier New" w:hAnsi="Courier New"/>
      <w:sz w:val="20"/>
      <w:szCs w:val="20"/>
    </w:rPr>
  </w:style>
  <w:style w:type="paragraph" w:styleId="Plattetekst2">
    <w:name w:val="Body Text 2"/>
    <w:basedOn w:val="Standaard"/>
    <w:link w:val="Plattetekst2Char"/>
    <w:rsid w:val="008B66FE"/>
    <w:pPr>
      <w:tabs>
        <w:tab w:val="left" w:pos="284"/>
        <w:tab w:val="left" w:pos="567"/>
        <w:tab w:val="left" w:pos="851"/>
        <w:tab w:val="left" w:pos="1134"/>
        <w:tab w:val="center" w:pos="4253"/>
        <w:tab w:val="right" w:pos="8278"/>
      </w:tabs>
      <w:spacing w:after="120" w:line="480" w:lineRule="auto"/>
    </w:pPr>
    <w:rPr>
      <w:rFonts w:ascii="Courier New" w:hAnsi="Courier New"/>
      <w:sz w:val="20"/>
      <w:szCs w:val="20"/>
    </w:rPr>
  </w:style>
  <w:style w:type="character" w:customStyle="1" w:styleId="Plattetekst2Char">
    <w:name w:val="Platte tekst 2 Char"/>
    <w:basedOn w:val="Standaardalinea-lettertype"/>
    <w:link w:val="Plattetekst2"/>
    <w:rsid w:val="008B66FE"/>
    <w:rPr>
      <w:rFonts w:ascii="Courier New" w:hAnsi="Courier New"/>
      <w:lang w:val="nl-NL" w:eastAsia="nl-NL"/>
    </w:rPr>
  </w:style>
  <w:style w:type="paragraph" w:customStyle="1" w:styleId="SVTitel">
    <w:name w:val="SV Titel"/>
    <w:basedOn w:val="Standaard"/>
    <w:rsid w:val="002C04CB"/>
    <w:pPr>
      <w:jc w:val="both"/>
    </w:pPr>
    <w:rPr>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Staf\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12</TotalTime>
  <Pages>2</Pages>
  <Words>586</Words>
  <Characters>3920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5</cp:revision>
  <cp:lastPrinted>2007-12-14T07:15:00Z</cp:lastPrinted>
  <dcterms:created xsi:type="dcterms:W3CDTF">2013-01-02T10:22:00Z</dcterms:created>
  <dcterms:modified xsi:type="dcterms:W3CDTF">2013-01-10T14:43:00Z</dcterms:modified>
</cp:coreProperties>
</file>