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7" w:rsidRPr="00A8473D" w:rsidRDefault="002730B7" w:rsidP="002730B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5431C7" w:rsidRDefault="005431C7">
      <w:pPr>
        <w:pBdr>
          <w:bottom w:val="single" w:sz="4" w:space="1" w:color="auto"/>
        </w:pBdr>
        <w:rPr>
          <w:sz w:val="22"/>
        </w:rPr>
      </w:pPr>
    </w:p>
    <w:p w:rsidR="005431C7" w:rsidRDefault="005431C7">
      <w:pPr>
        <w:rPr>
          <w:sz w:val="22"/>
        </w:rPr>
      </w:pPr>
    </w:p>
    <w:p w:rsidR="00045E43" w:rsidRPr="00EB78CA" w:rsidRDefault="00045E43" w:rsidP="00045E43">
      <w:pPr>
        <w:rPr>
          <w:b/>
          <w:smallCaps/>
          <w:sz w:val="22"/>
          <w:szCs w:val="22"/>
        </w:rPr>
      </w:pPr>
      <w:r w:rsidRPr="00EB78CA">
        <w:rPr>
          <w:b/>
          <w:smallCaps/>
          <w:sz w:val="22"/>
          <w:szCs w:val="22"/>
        </w:rPr>
        <w:t>antwoord</w:t>
      </w:r>
    </w:p>
    <w:p w:rsidR="00045E43" w:rsidRPr="00EB78CA" w:rsidRDefault="00045E43" w:rsidP="00045E43">
      <w:pPr>
        <w:rPr>
          <w:sz w:val="22"/>
          <w:szCs w:val="22"/>
        </w:rPr>
      </w:pPr>
      <w:r w:rsidRPr="00EB78CA">
        <w:rPr>
          <w:sz w:val="22"/>
          <w:szCs w:val="22"/>
        </w:rPr>
        <w:t xml:space="preserve">op vraag nr. </w:t>
      </w:r>
      <w:r w:rsidR="00B54EB7">
        <w:rPr>
          <w:sz w:val="22"/>
        </w:rPr>
        <w:t>101</w:t>
      </w:r>
      <w:r w:rsidRPr="00EB78CA">
        <w:rPr>
          <w:sz w:val="22"/>
          <w:szCs w:val="22"/>
        </w:rPr>
        <w:t xml:space="preserve"> van </w:t>
      </w:r>
      <w:r w:rsidR="00B54EB7">
        <w:rPr>
          <w:sz w:val="22"/>
        </w:rPr>
        <w:t>23 november 2012</w:t>
      </w:r>
    </w:p>
    <w:p w:rsidR="005431C7" w:rsidRDefault="00045E43" w:rsidP="00045E43">
      <w:pPr>
        <w:rPr>
          <w:sz w:val="22"/>
        </w:rPr>
      </w:pPr>
      <w:r w:rsidRPr="00EB78CA">
        <w:rPr>
          <w:sz w:val="22"/>
          <w:szCs w:val="22"/>
        </w:rPr>
        <w:t xml:space="preserve">van </w:t>
      </w:r>
      <w:r w:rsidR="00B54EB7">
        <w:rPr>
          <w:b/>
          <w:smallCaps/>
          <w:sz w:val="22"/>
        </w:rPr>
        <w:t>lydia peeters</w:t>
      </w:r>
    </w:p>
    <w:p w:rsidR="005431C7" w:rsidRDefault="005431C7" w:rsidP="009976C1">
      <w:pPr>
        <w:pBdr>
          <w:bottom w:val="single" w:sz="4" w:space="1" w:color="auto"/>
        </w:pBdr>
        <w:jc w:val="both"/>
        <w:rPr>
          <w:sz w:val="22"/>
        </w:rPr>
      </w:pPr>
    </w:p>
    <w:p w:rsidR="005431C7" w:rsidRPr="003F450F" w:rsidRDefault="005431C7" w:rsidP="009976C1">
      <w:pPr>
        <w:jc w:val="both"/>
        <w:rPr>
          <w:sz w:val="22"/>
          <w:szCs w:val="22"/>
        </w:rPr>
      </w:pPr>
    </w:p>
    <w:p w:rsidR="006A324D" w:rsidRPr="003F450F" w:rsidRDefault="006A324D" w:rsidP="006114A2">
      <w:pPr>
        <w:rPr>
          <w:sz w:val="22"/>
          <w:szCs w:val="22"/>
        </w:rPr>
      </w:pPr>
    </w:p>
    <w:p w:rsidR="00AB0AA4" w:rsidRPr="003F450F" w:rsidRDefault="00AB0AA4" w:rsidP="006114A2">
      <w:pPr>
        <w:rPr>
          <w:sz w:val="22"/>
          <w:szCs w:val="22"/>
        </w:rPr>
        <w:sectPr w:rsidR="00AB0AA4" w:rsidRPr="003F450F">
          <w:pgSz w:w="11906" w:h="16838"/>
          <w:pgMar w:top="1417" w:right="1417" w:bottom="1417" w:left="1417" w:header="708" w:footer="708" w:gutter="0"/>
          <w:cols w:space="708"/>
          <w:docGrid w:linePitch="360"/>
        </w:sectPr>
      </w:pPr>
    </w:p>
    <w:p w:rsidR="00A06BE9" w:rsidRPr="00A06BE9" w:rsidRDefault="00A06BE9" w:rsidP="00923D16">
      <w:pPr>
        <w:pStyle w:val="Lijstalinea"/>
        <w:numPr>
          <w:ilvl w:val="0"/>
          <w:numId w:val="5"/>
        </w:numPr>
        <w:jc w:val="both"/>
        <w:rPr>
          <w:sz w:val="22"/>
          <w:szCs w:val="22"/>
        </w:rPr>
      </w:pPr>
      <w:r w:rsidRPr="00A06BE9">
        <w:rPr>
          <w:sz w:val="22"/>
          <w:szCs w:val="22"/>
        </w:rPr>
        <w:lastRenderedPageBreak/>
        <w:t xml:space="preserve">Op 9 november 2012 werd de subsidie voor </w:t>
      </w:r>
      <w:r w:rsidR="006F43DA">
        <w:rPr>
          <w:sz w:val="22"/>
          <w:szCs w:val="22"/>
        </w:rPr>
        <w:t>de</w:t>
      </w:r>
      <w:r w:rsidRPr="00A06BE9">
        <w:rPr>
          <w:sz w:val="22"/>
          <w:szCs w:val="22"/>
        </w:rPr>
        <w:t xml:space="preserve"> activeringsteam</w:t>
      </w:r>
      <w:r w:rsidR="006F43DA">
        <w:rPr>
          <w:sz w:val="22"/>
          <w:szCs w:val="22"/>
        </w:rPr>
        <w:t>s</w:t>
      </w:r>
      <w:r w:rsidRPr="00A06BE9">
        <w:rPr>
          <w:sz w:val="22"/>
          <w:szCs w:val="22"/>
        </w:rPr>
        <w:t xml:space="preserve"> betekend. Vermoedelijk zal de effectieve opstart begin 2013 gebeuren. In de realiteit is er wel een zekere mate van continuering van de inspanningen uit het verleden omdat het saldo v</w:t>
      </w:r>
      <w:r w:rsidR="006F43DA">
        <w:rPr>
          <w:sz w:val="22"/>
          <w:szCs w:val="22"/>
        </w:rPr>
        <w:t>an</w:t>
      </w:r>
      <w:r w:rsidRPr="00A06BE9">
        <w:rPr>
          <w:sz w:val="22"/>
          <w:szCs w:val="22"/>
        </w:rPr>
        <w:t xml:space="preserve"> de subsidie voor de onderhandeling</w:t>
      </w:r>
      <w:r w:rsidRPr="00A06BE9">
        <w:rPr>
          <w:sz w:val="22"/>
          <w:szCs w:val="22"/>
        </w:rPr>
        <w:t>s</w:t>
      </w:r>
      <w:r w:rsidRPr="00A06BE9">
        <w:rPr>
          <w:sz w:val="22"/>
          <w:szCs w:val="22"/>
        </w:rPr>
        <w:t xml:space="preserve">teams nog in 2012 kon worden gebruikt. </w:t>
      </w:r>
    </w:p>
    <w:p w:rsidR="00D3159E" w:rsidRPr="00A06BE9" w:rsidRDefault="00D3159E" w:rsidP="00A06BE9">
      <w:pPr>
        <w:rPr>
          <w:sz w:val="22"/>
          <w:szCs w:val="22"/>
        </w:rPr>
      </w:pPr>
    </w:p>
    <w:p w:rsidR="00A06BE9" w:rsidRPr="00A06BE9" w:rsidRDefault="00A06BE9" w:rsidP="00923D16">
      <w:pPr>
        <w:pStyle w:val="Lijstalinea"/>
        <w:numPr>
          <w:ilvl w:val="0"/>
          <w:numId w:val="5"/>
        </w:numPr>
        <w:jc w:val="both"/>
        <w:rPr>
          <w:sz w:val="22"/>
          <w:szCs w:val="22"/>
        </w:rPr>
      </w:pPr>
      <w:r w:rsidRPr="00A06BE9">
        <w:rPr>
          <w:sz w:val="22"/>
          <w:szCs w:val="22"/>
        </w:rPr>
        <w:t>Het activeringsteam voor Limburg wordt getrokken door de POM Limburg. Het activeringsteam zal een werking hebben v</w:t>
      </w:r>
      <w:r w:rsidR="006F43DA">
        <w:rPr>
          <w:sz w:val="22"/>
          <w:szCs w:val="22"/>
        </w:rPr>
        <w:t>an</w:t>
      </w:r>
      <w:r w:rsidRPr="00A06BE9">
        <w:rPr>
          <w:sz w:val="22"/>
          <w:szCs w:val="22"/>
        </w:rPr>
        <w:t xml:space="preserve"> drie jaar, dus van 2013 tot en met 2015. De andere partners in het pr</w:t>
      </w:r>
      <w:r w:rsidRPr="00A06BE9">
        <w:rPr>
          <w:sz w:val="22"/>
          <w:szCs w:val="22"/>
        </w:rPr>
        <w:t>o</w:t>
      </w:r>
      <w:r w:rsidRPr="00A06BE9">
        <w:rPr>
          <w:sz w:val="22"/>
          <w:szCs w:val="22"/>
        </w:rPr>
        <w:t>ject zijn: de Limburgse Reconversiemaatschappij (LRM)</w:t>
      </w:r>
      <w:r w:rsidR="006F43DA">
        <w:rPr>
          <w:sz w:val="22"/>
          <w:szCs w:val="22"/>
        </w:rPr>
        <w:t>,</w:t>
      </w:r>
      <w:r w:rsidRPr="00A06BE9">
        <w:rPr>
          <w:sz w:val="22"/>
          <w:szCs w:val="22"/>
        </w:rPr>
        <w:t xml:space="preserve"> een aantal gemeentebesturen en NV De Scheepvaart. Er wordt niet uitgesloten dat ook met privé-ontwikkelaars wordt samengewerkt. Wanneer er voor bepaalde terreinen een actieve interesse betoond wordt of vermoed wordt door een privé-ontwikkelaar, zal de POM Limburg een lastenboek opstellen in functie van een publieke oproep om marktpartijen te kunnen betrekken bij een dossier.</w:t>
      </w:r>
    </w:p>
    <w:p w:rsidR="00D3159E" w:rsidRPr="00A06BE9" w:rsidRDefault="00D3159E" w:rsidP="00A06BE9">
      <w:pPr>
        <w:rPr>
          <w:sz w:val="22"/>
          <w:szCs w:val="22"/>
        </w:rPr>
      </w:pPr>
    </w:p>
    <w:p w:rsidR="00A06BE9" w:rsidRPr="00A06BE9" w:rsidRDefault="00A06BE9" w:rsidP="00923D16">
      <w:pPr>
        <w:pStyle w:val="Lijstalinea"/>
        <w:numPr>
          <w:ilvl w:val="0"/>
          <w:numId w:val="5"/>
        </w:numPr>
        <w:jc w:val="both"/>
        <w:rPr>
          <w:sz w:val="22"/>
          <w:szCs w:val="22"/>
        </w:rPr>
      </w:pPr>
      <w:r w:rsidRPr="00A06BE9">
        <w:rPr>
          <w:sz w:val="22"/>
          <w:szCs w:val="22"/>
        </w:rPr>
        <w:t>Zoals gezegd</w:t>
      </w:r>
      <w:r w:rsidR="006F43DA">
        <w:rPr>
          <w:sz w:val="22"/>
          <w:szCs w:val="22"/>
        </w:rPr>
        <w:t>,</w:t>
      </w:r>
      <w:r w:rsidRPr="00A06BE9">
        <w:rPr>
          <w:sz w:val="22"/>
          <w:szCs w:val="22"/>
        </w:rPr>
        <w:t xml:space="preserve"> zijn de activeringsteams nog niet gestart. Op basis van onderhandelingen met de eigenaars van de onbenutte bedrijfsgronden en met de gemeentebesturen in functie van de </w:t>
      </w:r>
      <w:r w:rsidR="006F43DA">
        <w:rPr>
          <w:sz w:val="22"/>
          <w:szCs w:val="22"/>
        </w:rPr>
        <w:t>u</w:t>
      </w:r>
      <w:r w:rsidRPr="00A06BE9">
        <w:rPr>
          <w:sz w:val="22"/>
          <w:szCs w:val="22"/>
        </w:rPr>
        <w:t>itoef</w:t>
      </w:r>
      <w:r w:rsidRPr="00A06BE9">
        <w:rPr>
          <w:sz w:val="22"/>
          <w:szCs w:val="22"/>
        </w:rPr>
        <w:t>e</w:t>
      </w:r>
      <w:r w:rsidRPr="00A06BE9">
        <w:rPr>
          <w:sz w:val="22"/>
          <w:szCs w:val="22"/>
        </w:rPr>
        <w:t>n</w:t>
      </w:r>
      <w:r w:rsidR="006F43DA">
        <w:rPr>
          <w:sz w:val="22"/>
          <w:szCs w:val="22"/>
        </w:rPr>
        <w:t>ing</w:t>
      </w:r>
      <w:r w:rsidRPr="00A06BE9">
        <w:rPr>
          <w:sz w:val="22"/>
          <w:szCs w:val="22"/>
        </w:rPr>
        <w:t xml:space="preserve"> van een terugkooprecht of om via de gemeenten de eigenaars tot activering aan te zetten, werden gedurende de vorige periode</w:t>
      </w:r>
      <w:r w:rsidR="006F43DA">
        <w:rPr>
          <w:sz w:val="22"/>
          <w:szCs w:val="22"/>
        </w:rPr>
        <w:t xml:space="preserve"> (v</w:t>
      </w:r>
      <w:r w:rsidRPr="00A06BE9">
        <w:rPr>
          <w:sz w:val="22"/>
          <w:szCs w:val="22"/>
        </w:rPr>
        <w:t xml:space="preserve">anaf 2007 tot eind 2011) de volgende resultaten geboekt: </w:t>
      </w:r>
    </w:p>
    <w:p w:rsidR="00A06BE9" w:rsidRDefault="00A06BE9" w:rsidP="00A06BE9">
      <w:pPr>
        <w:ind w:left="360"/>
        <w:rPr>
          <w:sz w:val="22"/>
          <w:szCs w:val="22"/>
        </w:rPr>
      </w:pPr>
    </w:p>
    <w:tbl>
      <w:tblPr>
        <w:tblStyle w:val="Tabelraster"/>
        <w:tblW w:w="9332" w:type="dxa"/>
        <w:tblInd w:w="534" w:type="dxa"/>
        <w:tblLook w:val="04A0" w:firstRow="1" w:lastRow="0" w:firstColumn="1" w:lastColumn="0" w:noHBand="0" w:noVBand="1"/>
      </w:tblPr>
      <w:tblGrid>
        <w:gridCol w:w="3937"/>
        <w:gridCol w:w="1880"/>
        <w:gridCol w:w="1802"/>
        <w:gridCol w:w="1713"/>
      </w:tblGrid>
      <w:tr w:rsidR="00A06BE9" w:rsidRPr="00A06BE9" w:rsidTr="00E04CE7">
        <w:tc>
          <w:tcPr>
            <w:tcW w:w="3937" w:type="dxa"/>
          </w:tcPr>
          <w:p w:rsidR="00A06BE9" w:rsidRPr="00A06BE9" w:rsidRDefault="00A06BE9" w:rsidP="00E04CE7">
            <w:pPr>
              <w:rPr>
                <w:rFonts w:ascii="Times New Roman" w:hAnsi="Times New Roman" w:cs="Times New Roman"/>
                <w:b/>
              </w:rPr>
            </w:pPr>
            <w:r w:rsidRPr="00A06BE9">
              <w:rPr>
                <w:rFonts w:ascii="Times New Roman" w:hAnsi="Times New Roman" w:cs="Times New Roman"/>
                <w:b/>
              </w:rPr>
              <w:t>Categorie</w:t>
            </w:r>
          </w:p>
        </w:tc>
        <w:tc>
          <w:tcPr>
            <w:tcW w:w="1880" w:type="dxa"/>
          </w:tcPr>
          <w:p w:rsidR="00A06BE9" w:rsidRPr="00A06BE9" w:rsidRDefault="00B54EB7" w:rsidP="00E04CE7">
            <w:pPr>
              <w:jc w:val="right"/>
              <w:rPr>
                <w:rFonts w:ascii="Times New Roman" w:hAnsi="Times New Roman" w:cs="Times New Roman"/>
                <w:b/>
              </w:rPr>
            </w:pPr>
            <w:r>
              <w:rPr>
                <w:rFonts w:ascii="Times New Roman" w:hAnsi="Times New Roman" w:cs="Times New Roman"/>
                <w:b/>
              </w:rPr>
              <w:t>O</w:t>
            </w:r>
            <w:r w:rsidR="00A06BE9" w:rsidRPr="00A06BE9">
              <w:rPr>
                <w:rFonts w:ascii="Times New Roman" w:hAnsi="Times New Roman" w:cs="Times New Roman"/>
                <w:b/>
              </w:rPr>
              <w:t>ppervlakte (ha)</w:t>
            </w:r>
          </w:p>
        </w:tc>
        <w:tc>
          <w:tcPr>
            <w:tcW w:w="1802" w:type="dxa"/>
          </w:tcPr>
          <w:p w:rsidR="00A06BE9" w:rsidRPr="00A06BE9" w:rsidRDefault="00A06BE9" w:rsidP="00E04CE7">
            <w:pPr>
              <w:jc w:val="right"/>
              <w:rPr>
                <w:rFonts w:ascii="Times New Roman" w:hAnsi="Times New Roman" w:cs="Times New Roman"/>
                <w:b/>
              </w:rPr>
            </w:pPr>
            <w:r w:rsidRPr="00A06BE9">
              <w:rPr>
                <w:rFonts w:ascii="Times New Roman" w:hAnsi="Times New Roman" w:cs="Times New Roman"/>
                <w:b/>
              </w:rPr>
              <w:t>Aantal perc</w:t>
            </w:r>
            <w:r w:rsidRPr="00A06BE9">
              <w:rPr>
                <w:rFonts w:ascii="Times New Roman" w:hAnsi="Times New Roman" w:cs="Times New Roman"/>
                <w:b/>
              </w:rPr>
              <w:t>e</w:t>
            </w:r>
            <w:r w:rsidRPr="00A06BE9">
              <w:rPr>
                <w:rFonts w:ascii="Times New Roman" w:hAnsi="Times New Roman" w:cs="Times New Roman"/>
                <w:b/>
              </w:rPr>
              <w:t>len</w:t>
            </w:r>
          </w:p>
        </w:tc>
        <w:tc>
          <w:tcPr>
            <w:tcW w:w="1713" w:type="dxa"/>
          </w:tcPr>
          <w:p w:rsidR="00A06BE9" w:rsidRPr="00A06BE9" w:rsidRDefault="00A06BE9" w:rsidP="00E04CE7">
            <w:pPr>
              <w:jc w:val="right"/>
              <w:rPr>
                <w:rFonts w:ascii="Times New Roman" w:hAnsi="Times New Roman" w:cs="Times New Roman"/>
                <w:b/>
              </w:rPr>
            </w:pPr>
            <w:r w:rsidRPr="00A06BE9">
              <w:rPr>
                <w:rFonts w:ascii="Times New Roman" w:hAnsi="Times New Roman" w:cs="Times New Roman"/>
                <w:b/>
              </w:rPr>
              <w:t>% oppervla</w:t>
            </w:r>
            <w:r w:rsidRPr="00A06BE9">
              <w:rPr>
                <w:rFonts w:ascii="Times New Roman" w:hAnsi="Times New Roman" w:cs="Times New Roman"/>
                <w:b/>
              </w:rPr>
              <w:t>k</w:t>
            </w:r>
            <w:r w:rsidRPr="00A06BE9">
              <w:rPr>
                <w:rFonts w:ascii="Times New Roman" w:hAnsi="Times New Roman" w:cs="Times New Roman"/>
                <w:b/>
              </w:rPr>
              <w:t>te</w:t>
            </w:r>
          </w:p>
        </w:tc>
      </w:tr>
      <w:tr w:rsidR="00A06BE9" w:rsidRPr="00A06BE9" w:rsidTr="00E04CE7">
        <w:tc>
          <w:tcPr>
            <w:tcW w:w="3937" w:type="dxa"/>
          </w:tcPr>
          <w:p w:rsidR="00A06BE9" w:rsidRPr="00A06BE9" w:rsidRDefault="00A06BE9" w:rsidP="00E04CE7">
            <w:pPr>
              <w:rPr>
                <w:rFonts w:ascii="Times New Roman" w:hAnsi="Times New Roman" w:cs="Times New Roman"/>
                <w:sz w:val="20"/>
                <w:szCs w:val="20"/>
              </w:rPr>
            </w:pPr>
            <w:r>
              <w:rPr>
                <w:rFonts w:ascii="Times New Roman" w:hAnsi="Times New Roman" w:cs="Times New Roman"/>
                <w:sz w:val="20"/>
                <w:szCs w:val="20"/>
              </w:rPr>
              <w:t>G</w:t>
            </w:r>
            <w:r w:rsidRPr="00A06BE9">
              <w:rPr>
                <w:rFonts w:ascii="Times New Roman" w:hAnsi="Times New Roman" w:cs="Times New Roman"/>
                <w:sz w:val="20"/>
                <w:szCs w:val="20"/>
              </w:rPr>
              <w:t>eactiveerd</w:t>
            </w:r>
          </w:p>
        </w:tc>
        <w:tc>
          <w:tcPr>
            <w:tcW w:w="1880"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264</w:t>
            </w:r>
            <w:r w:rsidR="006F43DA">
              <w:rPr>
                <w:rFonts w:ascii="Times New Roman" w:hAnsi="Times New Roman" w:cs="Times New Roman"/>
                <w:sz w:val="20"/>
                <w:szCs w:val="20"/>
              </w:rPr>
              <w:t>,00</w:t>
            </w:r>
          </w:p>
        </w:tc>
        <w:tc>
          <w:tcPr>
            <w:tcW w:w="1802"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115</w:t>
            </w:r>
          </w:p>
        </w:tc>
        <w:tc>
          <w:tcPr>
            <w:tcW w:w="1713"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30,6</w:t>
            </w:r>
          </w:p>
        </w:tc>
      </w:tr>
      <w:tr w:rsidR="00A06BE9" w:rsidRPr="00A06BE9" w:rsidTr="00E04CE7">
        <w:tc>
          <w:tcPr>
            <w:tcW w:w="3937" w:type="dxa"/>
          </w:tcPr>
          <w:p w:rsidR="00A06BE9" w:rsidRPr="00A06BE9" w:rsidRDefault="00A06BE9" w:rsidP="00E04CE7">
            <w:pPr>
              <w:rPr>
                <w:rFonts w:ascii="Times New Roman" w:hAnsi="Times New Roman" w:cs="Times New Roman"/>
                <w:sz w:val="20"/>
                <w:szCs w:val="20"/>
              </w:rPr>
            </w:pPr>
            <w:r>
              <w:rPr>
                <w:rFonts w:ascii="Times New Roman" w:hAnsi="Times New Roman" w:cs="Times New Roman"/>
                <w:sz w:val="20"/>
                <w:szCs w:val="20"/>
              </w:rPr>
              <w:t>V</w:t>
            </w:r>
            <w:r w:rsidRPr="00A06BE9">
              <w:rPr>
                <w:rFonts w:ascii="Times New Roman" w:hAnsi="Times New Roman" w:cs="Times New Roman"/>
                <w:sz w:val="20"/>
                <w:szCs w:val="20"/>
              </w:rPr>
              <w:t>erantwoorde reserve</w:t>
            </w:r>
          </w:p>
        </w:tc>
        <w:tc>
          <w:tcPr>
            <w:tcW w:w="1880"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67,04</w:t>
            </w:r>
          </w:p>
        </w:tc>
        <w:tc>
          <w:tcPr>
            <w:tcW w:w="1802"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38</w:t>
            </w:r>
          </w:p>
        </w:tc>
        <w:tc>
          <w:tcPr>
            <w:tcW w:w="1713"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10,1</w:t>
            </w:r>
          </w:p>
        </w:tc>
      </w:tr>
      <w:tr w:rsidR="00A06BE9" w:rsidRPr="00A06BE9" w:rsidTr="00E04CE7">
        <w:tc>
          <w:tcPr>
            <w:tcW w:w="3937" w:type="dxa"/>
          </w:tcPr>
          <w:p w:rsidR="00A06BE9" w:rsidRPr="00A06BE9" w:rsidRDefault="00A06BE9" w:rsidP="00E04CE7">
            <w:pPr>
              <w:rPr>
                <w:rFonts w:ascii="Times New Roman" w:hAnsi="Times New Roman" w:cs="Times New Roman"/>
                <w:sz w:val="20"/>
                <w:szCs w:val="20"/>
              </w:rPr>
            </w:pPr>
            <w:r>
              <w:rPr>
                <w:rFonts w:ascii="Times New Roman" w:hAnsi="Times New Roman" w:cs="Times New Roman"/>
                <w:sz w:val="20"/>
                <w:szCs w:val="20"/>
              </w:rPr>
              <w:t>G</w:t>
            </w:r>
            <w:r w:rsidRPr="00A06BE9">
              <w:rPr>
                <w:rFonts w:ascii="Times New Roman" w:hAnsi="Times New Roman" w:cs="Times New Roman"/>
                <w:sz w:val="20"/>
                <w:szCs w:val="20"/>
              </w:rPr>
              <w:t>edwongen reserve</w:t>
            </w:r>
          </w:p>
        </w:tc>
        <w:tc>
          <w:tcPr>
            <w:tcW w:w="1880"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12,65</w:t>
            </w:r>
          </w:p>
        </w:tc>
        <w:tc>
          <w:tcPr>
            <w:tcW w:w="1802"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11</w:t>
            </w:r>
          </w:p>
        </w:tc>
        <w:tc>
          <w:tcPr>
            <w:tcW w:w="1713"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2,9</w:t>
            </w:r>
          </w:p>
        </w:tc>
      </w:tr>
      <w:tr w:rsidR="00A06BE9" w:rsidRPr="00A06BE9" w:rsidTr="00E04CE7">
        <w:tc>
          <w:tcPr>
            <w:tcW w:w="3937" w:type="dxa"/>
          </w:tcPr>
          <w:p w:rsidR="00A06BE9" w:rsidRPr="00A06BE9" w:rsidRDefault="00A06BE9" w:rsidP="00E04CE7">
            <w:pPr>
              <w:rPr>
                <w:rFonts w:ascii="Times New Roman" w:hAnsi="Times New Roman" w:cs="Times New Roman"/>
                <w:sz w:val="20"/>
                <w:szCs w:val="20"/>
              </w:rPr>
            </w:pPr>
            <w:r>
              <w:rPr>
                <w:rFonts w:ascii="Times New Roman" w:hAnsi="Times New Roman" w:cs="Times New Roman"/>
                <w:sz w:val="20"/>
                <w:szCs w:val="20"/>
              </w:rPr>
              <w:t>N</w:t>
            </w:r>
            <w:r w:rsidRPr="00A06BE9">
              <w:rPr>
                <w:rFonts w:ascii="Times New Roman" w:hAnsi="Times New Roman" w:cs="Times New Roman"/>
                <w:sz w:val="20"/>
                <w:szCs w:val="20"/>
              </w:rPr>
              <w:t xml:space="preserve">og onduidelijk </w:t>
            </w:r>
          </w:p>
        </w:tc>
        <w:tc>
          <w:tcPr>
            <w:tcW w:w="1880"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261,25</w:t>
            </w:r>
          </w:p>
        </w:tc>
        <w:tc>
          <w:tcPr>
            <w:tcW w:w="1802"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103</w:t>
            </w:r>
          </w:p>
        </w:tc>
        <w:tc>
          <w:tcPr>
            <w:tcW w:w="1713"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27,4</w:t>
            </w:r>
          </w:p>
        </w:tc>
      </w:tr>
      <w:tr w:rsidR="00A06BE9" w:rsidRPr="00A06BE9" w:rsidTr="00E04CE7">
        <w:tc>
          <w:tcPr>
            <w:tcW w:w="3937" w:type="dxa"/>
          </w:tcPr>
          <w:p w:rsidR="00A06BE9" w:rsidRPr="00A06BE9" w:rsidRDefault="00A06BE9" w:rsidP="00E04CE7">
            <w:pPr>
              <w:rPr>
                <w:rFonts w:ascii="Times New Roman" w:hAnsi="Times New Roman" w:cs="Times New Roman"/>
                <w:sz w:val="20"/>
                <w:szCs w:val="20"/>
              </w:rPr>
            </w:pPr>
            <w:r>
              <w:rPr>
                <w:rFonts w:ascii="Times New Roman" w:hAnsi="Times New Roman" w:cs="Times New Roman"/>
                <w:sz w:val="20"/>
                <w:szCs w:val="20"/>
              </w:rPr>
              <w:t>G</w:t>
            </w:r>
            <w:r w:rsidRPr="00A06BE9">
              <w:rPr>
                <w:rFonts w:ascii="Times New Roman" w:hAnsi="Times New Roman" w:cs="Times New Roman"/>
                <w:sz w:val="20"/>
                <w:szCs w:val="20"/>
              </w:rPr>
              <w:t>eblokkeerd</w:t>
            </w:r>
          </w:p>
        </w:tc>
        <w:tc>
          <w:tcPr>
            <w:tcW w:w="1880"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237,22</w:t>
            </w:r>
          </w:p>
        </w:tc>
        <w:tc>
          <w:tcPr>
            <w:tcW w:w="1802"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88</w:t>
            </w:r>
          </w:p>
        </w:tc>
        <w:tc>
          <w:tcPr>
            <w:tcW w:w="1713"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23,4</w:t>
            </w:r>
          </w:p>
        </w:tc>
      </w:tr>
      <w:tr w:rsidR="00A06BE9" w:rsidRPr="00A06BE9" w:rsidTr="00E04CE7">
        <w:tc>
          <w:tcPr>
            <w:tcW w:w="3937" w:type="dxa"/>
          </w:tcPr>
          <w:p w:rsidR="00A06BE9" w:rsidRPr="00A06BE9" w:rsidRDefault="00A06BE9" w:rsidP="00E04CE7">
            <w:pPr>
              <w:rPr>
                <w:rFonts w:ascii="Times New Roman" w:hAnsi="Times New Roman" w:cs="Times New Roman"/>
                <w:sz w:val="20"/>
                <w:szCs w:val="20"/>
              </w:rPr>
            </w:pPr>
            <w:r>
              <w:rPr>
                <w:rFonts w:ascii="Times New Roman" w:hAnsi="Times New Roman" w:cs="Times New Roman"/>
                <w:sz w:val="20"/>
                <w:szCs w:val="20"/>
              </w:rPr>
              <w:t>N</w:t>
            </w:r>
            <w:r w:rsidRPr="00A06BE9">
              <w:rPr>
                <w:rFonts w:ascii="Times New Roman" w:hAnsi="Times New Roman" w:cs="Times New Roman"/>
                <w:sz w:val="20"/>
                <w:szCs w:val="20"/>
              </w:rPr>
              <w:t>iet activeerbaar omwille van beleidsredenen</w:t>
            </w:r>
          </w:p>
        </w:tc>
        <w:tc>
          <w:tcPr>
            <w:tcW w:w="1880"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65,49</w:t>
            </w:r>
          </w:p>
        </w:tc>
        <w:tc>
          <w:tcPr>
            <w:tcW w:w="1802"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21</w:t>
            </w:r>
          </w:p>
        </w:tc>
        <w:tc>
          <w:tcPr>
            <w:tcW w:w="1713" w:type="dxa"/>
          </w:tcPr>
          <w:p w:rsidR="00A06BE9" w:rsidRPr="00A06BE9" w:rsidRDefault="00A06BE9" w:rsidP="00E04CE7">
            <w:pPr>
              <w:jc w:val="right"/>
              <w:rPr>
                <w:rFonts w:ascii="Times New Roman" w:hAnsi="Times New Roman" w:cs="Times New Roman"/>
                <w:sz w:val="20"/>
                <w:szCs w:val="20"/>
              </w:rPr>
            </w:pPr>
            <w:r w:rsidRPr="00A06BE9">
              <w:rPr>
                <w:rFonts w:ascii="Times New Roman" w:hAnsi="Times New Roman" w:cs="Times New Roman"/>
                <w:sz w:val="20"/>
                <w:szCs w:val="20"/>
              </w:rPr>
              <w:t>5,6</w:t>
            </w:r>
          </w:p>
        </w:tc>
      </w:tr>
    </w:tbl>
    <w:p w:rsidR="00A06BE9" w:rsidRDefault="00A06BE9" w:rsidP="00A06BE9">
      <w:pPr>
        <w:ind w:left="360"/>
        <w:rPr>
          <w:sz w:val="22"/>
          <w:szCs w:val="22"/>
        </w:rPr>
      </w:pPr>
    </w:p>
    <w:p w:rsidR="00A06BE9" w:rsidRDefault="00A06BE9" w:rsidP="00923D16">
      <w:pPr>
        <w:ind w:left="360"/>
        <w:jc w:val="both"/>
        <w:rPr>
          <w:sz w:val="22"/>
          <w:szCs w:val="22"/>
        </w:rPr>
      </w:pPr>
      <w:r w:rsidRPr="00A06BE9">
        <w:rPr>
          <w:sz w:val="22"/>
          <w:szCs w:val="22"/>
        </w:rPr>
        <w:t xml:space="preserve">De terreinen waarvan de situatie nog onduidelijk is, worden </w:t>
      </w:r>
      <w:r w:rsidR="006F43DA">
        <w:rPr>
          <w:sz w:val="22"/>
          <w:szCs w:val="22"/>
        </w:rPr>
        <w:t>in elk geval</w:t>
      </w:r>
      <w:r w:rsidRPr="00A06BE9">
        <w:rPr>
          <w:sz w:val="22"/>
          <w:szCs w:val="22"/>
        </w:rPr>
        <w:t xml:space="preserve"> verder opgevolgd door het activeringsteam</w:t>
      </w:r>
      <w:r>
        <w:rPr>
          <w:sz w:val="22"/>
          <w:szCs w:val="22"/>
        </w:rPr>
        <w:t>.</w:t>
      </w:r>
    </w:p>
    <w:p w:rsidR="00D3159E" w:rsidRDefault="00D3159E" w:rsidP="00A06BE9">
      <w:pPr>
        <w:rPr>
          <w:sz w:val="22"/>
          <w:szCs w:val="22"/>
        </w:rPr>
      </w:pPr>
    </w:p>
    <w:p w:rsidR="00A06BE9" w:rsidRPr="00A06BE9" w:rsidRDefault="00A06BE9" w:rsidP="00923D16">
      <w:pPr>
        <w:pStyle w:val="Lijstalinea"/>
        <w:numPr>
          <w:ilvl w:val="0"/>
          <w:numId w:val="5"/>
        </w:numPr>
        <w:jc w:val="both"/>
        <w:rPr>
          <w:sz w:val="22"/>
          <w:szCs w:val="22"/>
        </w:rPr>
      </w:pPr>
      <w:r w:rsidRPr="00A06BE9">
        <w:rPr>
          <w:sz w:val="22"/>
          <w:szCs w:val="22"/>
        </w:rPr>
        <w:t>In principe werk</w:t>
      </w:r>
      <w:r w:rsidR="006F43DA">
        <w:rPr>
          <w:sz w:val="22"/>
          <w:szCs w:val="22"/>
        </w:rPr>
        <w:t>ende</w:t>
      </w:r>
      <w:r w:rsidRPr="00A06BE9">
        <w:rPr>
          <w:sz w:val="22"/>
          <w:szCs w:val="22"/>
        </w:rPr>
        <w:t xml:space="preserve"> activeringsteams op basis van een </w:t>
      </w:r>
      <w:r w:rsidR="00B54EB7" w:rsidRPr="00A06BE9">
        <w:rPr>
          <w:sz w:val="22"/>
          <w:szCs w:val="22"/>
        </w:rPr>
        <w:t>vooraf bepaald</w:t>
      </w:r>
      <w:r w:rsidRPr="00A06BE9">
        <w:rPr>
          <w:sz w:val="22"/>
          <w:szCs w:val="22"/>
        </w:rPr>
        <w:t xml:space="preserve"> programma waarmee</w:t>
      </w:r>
      <w:r w:rsidR="006F43DA">
        <w:rPr>
          <w:sz w:val="22"/>
          <w:szCs w:val="22"/>
        </w:rPr>
        <w:t xml:space="preserve"> wordt b</w:t>
      </w:r>
      <w:r w:rsidRPr="00A06BE9">
        <w:rPr>
          <w:sz w:val="22"/>
          <w:szCs w:val="22"/>
        </w:rPr>
        <w:t xml:space="preserve">eoogd </w:t>
      </w:r>
      <w:r w:rsidR="006F43DA">
        <w:rPr>
          <w:sz w:val="22"/>
          <w:szCs w:val="22"/>
        </w:rPr>
        <w:t>o</w:t>
      </w:r>
      <w:r w:rsidRPr="00A06BE9">
        <w:rPr>
          <w:sz w:val="22"/>
          <w:szCs w:val="22"/>
        </w:rPr>
        <w:t>m zoveel mogelijk terreinen op de markt te krijgen. Mocht er voor bepaalde terre</w:t>
      </w:r>
      <w:r w:rsidRPr="00A06BE9">
        <w:rPr>
          <w:sz w:val="22"/>
          <w:szCs w:val="22"/>
        </w:rPr>
        <w:t>i</w:t>
      </w:r>
      <w:r w:rsidRPr="00A06BE9">
        <w:rPr>
          <w:sz w:val="22"/>
          <w:szCs w:val="22"/>
        </w:rPr>
        <w:t>nen in het kader van het SALK</w:t>
      </w:r>
      <w:r w:rsidR="00E65769">
        <w:rPr>
          <w:sz w:val="22"/>
          <w:szCs w:val="22"/>
        </w:rPr>
        <w:t>²</w:t>
      </w:r>
      <w:r w:rsidRPr="00A06BE9">
        <w:rPr>
          <w:sz w:val="22"/>
          <w:szCs w:val="22"/>
        </w:rPr>
        <w:t xml:space="preserve"> een specifieke positionering worden nagestreefd (specifieke doe</w:t>
      </w:r>
      <w:r w:rsidRPr="00A06BE9">
        <w:rPr>
          <w:sz w:val="22"/>
          <w:szCs w:val="22"/>
        </w:rPr>
        <w:t>l</w:t>
      </w:r>
      <w:r w:rsidRPr="00A06BE9">
        <w:rPr>
          <w:sz w:val="22"/>
          <w:szCs w:val="22"/>
        </w:rPr>
        <w:t>groep, extra inspanningen op vlak van acquisitie</w:t>
      </w:r>
      <w:r w:rsidR="006F43DA">
        <w:rPr>
          <w:sz w:val="22"/>
          <w:szCs w:val="22"/>
        </w:rPr>
        <w:t>, …</w:t>
      </w:r>
      <w:r w:rsidRPr="00A06BE9">
        <w:rPr>
          <w:sz w:val="22"/>
          <w:szCs w:val="22"/>
        </w:rPr>
        <w:t>), dan werpt dat misschien ook een nieuw licht op de onderhandelingspositie met de eigenaars en hun eventuele interesse om zelf het terrein te vermarkten of te ontwikkelen. In die zin zal de informatie over het SALK</w:t>
      </w:r>
      <w:r w:rsidR="00E65769">
        <w:rPr>
          <w:sz w:val="22"/>
          <w:szCs w:val="22"/>
        </w:rPr>
        <w:t>²</w:t>
      </w:r>
      <w:r w:rsidRPr="00A06BE9">
        <w:rPr>
          <w:sz w:val="22"/>
          <w:szCs w:val="22"/>
        </w:rPr>
        <w:t xml:space="preserve"> zeker relevant zijn om de werking van het </w:t>
      </w:r>
      <w:r w:rsidR="006F43DA">
        <w:rPr>
          <w:sz w:val="22"/>
          <w:szCs w:val="22"/>
        </w:rPr>
        <w:t xml:space="preserve">Limburgse </w:t>
      </w:r>
      <w:r w:rsidRPr="00A06BE9">
        <w:rPr>
          <w:sz w:val="22"/>
          <w:szCs w:val="22"/>
        </w:rPr>
        <w:t>activeringstea</w:t>
      </w:r>
      <w:r w:rsidR="006F43DA">
        <w:rPr>
          <w:sz w:val="22"/>
          <w:szCs w:val="22"/>
        </w:rPr>
        <w:t>m</w:t>
      </w:r>
      <w:r w:rsidRPr="00A06BE9">
        <w:rPr>
          <w:sz w:val="22"/>
          <w:szCs w:val="22"/>
        </w:rPr>
        <w:t xml:space="preserve"> te ondersteunen. Omgekeerd zal de werking van het activeringsteam uiteraard ook een positieve impact hebben op de ruimtelijk</w:t>
      </w:r>
      <w:r w:rsidR="006F43DA">
        <w:rPr>
          <w:sz w:val="22"/>
          <w:szCs w:val="22"/>
        </w:rPr>
        <w:t>-</w:t>
      </w:r>
      <w:r w:rsidRPr="00A06BE9">
        <w:rPr>
          <w:sz w:val="22"/>
          <w:szCs w:val="22"/>
        </w:rPr>
        <w:t>economische s</w:t>
      </w:r>
      <w:r w:rsidRPr="00A06BE9">
        <w:rPr>
          <w:sz w:val="22"/>
          <w:szCs w:val="22"/>
        </w:rPr>
        <w:t>i</w:t>
      </w:r>
      <w:r w:rsidRPr="00A06BE9">
        <w:rPr>
          <w:sz w:val="22"/>
          <w:szCs w:val="22"/>
        </w:rPr>
        <w:t xml:space="preserve">tuatie van Limburg. </w:t>
      </w:r>
    </w:p>
    <w:p w:rsidR="00D3159E" w:rsidRDefault="00D3159E" w:rsidP="00A06BE9">
      <w:pPr>
        <w:rPr>
          <w:sz w:val="22"/>
          <w:szCs w:val="22"/>
        </w:rPr>
      </w:pPr>
    </w:p>
    <w:p w:rsidR="00A06BE9" w:rsidRPr="00A06BE9" w:rsidRDefault="00A06BE9" w:rsidP="00A06BE9">
      <w:pPr>
        <w:pStyle w:val="Lijstalinea"/>
        <w:numPr>
          <w:ilvl w:val="0"/>
          <w:numId w:val="5"/>
        </w:numPr>
        <w:rPr>
          <w:sz w:val="22"/>
          <w:szCs w:val="22"/>
        </w:rPr>
      </w:pPr>
      <w:r w:rsidRPr="00A06BE9">
        <w:rPr>
          <w:sz w:val="22"/>
          <w:szCs w:val="22"/>
        </w:rPr>
        <w:t xml:space="preserve">Aan het Agentschap Ondernemen. </w:t>
      </w:r>
    </w:p>
    <w:p w:rsidR="00A06BE9" w:rsidRDefault="00A06BE9">
      <w:pPr>
        <w:rPr>
          <w:sz w:val="22"/>
          <w:szCs w:val="22"/>
        </w:rPr>
      </w:pPr>
    </w:p>
    <w:p w:rsidR="00A06BE9" w:rsidRPr="00A06BE9" w:rsidRDefault="00A06BE9" w:rsidP="00923D16">
      <w:pPr>
        <w:pStyle w:val="Lijstalinea"/>
        <w:numPr>
          <w:ilvl w:val="0"/>
          <w:numId w:val="5"/>
        </w:numPr>
        <w:jc w:val="both"/>
        <w:rPr>
          <w:sz w:val="22"/>
          <w:szCs w:val="22"/>
        </w:rPr>
      </w:pPr>
      <w:r w:rsidRPr="00A06BE9">
        <w:rPr>
          <w:sz w:val="22"/>
          <w:szCs w:val="22"/>
        </w:rPr>
        <w:t xml:space="preserve">Het Limburgse activeringsteam zal haar werking organiseren op basis van een indeling van de onbenutte bedrijfsgronden in 4 klassen. </w:t>
      </w:r>
    </w:p>
    <w:p w:rsidR="00A06BE9" w:rsidRPr="00A06BE9" w:rsidRDefault="00A06BE9" w:rsidP="00A06BE9">
      <w:pPr>
        <w:ind w:left="360"/>
        <w:rPr>
          <w:sz w:val="22"/>
          <w:szCs w:val="22"/>
        </w:rPr>
      </w:pPr>
    </w:p>
    <w:p w:rsidR="00A06BE9" w:rsidRPr="00A06BE9" w:rsidRDefault="00A06BE9" w:rsidP="00923D16">
      <w:pPr>
        <w:pStyle w:val="Lijstalinea"/>
        <w:numPr>
          <w:ilvl w:val="0"/>
          <w:numId w:val="8"/>
        </w:numPr>
        <w:jc w:val="both"/>
        <w:rPr>
          <w:sz w:val="22"/>
          <w:szCs w:val="22"/>
        </w:rPr>
      </w:pPr>
      <w:r w:rsidRPr="00B54EB7">
        <w:rPr>
          <w:b/>
          <w:sz w:val="22"/>
          <w:szCs w:val="22"/>
        </w:rPr>
        <w:t>klasse 1:</w:t>
      </w:r>
      <w:r w:rsidR="00923D16">
        <w:rPr>
          <w:b/>
          <w:sz w:val="22"/>
          <w:szCs w:val="22"/>
        </w:rPr>
        <w:t xml:space="preserve"> </w:t>
      </w:r>
      <w:r>
        <w:rPr>
          <w:sz w:val="22"/>
          <w:szCs w:val="22"/>
        </w:rPr>
        <w:t>p</w:t>
      </w:r>
      <w:r w:rsidRPr="00A06BE9">
        <w:rPr>
          <w:sz w:val="22"/>
          <w:szCs w:val="22"/>
        </w:rPr>
        <w:t>ercelen en gebieden in eigendom van bedrijven en waar middels een actieve ben</w:t>
      </w:r>
      <w:r w:rsidRPr="00A06BE9">
        <w:rPr>
          <w:sz w:val="22"/>
          <w:szCs w:val="22"/>
        </w:rPr>
        <w:t>a</w:t>
      </w:r>
      <w:r w:rsidRPr="00A06BE9">
        <w:rPr>
          <w:sz w:val="22"/>
          <w:szCs w:val="22"/>
        </w:rPr>
        <w:t>dering mogelijk een (gedeeltelijke) inschakeling kan bewerkstelligd worden. Het is daarbij a</w:t>
      </w:r>
      <w:r w:rsidRPr="00A06BE9">
        <w:rPr>
          <w:sz w:val="22"/>
          <w:szCs w:val="22"/>
        </w:rPr>
        <w:t>b</w:t>
      </w:r>
      <w:r w:rsidRPr="00A06BE9">
        <w:rPr>
          <w:sz w:val="22"/>
          <w:szCs w:val="22"/>
        </w:rPr>
        <w:t>soluut niet de bedoeling de eventuele toekomstige groei van de betrokken bedrijven te hyp</w:t>
      </w:r>
      <w:r w:rsidRPr="00A06BE9">
        <w:rPr>
          <w:sz w:val="22"/>
          <w:szCs w:val="22"/>
        </w:rPr>
        <w:t>o</w:t>
      </w:r>
      <w:r w:rsidRPr="00A06BE9">
        <w:rPr>
          <w:sz w:val="22"/>
          <w:szCs w:val="22"/>
        </w:rPr>
        <w:t xml:space="preserve">thekeren maar </w:t>
      </w:r>
      <w:r w:rsidR="006F43DA">
        <w:rPr>
          <w:sz w:val="22"/>
          <w:szCs w:val="22"/>
        </w:rPr>
        <w:t xml:space="preserve">wel </w:t>
      </w:r>
      <w:r w:rsidRPr="00A06BE9">
        <w:rPr>
          <w:sz w:val="22"/>
          <w:szCs w:val="22"/>
        </w:rPr>
        <w:t>op basis van een objectivering van de situatie na te gaan of en door inzet van welke middelen een verwerving, vermarkting of ontwikkeling van deze gronden mogelijk is. Concrete activiteiten slaan dan op het uitwerken van concrete inrichtingsvarianten om de eigenaars, of groepen van eigenaars, actief te kunnen benaderen, bijvoorbeeld om hen te st</w:t>
      </w:r>
      <w:r w:rsidRPr="00A06BE9">
        <w:rPr>
          <w:sz w:val="22"/>
          <w:szCs w:val="22"/>
        </w:rPr>
        <w:t>i</w:t>
      </w:r>
      <w:r w:rsidRPr="00A06BE9">
        <w:rPr>
          <w:sz w:val="22"/>
          <w:szCs w:val="22"/>
        </w:rPr>
        <w:t>muleren om in synergie (delen van) onbenutte bedrijfskavels of knelpuntterreinen te activeren. In deze klasse worden 24 onbenutte bedrijfsgronden, goed voor 143,4 ha, aangepakt</w:t>
      </w:r>
      <w:r>
        <w:rPr>
          <w:sz w:val="22"/>
          <w:szCs w:val="22"/>
        </w:rPr>
        <w:t>;</w:t>
      </w:r>
    </w:p>
    <w:p w:rsidR="00A06BE9" w:rsidRPr="00A06BE9" w:rsidRDefault="00A06BE9" w:rsidP="00923D16">
      <w:pPr>
        <w:pStyle w:val="Lijstalinea"/>
        <w:numPr>
          <w:ilvl w:val="0"/>
          <w:numId w:val="8"/>
        </w:numPr>
        <w:jc w:val="both"/>
        <w:rPr>
          <w:sz w:val="22"/>
          <w:szCs w:val="22"/>
        </w:rPr>
      </w:pPr>
      <w:r w:rsidRPr="00B54EB7">
        <w:rPr>
          <w:b/>
          <w:sz w:val="22"/>
          <w:szCs w:val="22"/>
        </w:rPr>
        <w:t>klasse 2:</w:t>
      </w:r>
      <w:r w:rsidR="00923D16">
        <w:rPr>
          <w:b/>
          <w:sz w:val="22"/>
          <w:szCs w:val="22"/>
        </w:rPr>
        <w:t xml:space="preserve"> </w:t>
      </w:r>
      <w:r>
        <w:rPr>
          <w:sz w:val="22"/>
          <w:szCs w:val="22"/>
        </w:rPr>
        <w:t>p</w:t>
      </w:r>
      <w:r w:rsidRPr="00A06BE9">
        <w:rPr>
          <w:sz w:val="22"/>
          <w:szCs w:val="22"/>
        </w:rPr>
        <w:t>ercelen in particuliere eigendom, die geen economische benutting nastreven. Het betreft 4 zones die samen bijna 12 ha uitmaken</w:t>
      </w:r>
      <w:r>
        <w:rPr>
          <w:sz w:val="22"/>
          <w:szCs w:val="22"/>
        </w:rPr>
        <w:t>;</w:t>
      </w:r>
    </w:p>
    <w:p w:rsidR="00A06BE9" w:rsidRPr="00A06BE9" w:rsidRDefault="00A06BE9" w:rsidP="00923D16">
      <w:pPr>
        <w:pStyle w:val="Lijstalinea"/>
        <w:numPr>
          <w:ilvl w:val="0"/>
          <w:numId w:val="8"/>
        </w:numPr>
        <w:jc w:val="both"/>
        <w:rPr>
          <w:sz w:val="22"/>
          <w:szCs w:val="22"/>
        </w:rPr>
      </w:pPr>
      <w:r w:rsidRPr="00B54EB7">
        <w:rPr>
          <w:b/>
          <w:sz w:val="22"/>
          <w:szCs w:val="22"/>
        </w:rPr>
        <w:t>klasse 3:</w:t>
      </w:r>
      <w:r w:rsidR="00923D16">
        <w:rPr>
          <w:b/>
          <w:sz w:val="22"/>
          <w:szCs w:val="22"/>
        </w:rPr>
        <w:t xml:space="preserve"> </w:t>
      </w:r>
      <w:bookmarkStart w:id="0" w:name="_GoBack"/>
      <w:bookmarkEnd w:id="0"/>
      <w:r>
        <w:rPr>
          <w:sz w:val="22"/>
          <w:szCs w:val="22"/>
        </w:rPr>
        <w:t>o</w:t>
      </w:r>
      <w:r w:rsidRPr="00A06BE9">
        <w:rPr>
          <w:sz w:val="22"/>
          <w:szCs w:val="22"/>
        </w:rPr>
        <w:t>p te volgen percelen en gebieden. Dit zijn belangrijke of grote percelen die mome</w:t>
      </w:r>
      <w:r w:rsidRPr="00A06BE9">
        <w:rPr>
          <w:sz w:val="22"/>
          <w:szCs w:val="22"/>
        </w:rPr>
        <w:t>n</w:t>
      </w:r>
      <w:r w:rsidRPr="00A06BE9">
        <w:rPr>
          <w:sz w:val="22"/>
          <w:szCs w:val="22"/>
        </w:rPr>
        <w:t>teel geblokkeerd zijn maar door hun grootte of ligging dermate belangrijk zijn dat een opvo</w:t>
      </w:r>
      <w:r w:rsidRPr="00A06BE9">
        <w:rPr>
          <w:sz w:val="22"/>
          <w:szCs w:val="22"/>
        </w:rPr>
        <w:t>l</w:t>
      </w:r>
      <w:r w:rsidRPr="00A06BE9">
        <w:rPr>
          <w:sz w:val="22"/>
          <w:szCs w:val="22"/>
        </w:rPr>
        <w:t xml:space="preserve">ging – in maatschappelijke context – meer dan verantwoord is. Het betreft 9 zones van </w:t>
      </w:r>
      <w:r w:rsidR="00B54EB7" w:rsidRPr="00A06BE9">
        <w:rPr>
          <w:sz w:val="22"/>
          <w:szCs w:val="22"/>
        </w:rPr>
        <w:t>samen</w:t>
      </w:r>
      <w:r w:rsidRPr="00A06BE9">
        <w:rPr>
          <w:sz w:val="22"/>
          <w:szCs w:val="22"/>
        </w:rPr>
        <w:t xml:space="preserve"> meer dan 91 ha</w:t>
      </w:r>
      <w:r>
        <w:rPr>
          <w:sz w:val="22"/>
          <w:szCs w:val="22"/>
        </w:rPr>
        <w:t>;</w:t>
      </w:r>
    </w:p>
    <w:p w:rsidR="00A06BE9" w:rsidRPr="00A06BE9" w:rsidRDefault="00A06BE9" w:rsidP="00923D16">
      <w:pPr>
        <w:pStyle w:val="Lijstalinea"/>
        <w:numPr>
          <w:ilvl w:val="0"/>
          <w:numId w:val="8"/>
        </w:numPr>
        <w:jc w:val="both"/>
        <w:rPr>
          <w:sz w:val="22"/>
          <w:szCs w:val="22"/>
        </w:rPr>
      </w:pPr>
      <w:r w:rsidRPr="00B54EB7">
        <w:rPr>
          <w:b/>
          <w:sz w:val="22"/>
          <w:szCs w:val="22"/>
        </w:rPr>
        <w:t>klasse 4:</w:t>
      </w:r>
      <w:r w:rsidR="00923D16">
        <w:rPr>
          <w:b/>
          <w:sz w:val="22"/>
          <w:szCs w:val="22"/>
        </w:rPr>
        <w:t xml:space="preserve"> </w:t>
      </w:r>
      <w:r>
        <w:rPr>
          <w:sz w:val="22"/>
          <w:szCs w:val="22"/>
        </w:rPr>
        <w:t>m</w:t>
      </w:r>
      <w:r w:rsidRPr="00A06BE9">
        <w:rPr>
          <w:sz w:val="22"/>
          <w:szCs w:val="22"/>
        </w:rPr>
        <w:t xml:space="preserve">ogelijk te </w:t>
      </w:r>
      <w:proofErr w:type="spellStart"/>
      <w:r w:rsidRPr="00A06BE9">
        <w:rPr>
          <w:sz w:val="22"/>
          <w:szCs w:val="22"/>
        </w:rPr>
        <w:t>desaffecteren</w:t>
      </w:r>
      <w:proofErr w:type="spellEnd"/>
      <w:r w:rsidRPr="00A06BE9">
        <w:rPr>
          <w:sz w:val="22"/>
          <w:szCs w:val="22"/>
        </w:rPr>
        <w:t xml:space="preserve"> bedrijventerreinen. Het betreft 1 zone.</w:t>
      </w:r>
    </w:p>
    <w:p w:rsidR="00A06BE9" w:rsidRPr="00A06BE9" w:rsidRDefault="00A06BE9" w:rsidP="00923D16">
      <w:pPr>
        <w:ind w:left="360"/>
        <w:jc w:val="both"/>
        <w:rPr>
          <w:sz w:val="22"/>
          <w:szCs w:val="22"/>
        </w:rPr>
      </w:pPr>
    </w:p>
    <w:p w:rsidR="007B527F" w:rsidRPr="003F450F" w:rsidRDefault="00A06BE9" w:rsidP="00923D16">
      <w:pPr>
        <w:ind w:left="360"/>
        <w:jc w:val="both"/>
        <w:rPr>
          <w:sz w:val="22"/>
          <w:szCs w:val="22"/>
        </w:rPr>
      </w:pPr>
      <w:r w:rsidRPr="00A06BE9">
        <w:rPr>
          <w:sz w:val="22"/>
          <w:szCs w:val="22"/>
        </w:rPr>
        <w:t>Daarnaast zal het activeringsteam ook prospectie doen naar brownfields die mogelijkerwijze in een nieuwe oproep brownfieldconvenanten kunnen worden ingediend. Het betreft een drietal z</w:t>
      </w:r>
      <w:r w:rsidRPr="00A06BE9">
        <w:rPr>
          <w:sz w:val="22"/>
          <w:szCs w:val="22"/>
        </w:rPr>
        <w:t>o</w:t>
      </w:r>
      <w:r w:rsidRPr="00A06BE9">
        <w:rPr>
          <w:sz w:val="22"/>
          <w:szCs w:val="22"/>
        </w:rPr>
        <w:t>nes.</w:t>
      </w:r>
    </w:p>
    <w:sectPr w:rsidR="007B527F" w:rsidRPr="003F450F" w:rsidSect="00AD5E16">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08A429F4"/>
    <w:multiLevelType w:val="hybridMultilevel"/>
    <w:tmpl w:val="515CC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4A512C1"/>
    <w:multiLevelType w:val="hybridMultilevel"/>
    <w:tmpl w:val="6BDC3120"/>
    <w:lvl w:ilvl="0" w:tplc="C80CFA06">
      <w:start w:val="2"/>
      <w:numFmt w:val="decimal"/>
      <w:lvlText w:val="%1."/>
      <w:lvlJc w:val="left"/>
      <w:pPr>
        <w:tabs>
          <w:tab w:val="num" w:pos="720"/>
        </w:tabs>
        <w:ind w:left="720" w:hanging="360"/>
      </w:pPr>
      <w:rPr>
        <w:rFonts w:hint="default"/>
      </w:rPr>
    </w:lvl>
    <w:lvl w:ilvl="1" w:tplc="73D89108" w:tentative="1">
      <w:start w:val="1"/>
      <w:numFmt w:val="lowerLetter"/>
      <w:lvlText w:val="%2."/>
      <w:lvlJc w:val="left"/>
      <w:pPr>
        <w:tabs>
          <w:tab w:val="num" w:pos="1440"/>
        </w:tabs>
        <w:ind w:left="1440" w:hanging="360"/>
      </w:pPr>
    </w:lvl>
    <w:lvl w:ilvl="2" w:tplc="8C7E50D0" w:tentative="1">
      <w:start w:val="1"/>
      <w:numFmt w:val="lowerRoman"/>
      <w:lvlText w:val="%3."/>
      <w:lvlJc w:val="right"/>
      <w:pPr>
        <w:tabs>
          <w:tab w:val="num" w:pos="2160"/>
        </w:tabs>
        <w:ind w:left="2160" w:hanging="180"/>
      </w:pPr>
    </w:lvl>
    <w:lvl w:ilvl="3" w:tplc="BAB436D4" w:tentative="1">
      <w:start w:val="1"/>
      <w:numFmt w:val="decimal"/>
      <w:lvlText w:val="%4."/>
      <w:lvlJc w:val="left"/>
      <w:pPr>
        <w:tabs>
          <w:tab w:val="num" w:pos="2880"/>
        </w:tabs>
        <w:ind w:left="2880" w:hanging="360"/>
      </w:pPr>
    </w:lvl>
    <w:lvl w:ilvl="4" w:tplc="ADAE7C92" w:tentative="1">
      <w:start w:val="1"/>
      <w:numFmt w:val="lowerLetter"/>
      <w:lvlText w:val="%5."/>
      <w:lvlJc w:val="left"/>
      <w:pPr>
        <w:tabs>
          <w:tab w:val="num" w:pos="3600"/>
        </w:tabs>
        <w:ind w:left="3600" w:hanging="360"/>
      </w:pPr>
    </w:lvl>
    <w:lvl w:ilvl="5" w:tplc="7A6CEEFC" w:tentative="1">
      <w:start w:val="1"/>
      <w:numFmt w:val="lowerRoman"/>
      <w:lvlText w:val="%6."/>
      <w:lvlJc w:val="right"/>
      <w:pPr>
        <w:tabs>
          <w:tab w:val="num" w:pos="4320"/>
        </w:tabs>
        <w:ind w:left="4320" w:hanging="180"/>
      </w:pPr>
    </w:lvl>
    <w:lvl w:ilvl="6" w:tplc="EF7888DA" w:tentative="1">
      <w:start w:val="1"/>
      <w:numFmt w:val="decimal"/>
      <w:lvlText w:val="%7."/>
      <w:lvlJc w:val="left"/>
      <w:pPr>
        <w:tabs>
          <w:tab w:val="num" w:pos="5040"/>
        </w:tabs>
        <w:ind w:left="5040" w:hanging="360"/>
      </w:pPr>
    </w:lvl>
    <w:lvl w:ilvl="7" w:tplc="BCCA1A34" w:tentative="1">
      <w:start w:val="1"/>
      <w:numFmt w:val="lowerLetter"/>
      <w:lvlText w:val="%8."/>
      <w:lvlJc w:val="left"/>
      <w:pPr>
        <w:tabs>
          <w:tab w:val="num" w:pos="5760"/>
        </w:tabs>
        <w:ind w:left="5760" w:hanging="360"/>
      </w:pPr>
    </w:lvl>
    <w:lvl w:ilvl="8" w:tplc="B5367ADE" w:tentative="1">
      <w:start w:val="1"/>
      <w:numFmt w:val="lowerRoman"/>
      <w:lvlText w:val="%9."/>
      <w:lvlJc w:val="right"/>
      <w:pPr>
        <w:tabs>
          <w:tab w:val="num" w:pos="6480"/>
        </w:tabs>
        <w:ind w:left="6480" w:hanging="180"/>
      </w:pPr>
    </w:lvl>
  </w:abstractNum>
  <w:abstractNum w:abstractNumId="3">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E7792D"/>
    <w:multiLevelType w:val="hybridMultilevel"/>
    <w:tmpl w:val="1F2E742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6B25354"/>
    <w:multiLevelType w:val="hybridMultilevel"/>
    <w:tmpl w:val="2FA4EF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6BD217B8"/>
    <w:multiLevelType w:val="hybridMultilevel"/>
    <w:tmpl w:val="B01EE73A"/>
    <w:lvl w:ilvl="0" w:tplc="29C83CC0">
      <w:start w:val="1"/>
      <w:numFmt w:val="decimal"/>
      <w:lvlText w:val="%1."/>
      <w:lvlJc w:val="left"/>
      <w:pPr>
        <w:ind w:left="360" w:hanging="360"/>
      </w:pPr>
      <w:rPr>
        <w:rFonts w:hint="default"/>
      </w:rPr>
    </w:lvl>
    <w:lvl w:ilvl="1" w:tplc="56C4F91A">
      <w:numFmt w:val="bullet"/>
      <w:lvlText w:val="•"/>
      <w:lvlJc w:val="left"/>
      <w:pPr>
        <w:ind w:left="1080" w:hanging="360"/>
      </w:pPr>
      <w:rPr>
        <w:rFonts w:ascii="Times New Roman" w:eastAsia="Times New Roman" w:hAnsi="Times New Roman"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45E43"/>
    <w:rsid w:val="00157A87"/>
    <w:rsid w:val="001747B4"/>
    <w:rsid w:val="001F0937"/>
    <w:rsid w:val="002730B7"/>
    <w:rsid w:val="003F450F"/>
    <w:rsid w:val="005431C7"/>
    <w:rsid w:val="006114A2"/>
    <w:rsid w:val="006A05B3"/>
    <w:rsid w:val="006A324D"/>
    <w:rsid w:val="006F43DA"/>
    <w:rsid w:val="006F7264"/>
    <w:rsid w:val="007A666B"/>
    <w:rsid w:val="007B527F"/>
    <w:rsid w:val="007F7F53"/>
    <w:rsid w:val="00923D16"/>
    <w:rsid w:val="009976C1"/>
    <w:rsid w:val="009E2C40"/>
    <w:rsid w:val="00A06BE9"/>
    <w:rsid w:val="00AB0AA4"/>
    <w:rsid w:val="00AD5E16"/>
    <w:rsid w:val="00B54EB7"/>
    <w:rsid w:val="00D3159E"/>
    <w:rsid w:val="00D522C8"/>
    <w:rsid w:val="00E65769"/>
    <w:rsid w:val="00EB78C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table" w:styleId="Tabelraster">
    <w:name w:val="Table Grid"/>
    <w:basedOn w:val="Standaardtabel"/>
    <w:uiPriority w:val="59"/>
    <w:rsid w:val="00A06BE9"/>
    <w:rPr>
      <w:rFonts w:ascii="Calibri" w:eastAsiaTheme="minorHAns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6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table" w:styleId="Tabelraster">
    <w:name w:val="Table Grid"/>
    <w:basedOn w:val="Standaardtabel"/>
    <w:uiPriority w:val="59"/>
    <w:rsid w:val="00A06BE9"/>
    <w:rPr>
      <w:rFonts w:ascii="Calibri" w:eastAsiaTheme="minorHAns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6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20EDW_Staf\PV\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2</Pages>
  <Words>674</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Nathalie De Keyzer</cp:lastModifiedBy>
  <cp:revision>3</cp:revision>
  <cp:lastPrinted>2007-12-14T07:15:00Z</cp:lastPrinted>
  <dcterms:created xsi:type="dcterms:W3CDTF">2012-12-17T12:25:00Z</dcterms:created>
  <dcterms:modified xsi:type="dcterms:W3CDTF">2012-12-18T10:10:00Z</dcterms:modified>
</cp:coreProperties>
</file>