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CE" w:rsidRPr="00693743" w:rsidRDefault="009864CE" w:rsidP="007E2BBA">
      <w:pPr>
        <w:jc w:val="both"/>
        <w:rPr>
          <w:rFonts w:ascii="Times New Roman Vet" w:hAnsi="Times New Roman Vet"/>
          <w:smallCaps/>
          <w:sz w:val="22"/>
          <w:szCs w:val="22"/>
          <w:lang w:val="nl-BE"/>
        </w:rPr>
      </w:pPr>
      <w:proofErr w:type="spellStart"/>
      <w:r w:rsidRPr="00693743">
        <w:rPr>
          <w:rFonts w:ascii="Times New Roman Vet" w:hAnsi="Times New Roman Vet"/>
          <w:b/>
          <w:smallCaps/>
          <w:sz w:val="22"/>
          <w:szCs w:val="22"/>
          <w:lang w:val="nl-BE"/>
        </w:rPr>
        <w:t>ingrid</w:t>
      </w:r>
      <w:proofErr w:type="spellEnd"/>
      <w:r w:rsidRPr="00693743">
        <w:rPr>
          <w:rFonts w:ascii="Times New Roman Vet" w:hAnsi="Times New Roman Vet"/>
          <w:b/>
          <w:smallCaps/>
          <w:sz w:val="22"/>
          <w:szCs w:val="22"/>
          <w:lang w:val="nl-BE"/>
        </w:rPr>
        <w:t xml:space="preserve"> lieten</w:t>
      </w:r>
    </w:p>
    <w:p w:rsidR="00941198" w:rsidRPr="00693743" w:rsidRDefault="009864CE" w:rsidP="007E2BBA">
      <w:pPr>
        <w:pStyle w:val="StandaardSV"/>
        <w:pBdr>
          <w:bottom w:val="single" w:sz="4" w:space="1" w:color="auto"/>
        </w:pBdr>
        <w:rPr>
          <w:smallCaps/>
          <w:szCs w:val="22"/>
          <w:lang w:val="nl-BE"/>
        </w:rPr>
      </w:pPr>
      <w:r w:rsidRPr="00693743">
        <w:rPr>
          <w:smallCaps/>
          <w:szCs w:val="22"/>
          <w:lang w:val="nl-BE"/>
        </w:rPr>
        <w:t>viceminister-president van de vlaamse regering, vlaams minister van innovatie, overheidsinvesteringen, media en armoedebestrijding</w:t>
      </w:r>
    </w:p>
    <w:p w:rsidR="009864CE" w:rsidRDefault="009864CE" w:rsidP="007E2BBA">
      <w:pPr>
        <w:pStyle w:val="StandaardSV"/>
        <w:pBdr>
          <w:bottom w:val="single" w:sz="4" w:space="1" w:color="auto"/>
        </w:pBdr>
      </w:pPr>
    </w:p>
    <w:p w:rsidR="009F10A6" w:rsidRDefault="009F10A6" w:rsidP="007E2BBA">
      <w:pPr>
        <w:jc w:val="both"/>
        <w:rPr>
          <w:sz w:val="22"/>
        </w:rPr>
      </w:pPr>
    </w:p>
    <w:p w:rsidR="00C76F14" w:rsidRPr="00C76F14" w:rsidRDefault="00C76F14" w:rsidP="007E2BBA">
      <w:pPr>
        <w:jc w:val="both"/>
        <w:rPr>
          <w:rFonts w:ascii="Times New Roman Vet" w:hAnsi="Times New Roman Vet"/>
          <w:b/>
          <w:smallCaps/>
          <w:sz w:val="22"/>
        </w:rPr>
      </w:pPr>
      <w:r w:rsidRPr="00C76F14">
        <w:rPr>
          <w:rFonts w:ascii="Times New Roman Vet" w:hAnsi="Times New Roman Vet"/>
          <w:b/>
          <w:smallCaps/>
          <w:sz w:val="22"/>
        </w:rPr>
        <w:t>a</w:t>
      </w:r>
      <w:r w:rsidR="00DD6BEC" w:rsidRPr="00C76F14">
        <w:rPr>
          <w:rFonts w:ascii="Times New Roman Vet" w:hAnsi="Times New Roman Vet"/>
          <w:b/>
          <w:smallCaps/>
          <w:sz w:val="22"/>
        </w:rPr>
        <w:t xml:space="preserve">ntwoord </w:t>
      </w:r>
    </w:p>
    <w:p w:rsidR="009F10A6" w:rsidRDefault="00DD6BEC" w:rsidP="007E2BBA">
      <w:pPr>
        <w:jc w:val="both"/>
        <w:rPr>
          <w:sz w:val="22"/>
        </w:rPr>
      </w:pPr>
      <w:r>
        <w:rPr>
          <w:sz w:val="22"/>
        </w:rPr>
        <w:t>op v</w:t>
      </w:r>
      <w:r w:rsidR="009F10A6">
        <w:rPr>
          <w:sz w:val="22"/>
        </w:rPr>
        <w:t>raag nr</w:t>
      </w:r>
      <w:r w:rsidR="007A7738">
        <w:rPr>
          <w:sz w:val="22"/>
        </w:rPr>
        <w:t xml:space="preserve">. </w:t>
      </w:r>
      <w:r w:rsidR="008047F7">
        <w:rPr>
          <w:sz w:val="22"/>
        </w:rPr>
        <w:t>58</w:t>
      </w:r>
      <w:r w:rsidR="00C76F14">
        <w:rPr>
          <w:sz w:val="22"/>
        </w:rPr>
        <w:t xml:space="preserve"> </w:t>
      </w:r>
      <w:r w:rsidR="009F10A6">
        <w:rPr>
          <w:sz w:val="22"/>
        </w:rPr>
        <w:t xml:space="preserve">van </w:t>
      </w:r>
      <w:r w:rsidR="008047F7">
        <w:rPr>
          <w:sz w:val="22"/>
        </w:rPr>
        <w:t>15 november 2012</w:t>
      </w:r>
    </w:p>
    <w:p w:rsidR="009F10A6" w:rsidRDefault="009F10A6" w:rsidP="007E2BBA">
      <w:pPr>
        <w:pStyle w:val="StandaardSV"/>
        <w:rPr>
          <w:b/>
        </w:rPr>
      </w:pPr>
      <w:r>
        <w:t xml:space="preserve">van </w:t>
      </w:r>
      <w:r w:rsidR="008047F7">
        <w:rPr>
          <w:b/>
          <w:smallCaps/>
        </w:rPr>
        <w:t>robrecht bothuyne</w:t>
      </w:r>
    </w:p>
    <w:p w:rsidR="009F10A6" w:rsidRDefault="009F10A6" w:rsidP="007E2BBA">
      <w:pPr>
        <w:pBdr>
          <w:bottom w:val="single" w:sz="4" w:space="1" w:color="auto"/>
        </w:pBdr>
        <w:jc w:val="both"/>
        <w:rPr>
          <w:sz w:val="22"/>
        </w:rPr>
      </w:pPr>
    </w:p>
    <w:p w:rsidR="00EF296F" w:rsidRDefault="00EF296F" w:rsidP="007E2BBA">
      <w:pPr>
        <w:pStyle w:val="StandaardSV"/>
      </w:pPr>
    </w:p>
    <w:p w:rsidR="00080040" w:rsidRDefault="00080040" w:rsidP="007E2BBA">
      <w:pPr>
        <w:pStyle w:val="StandaardSV"/>
      </w:pPr>
    </w:p>
    <w:tbl>
      <w:tblPr>
        <w:tblW w:w="9747" w:type="dxa"/>
        <w:tblLook w:val="04A0" w:firstRow="1" w:lastRow="0" w:firstColumn="1" w:lastColumn="0" w:noHBand="0" w:noVBand="1"/>
      </w:tblPr>
      <w:tblGrid>
        <w:gridCol w:w="396"/>
        <w:gridCol w:w="400"/>
        <w:gridCol w:w="8951"/>
      </w:tblGrid>
      <w:tr w:rsidR="00320FE9" w:rsidTr="00C76F14">
        <w:tc>
          <w:tcPr>
            <w:tcW w:w="0" w:type="auto"/>
            <w:shd w:val="clear" w:color="auto" w:fill="auto"/>
          </w:tcPr>
          <w:p w:rsidR="00320FE9" w:rsidRDefault="00DD6BEC" w:rsidP="00DD6BEC">
            <w:r>
              <w:t>1.</w:t>
            </w:r>
          </w:p>
        </w:tc>
        <w:tc>
          <w:tcPr>
            <w:tcW w:w="0" w:type="auto"/>
            <w:shd w:val="clear" w:color="auto" w:fill="auto"/>
          </w:tcPr>
          <w:p w:rsidR="00320FE9" w:rsidRPr="001E4FF1" w:rsidRDefault="00320FE9" w:rsidP="00346CC6">
            <w:pPr>
              <w:pStyle w:val="StandaardSV"/>
              <w:rPr>
                <w:lang w:val="nl-BE"/>
              </w:rPr>
            </w:pPr>
          </w:p>
        </w:tc>
        <w:tc>
          <w:tcPr>
            <w:tcW w:w="8951" w:type="dxa"/>
            <w:shd w:val="clear" w:color="auto" w:fill="auto"/>
          </w:tcPr>
          <w:p w:rsidR="0050213B" w:rsidRPr="0050213B" w:rsidRDefault="001B0B67" w:rsidP="004E08C9">
            <w:pPr>
              <w:pStyle w:val="StandaardSV"/>
              <w:rPr>
                <w:u w:val="single"/>
                <w:lang w:val="nl-BE"/>
              </w:rPr>
            </w:pPr>
            <w:r>
              <w:rPr>
                <w:u w:val="single"/>
                <w:lang w:val="nl-BE"/>
              </w:rPr>
              <w:t>Benutting van de kredieten</w:t>
            </w:r>
          </w:p>
          <w:p w:rsidR="0050213B" w:rsidRDefault="0050213B" w:rsidP="004E08C9">
            <w:pPr>
              <w:pStyle w:val="StandaardSV"/>
              <w:rPr>
                <w:lang w:val="nl-BE"/>
              </w:rPr>
            </w:pPr>
          </w:p>
          <w:p w:rsidR="00963A44" w:rsidRDefault="004E08C9" w:rsidP="004E08C9">
            <w:pPr>
              <w:pStyle w:val="StandaardSV"/>
              <w:rPr>
                <w:lang w:val="nl-BE"/>
              </w:rPr>
            </w:pPr>
            <w:r>
              <w:rPr>
                <w:lang w:val="nl-BE"/>
              </w:rPr>
              <w:t>De vastleggingsmachtigingen</w:t>
            </w:r>
            <w:r w:rsidR="0050213B">
              <w:rPr>
                <w:lang w:val="nl-BE"/>
              </w:rPr>
              <w:t xml:space="preserve"> voor de bedrijfsprojecten</w:t>
            </w:r>
            <w:r>
              <w:rPr>
                <w:lang w:val="nl-BE"/>
              </w:rPr>
              <w:t xml:space="preserve"> </w:t>
            </w:r>
            <w:r w:rsidR="00311A73">
              <w:rPr>
                <w:lang w:val="nl-BE"/>
              </w:rPr>
              <w:t xml:space="preserve">(incl. kmo-programma) </w:t>
            </w:r>
            <w:r w:rsidR="001B0B67">
              <w:rPr>
                <w:lang w:val="nl-BE"/>
              </w:rPr>
              <w:t>waren per jaar :</w:t>
            </w:r>
          </w:p>
          <w:p w:rsidR="004E08C9" w:rsidRDefault="004E08C9" w:rsidP="004E08C9">
            <w:pPr>
              <w:pStyle w:val="StandaardSV"/>
              <w:rPr>
                <w:lang w:val="nl-BE"/>
              </w:rPr>
            </w:pPr>
          </w:p>
          <w:tbl>
            <w:tblPr>
              <w:tblStyle w:val="Tabelraster"/>
              <w:tblW w:w="0" w:type="auto"/>
              <w:tblInd w:w="81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56"/>
              <w:gridCol w:w="1439"/>
            </w:tblGrid>
            <w:tr w:rsidR="004E08C9" w:rsidTr="002C6293">
              <w:tc>
                <w:tcPr>
                  <w:tcW w:w="0" w:type="auto"/>
                </w:tcPr>
                <w:p w:rsidR="004E08C9" w:rsidRDefault="004E08C9" w:rsidP="004E08C9">
                  <w:pPr>
                    <w:pStyle w:val="StandaardSV"/>
                    <w:rPr>
                      <w:lang w:val="nl-BE"/>
                    </w:rPr>
                  </w:pPr>
                  <w:r>
                    <w:rPr>
                      <w:lang w:val="nl-BE"/>
                    </w:rPr>
                    <w:t>2008</w:t>
                  </w:r>
                </w:p>
              </w:tc>
              <w:tc>
                <w:tcPr>
                  <w:tcW w:w="0" w:type="auto"/>
                </w:tcPr>
                <w:p w:rsidR="004E08C9" w:rsidRDefault="004E08C9" w:rsidP="004E08C9">
                  <w:pPr>
                    <w:pStyle w:val="StandaardSV"/>
                    <w:rPr>
                      <w:lang w:val="nl-BE"/>
                    </w:rPr>
                  </w:pPr>
                  <w:r>
                    <w:rPr>
                      <w:lang w:val="nl-BE"/>
                    </w:rPr>
                    <w:t>112 mio EUR</w:t>
                  </w:r>
                </w:p>
              </w:tc>
            </w:tr>
            <w:tr w:rsidR="004E08C9" w:rsidTr="002C6293">
              <w:tc>
                <w:tcPr>
                  <w:tcW w:w="0" w:type="auto"/>
                </w:tcPr>
                <w:p w:rsidR="004E08C9" w:rsidRDefault="004E08C9" w:rsidP="004E08C9">
                  <w:pPr>
                    <w:pStyle w:val="StandaardSV"/>
                    <w:rPr>
                      <w:lang w:val="nl-BE"/>
                    </w:rPr>
                  </w:pPr>
                  <w:r>
                    <w:rPr>
                      <w:lang w:val="nl-BE"/>
                    </w:rPr>
                    <w:t>2009</w:t>
                  </w:r>
                </w:p>
              </w:tc>
              <w:tc>
                <w:tcPr>
                  <w:tcW w:w="0" w:type="auto"/>
                </w:tcPr>
                <w:p w:rsidR="004E08C9" w:rsidRDefault="004E08C9" w:rsidP="004E08C9">
                  <w:pPr>
                    <w:pStyle w:val="StandaardSV"/>
                    <w:rPr>
                      <w:lang w:val="nl-BE"/>
                    </w:rPr>
                  </w:pPr>
                  <w:r>
                    <w:rPr>
                      <w:lang w:val="nl-BE"/>
                    </w:rPr>
                    <w:t>117 mio EUR</w:t>
                  </w:r>
                </w:p>
              </w:tc>
            </w:tr>
            <w:tr w:rsidR="004E08C9" w:rsidTr="002C6293">
              <w:tc>
                <w:tcPr>
                  <w:tcW w:w="0" w:type="auto"/>
                </w:tcPr>
                <w:p w:rsidR="004E08C9" w:rsidRDefault="004E08C9" w:rsidP="004E08C9">
                  <w:pPr>
                    <w:pStyle w:val="StandaardSV"/>
                    <w:rPr>
                      <w:lang w:val="nl-BE"/>
                    </w:rPr>
                  </w:pPr>
                  <w:r>
                    <w:rPr>
                      <w:lang w:val="nl-BE"/>
                    </w:rPr>
                    <w:t>2010</w:t>
                  </w:r>
                </w:p>
              </w:tc>
              <w:tc>
                <w:tcPr>
                  <w:tcW w:w="0" w:type="auto"/>
                </w:tcPr>
                <w:p w:rsidR="004E08C9" w:rsidRDefault="004E08C9" w:rsidP="004E08C9">
                  <w:pPr>
                    <w:pStyle w:val="StandaardSV"/>
                    <w:rPr>
                      <w:lang w:val="nl-BE"/>
                    </w:rPr>
                  </w:pPr>
                  <w:r>
                    <w:rPr>
                      <w:lang w:val="nl-BE"/>
                    </w:rPr>
                    <w:t>105 mio EUR</w:t>
                  </w:r>
                </w:p>
              </w:tc>
            </w:tr>
            <w:tr w:rsidR="004E08C9" w:rsidTr="002C6293">
              <w:tc>
                <w:tcPr>
                  <w:tcW w:w="0" w:type="auto"/>
                </w:tcPr>
                <w:p w:rsidR="004E08C9" w:rsidRDefault="004E08C9" w:rsidP="004E08C9">
                  <w:pPr>
                    <w:pStyle w:val="StandaardSV"/>
                    <w:rPr>
                      <w:lang w:val="nl-BE"/>
                    </w:rPr>
                  </w:pPr>
                  <w:r>
                    <w:rPr>
                      <w:lang w:val="nl-BE"/>
                    </w:rPr>
                    <w:t>2011</w:t>
                  </w:r>
                </w:p>
              </w:tc>
              <w:tc>
                <w:tcPr>
                  <w:tcW w:w="0" w:type="auto"/>
                </w:tcPr>
                <w:p w:rsidR="004E08C9" w:rsidRDefault="004E08C9" w:rsidP="004E08C9">
                  <w:pPr>
                    <w:pStyle w:val="StandaardSV"/>
                    <w:rPr>
                      <w:lang w:val="nl-BE"/>
                    </w:rPr>
                  </w:pPr>
                  <w:r>
                    <w:rPr>
                      <w:lang w:val="nl-BE"/>
                    </w:rPr>
                    <w:t>116 mio EUR</w:t>
                  </w:r>
                </w:p>
              </w:tc>
            </w:tr>
          </w:tbl>
          <w:p w:rsidR="004E08C9" w:rsidRDefault="004E08C9" w:rsidP="004E08C9">
            <w:pPr>
              <w:pStyle w:val="StandaardSV"/>
              <w:rPr>
                <w:lang w:val="nl-BE"/>
              </w:rPr>
            </w:pPr>
          </w:p>
          <w:p w:rsidR="004E08C9" w:rsidRDefault="0050213B" w:rsidP="004E08C9">
            <w:pPr>
              <w:pStyle w:val="StandaardSV"/>
              <w:rPr>
                <w:lang w:val="nl-BE"/>
              </w:rPr>
            </w:pPr>
            <w:r>
              <w:rPr>
                <w:lang w:val="nl-BE"/>
              </w:rPr>
              <w:t>Deze vastleggingsmachtigingen zijn elk jaar uitgeput.</w:t>
            </w:r>
          </w:p>
          <w:p w:rsidR="004E08C9" w:rsidRPr="001E4FF1" w:rsidRDefault="004E08C9" w:rsidP="004E08C9">
            <w:pPr>
              <w:pStyle w:val="StandaardSV"/>
              <w:rPr>
                <w:lang w:val="nl-BE"/>
              </w:rPr>
            </w:pPr>
          </w:p>
        </w:tc>
      </w:tr>
      <w:tr w:rsidR="00114EEC" w:rsidTr="00C76F14">
        <w:tc>
          <w:tcPr>
            <w:tcW w:w="0" w:type="auto"/>
            <w:shd w:val="clear" w:color="auto" w:fill="auto"/>
          </w:tcPr>
          <w:p w:rsidR="00114EEC" w:rsidRDefault="00114EEC" w:rsidP="008047F7">
            <w:pPr>
              <w:pStyle w:val="StandaardSV"/>
            </w:pPr>
          </w:p>
        </w:tc>
        <w:tc>
          <w:tcPr>
            <w:tcW w:w="0" w:type="auto"/>
            <w:shd w:val="clear" w:color="auto" w:fill="auto"/>
          </w:tcPr>
          <w:p w:rsidR="00114EEC" w:rsidRPr="001E4FF1" w:rsidRDefault="00114EEC" w:rsidP="00346CC6">
            <w:pPr>
              <w:pStyle w:val="StandaardSV"/>
              <w:rPr>
                <w:lang w:val="nl-BE"/>
              </w:rPr>
            </w:pPr>
          </w:p>
        </w:tc>
        <w:tc>
          <w:tcPr>
            <w:tcW w:w="8951" w:type="dxa"/>
            <w:shd w:val="clear" w:color="auto" w:fill="auto"/>
          </w:tcPr>
          <w:p w:rsidR="001B0B67" w:rsidRDefault="00C84DBC" w:rsidP="00346CC6">
            <w:pPr>
              <w:pStyle w:val="StandaardSV"/>
              <w:rPr>
                <w:lang w:val="nl-BE"/>
              </w:rPr>
            </w:pPr>
            <w:r w:rsidRPr="00C84DBC">
              <w:rPr>
                <w:u w:val="single"/>
                <w:lang w:val="nl-BE"/>
              </w:rPr>
              <w:t>A</w:t>
            </w:r>
            <w:r w:rsidR="001B0B67" w:rsidRPr="002C6293">
              <w:rPr>
                <w:u w:val="single"/>
                <w:lang w:val="nl-BE"/>
              </w:rPr>
              <w:t xml:space="preserve">antal gegunde projecten </w:t>
            </w:r>
            <w:r w:rsidR="00311A73">
              <w:rPr>
                <w:u w:val="single"/>
                <w:lang w:val="nl-BE"/>
              </w:rPr>
              <w:t xml:space="preserve">(incl. kmo-programma) </w:t>
            </w:r>
            <w:r w:rsidR="001B0B67" w:rsidRPr="002C6293">
              <w:rPr>
                <w:u w:val="single"/>
                <w:lang w:val="nl-BE"/>
              </w:rPr>
              <w:t>in de laatste twaalf maanden</w:t>
            </w:r>
          </w:p>
          <w:p w:rsidR="001B0B67" w:rsidRDefault="001B0B67" w:rsidP="00346CC6">
            <w:pPr>
              <w:pStyle w:val="StandaardSV"/>
              <w:rPr>
                <w:lang w:val="nl-BE"/>
              </w:rPr>
            </w:pPr>
          </w:p>
          <w:p w:rsidR="00C84DBC" w:rsidRDefault="00C84DBC" w:rsidP="00346CC6">
            <w:pPr>
              <w:pStyle w:val="StandaardSV"/>
              <w:rPr>
                <w:lang w:val="nl-BE"/>
              </w:rPr>
            </w:pPr>
          </w:p>
          <w:tbl>
            <w:tblPr>
              <w:tblStyle w:val="Tabelraster"/>
              <w:tblW w:w="0" w:type="auto"/>
              <w:tblInd w:w="78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04"/>
              <w:gridCol w:w="1712"/>
            </w:tblGrid>
            <w:tr w:rsidR="0050213B" w:rsidTr="00643726">
              <w:tc>
                <w:tcPr>
                  <w:tcW w:w="1004" w:type="dxa"/>
                </w:tcPr>
                <w:p w:rsidR="0050213B" w:rsidRPr="00643726" w:rsidRDefault="0050213B" w:rsidP="00643726">
                  <w:pPr>
                    <w:jc w:val="center"/>
                    <w:rPr>
                      <w:rFonts w:ascii="Calibri" w:hAnsi="Calibri" w:cs="Calibri"/>
                      <w:b/>
                      <w:bCs/>
                      <w:color w:val="000000"/>
                      <w:sz w:val="20"/>
                      <w:lang w:val="nl-BE" w:eastAsia="nl-BE"/>
                    </w:rPr>
                  </w:pPr>
                  <w:r w:rsidRPr="00643726">
                    <w:rPr>
                      <w:rFonts w:ascii="Calibri" w:hAnsi="Calibri" w:cs="Calibri"/>
                      <w:b/>
                      <w:bCs/>
                      <w:color w:val="000000"/>
                      <w:sz w:val="20"/>
                      <w:lang w:val="nl-BE" w:eastAsia="nl-BE"/>
                    </w:rPr>
                    <w:t>Maand</w:t>
                  </w:r>
                </w:p>
              </w:tc>
              <w:tc>
                <w:tcPr>
                  <w:tcW w:w="1712" w:type="dxa"/>
                </w:tcPr>
                <w:p w:rsidR="00643726" w:rsidRDefault="0050213B" w:rsidP="00643726">
                  <w:pPr>
                    <w:jc w:val="center"/>
                    <w:rPr>
                      <w:rFonts w:ascii="Calibri" w:hAnsi="Calibri" w:cs="Calibri"/>
                      <w:b/>
                      <w:bCs/>
                      <w:color w:val="000000"/>
                      <w:sz w:val="20"/>
                      <w:lang w:val="nl-BE" w:eastAsia="nl-BE"/>
                    </w:rPr>
                  </w:pPr>
                  <w:r w:rsidRPr="00643726">
                    <w:rPr>
                      <w:rFonts w:ascii="Calibri" w:hAnsi="Calibri" w:cs="Calibri"/>
                      <w:b/>
                      <w:bCs/>
                      <w:color w:val="000000"/>
                      <w:sz w:val="20"/>
                      <w:lang w:val="nl-BE" w:eastAsia="nl-BE"/>
                    </w:rPr>
                    <w:t xml:space="preserve">Aantal gegunde </w:t>
                  </w:r>
                </w:p>
                <w:p w:rsidR="0050213B" w:rsidRPr="00643726" w:rsidRDefault="0050213B" w:rsidP="00643726">
                  <w:pPr>
                    <w:jc w:val="center"/>
                    <w:rPr>
                      <w:rFonts w:ascii="Calibri" w:hAnsi="Calibri" w:cs="Calibri"/>
                      <w:b/>
                      <w:bCs/>
                      <w:color w:val="000000"/>
                      <w:sz w:val="20"/>
                      <w:lang w:val="nl-BE" w:eastAsia="nl-BE"/>
                    </w:rPr>
                  </w:pPr>
                  <w:r w:rsidRPr="00643726">
                    <w:rPr>
                      <w:rFonts w:ascii="Calibri" w:hAnsi="Calibri" w:cs="Calibri"/>
                      <w:b/>
                      <w:bCs/>
                      <w:color w:val="000000"/>
                      <w:sz w:val="20"/>
                      <w:lang w:val="nl-BE" w:eastAsia="nl-BE"/>
                    </w:rPr>
                    <w:t>projecten</w:t>
                  </w:r>
                </w:p>
              </w:tc>
            </w:tr>
            <w:tr w:rsidR="001B0B67" w:rsidTr="00643726">
              <w:tc>
                <w:tcPr>
                  <w:tcW w:w="1004" w:type="dxa"/>
                </w:tcPr>
                <w:p w:rsidR="001B0B67" w:rsidRPr="001B0B67" w:rsidRDefault="001B0B67" w:rsidP="005103C0">
                  <w:pPr>
                    <w:rPr>
                      <w:szCs w:val="24"/>
                      <w:lang w:val="nl-BE" w:eastAsia="nl-BE"/>
                    </w:rPr>
                  </w:pPr>
                  <w:r w:rsidRPr="001B0B67">
                    <w:rPr>
                      <w:rFonts w:ascii="Calibri" w:hAnsi="Calibri" w:cs="Calibri"/>
                      <w:color w:val="000000"/>
                      <w:sz w:val="20"/>
                      <w:lang w:val="nl-BE" w:eastAsia="nl-BE"/>
                    </w:rPr>
                    <w:t>2011/dec</w:t>
                  </w:r>
                </w:p>
              </w:tc>
              <w:tc>
                <w:tcPr>
                  <w:tcW w:w="1712" w:type="dxa"/>
                </w:tcPr>
                <w:p w:rsidR="001B0B67" w:rsidRPr="001B0B67" w:rsidRDefault="001B0B67" w:rsidP="005103C0">
                  <w:pPr>
                    <w:jc w:val="right"/>
                    <w:rPr>
                      <w:szCs w:val="24"/>
                      <w:lang w:val="nl-BE" w:eastAsia="nl-BE"/>
                    </w:rPr>
                  </w:pPr>
                  <w:r w:rsidRPr="001B0B67">
                    <w:rPr>
                      <w:rFonts w:ascii="Calibri" w:hAnsi="Calibri" w:cs="Calibri"/>
                      <w:color w:val="000000"/>
                      <w:sz w:val="20"/>
                      <w:lang w:val="nl-BE" w:eastAsia="nl-BE"/>
                    </w:rPr>
                    <w:t>34</w:t>
                  </w:r>
                </w:p>
              </w:tc>
            </w:tr>
            <w:tr w:rsidR="001B0B67" w:rsidTr="00643726">
              <w:tc>
                <w:tcPr>
                  <w:tcW w:w="1004" w:type="dxa"/>
                </w:tcPr>
                <w:p w:rsidR="001B0B67" w:rsidRPr="001B0B67" w:rsidRDefault="001B0B67" w:rsidP="005103C0">
                  <w:pPr>
                    <w:rPr>
                      <w:szCs w:val="24"/>
                      <w:lang w:val="nl-BE" w:eastAsia="nl-BE"/>
                    </w:rPr>
                  </w:pPr>
                  <w:r w:rsidRPr="001B0B67">
                    <w:rPr>
                      <w:rFonts w:ascii="Calibri" w:hAnsi="Calibri" w:cs="Calibri"/>
                      <w:color w:val="000000"/>
                      <w:sz w:val="20"/>
                      <w:lang w:val="nl-BE" w:eastAsia="nl-BE"/>
                    </w:rPr>
                    <w:t>2012/jan</w:t>
                  </w:r>
                </w:p>
              </w:tc>
              <w:tc>
                <w:tcPr>
                  <w:tcW w:w="1712" w:type="dxa"/>
                </w:tcPr>
                <w:p w:rsidR="001B0B67" w:rsidRPr="001B0B67" w:rsidRDefault="001B0B67" w:rsidP="005103C0">
                  <w:pPr>
                    <w:jc w:val="right"/>
                    <w:rPr>
                      <w:szCs w:val="24"/>
                      <w:lang w:val="nl-BE" w:eastAsia="nl-BE"/>
                    </w:rPr>
                  </w:pPr>
                  <w:r w:rsidRPr="001B0B67">
                    <w:rPr>
                      <w:rFonts w:ascii="Calibri" w:hAnsi="Calibri" w:cs="Calibri"/>
                      <w:color w:val="000000"/>
                      <w:sz w:val="20"/>
                      <w:lang w:val="nl-BE" w:eastAsia="nl-BE"/>
                    </w:rPr>
                    <w:t>26</w:t>
                  </w:r>
                </w:p>
              </w:tc>
            </w:tr>
            <w:tr w:rsidR="001B0B67" w:rsidTr="00643726">
              <w:tc>
                <w:tcPr>
                  <w:tcW w:w="1004" w:type="dxa"/>
                </w:tcPr>
                <w:p w:rsidR="001B0B67" w:rsidRPr="001B0B67" w:rsidRDefault="001B0B67" w:rsidP="005103C0">
                  <w:pPr>
                    <w:rPr>
                      <w:szCs w:val="24"/>
                      <w:lang w:val="nl-BE" w:eastAsia="nl-BE"/>
                    </w:rPr>
                  </w:pPr>
                  <w:r w:rsidRPr="001B0B67">
                    <w:rPr>
                      <w:rFonts w:ascii="Calibri" w:hAnsi="Calibri" w:cs="Calibri"/>
                      <w:color w:val="000000"/>
                      <w:sz w:val="20"/>
                      <w:lang w:val="nl-BE" w:eastAsia="nl-BE"/>
                    </w:rPr>
                    <w:t>2012/feb</w:t>
                  </w:r>
                </w:p>
              </w:tc>
              <w:tc>
                <w:tcPr>
                  <w:tcW w:w="1712" w:type="dxa"/>
                </w:tcPr>
                <w:p w:rsidR="001B0B67" w:rsidRPr="001B0B67" w:rsidRDefault="001B0B67" w:rsidP="005103C0">
                  <w:pPr>
                    <w:jc w:val="right"/>
                    <w:rPr>
                      <w:szCs w:val="24"/>
                      <w:lang w:val="nl-BE" w:eastAsia="nl-BE"/>
                    </w:rPr>
                  </w:pPr>
                  <w:r w:rsidRPr="001B0B67">
                    <w:rPr>
                      <w:rFonts w:ascii="Calibri" w:hAnsi="Calibri" w:cs="Calibri"/>
                      <w:color w:val="000000"/>
                      <w:sz w:val="20"/>
                      <w:lang w:val="nl-BE" w:eastAsia="nl-BE"/>
                    </w:rPr>
                    <w:t>20</w:t>
                  </w:r>
                </w:p>
              </w:tc>
            </w:tr>
            <w:tr w:rsidR="001B0B67" w:rsidTr="00643726">
              <w:tc>
                <w:tcPr>
                  <w:tcW w:w="1004" w:type="dxa"/>
                </w:tcPr>
                <w:p w:rsidR="001B0B67" w:rsidRPr="001B0B67" w:rsidRDefault="001B0B67" w:rsidP="005103C0">
                  <w:pPr>
                    <w:rPr>
                      <w:szCs w:val="24"/>
                      <w:lang w:val="nl-BE" w:eastAsia="nl-BE"/>
                    </w:rPr>
                  </w:pPr>
                  <w:r w:rsidRPr="001B0B67">
                    <w:rPr>
                      <w:rFonts w:ascii="Calibri" w:hAnsi="Calibri" w:cs="Calibri"/>
                      <w:color w:val="000000"/>
                      <w:sz w:val="20"/>
                      <w:lang w:val="nl-BE" w:eastAsia="nl-BE"/>
                    </w:rPr>
                    <w:t>2012/mrt</w:t>
                  </w:r>
                </w:p>
              </w:tc>
              <w:tc>
                <w:tcPr>
                  <w:tcW w:w="1712" w:type="dxa"/>
                </w:tcPr>
                <w:p w:rsidR="001B0B67" w:rsidRPr="001B0B67" w:rsidRDefault="001B0B67" w:rsidP="005103C0">
                  <w:pPr>
                    <w:jc w:val="right"/>
                    <w:rPr>
                      <w:szCs w:val="24"/>
                      <w:lang w:val="nl-BE" w:eastAsia="nl-BE"/>
                    </w:rPr>
                  </w:pPr>
                  <w:r w:rsidRPr="001B0B67">
                    <w:rPr>
                      <w:rFonts w:ascii="Calibri" w:hAnsi="Calibri" w:cs="Calibri"/>
                      <w:color w:val="000000"/>
                      <w:sz w:val="20"/>
                      <w:lang w:val="nl-BE" w:eastAsia="nl-BE"/>
                    </w:rPr>
                    <w:t>30</w:t>
                  </w:r>
                </w:p>
              </w:tc>
            </w:tr>
            <w:tr w:rsidR="001B0B67" w:rsidTr="00643726">
              <w:tc>
                <w:tcPr>
                  <w:tcW w:w="1004" w:type="dxa"/>
                </w:tcPr>
                <w:p w:rsidR="001B0B67" w:rsidRPr="001B0B67" w:rsidRDefault="001B0B67" w:rsidP="005103C0">
                  <w:pPr>
                    <w:rPr>
                      <w:szCs w:val="24"/>
                      <w:lang w:val="nl-BE" w:eastAsia="nl-BE"/>
                    </w:rPr>
                  </w:pPr>
                  <w:r w:rsidRPr="001B0B67">
                    <w:rPr>
                      <w:rFonts w:ascii="Calibri" w:hAnsi="Calibri" w:cs="Calibri"/>
                      <w:color w:val="000000"/>
                      <w:sz w:val="20"/>
                      <w:lang w:val="nl-BE" w:eastAsia="nl-BE"/>
                    </w:rPr>
                    <w:t>2012/apr</w:t>
                  </w:r>
                </w:p>
              </w:tc>
              <w:tc>
                <w:tcPr>
                  <w:tcW w:w="1712" w:type="dxa"/>
                </w:tcPr>
                <w:p w:rsidR="001B0B67" w:rsidRPr="001B0B67" w:rsidRDefault="001B0B67" w:rsidP="005103C0">
                  <w:pPr>
                    <w:jc w:val="right"/>
                    <w:rPr>
                      <w:szCs w:val="24"/>
                      <w:lang w:val="nl-BE" w:eastAsia="nl-BE"/>
                    </w:rPr>
                  </w:pPr>
                  <w:r w:rsidRPr="001B0B67">
                    <w:rPr>
                      <w:rFonts w:ascii="Calibri" w:hAnsi="Calibri" w:cs="Calibri"/>
                      <w:color w:val="000000"/>
                      <w:sz w:val="20"/>
                      <w:lang w:val="nl-BE" w:eastAsia="nl-BE"/>
                    </w:rPr>
                    <w:t>31</w:t>
                  </w:r>
                </w:p>
              </w:tc>
            </w:tr>
            <w:tr w:rsidR="001B0B67" w:rsidTr="00643726">
              <w:tc>
                <w:tcPr>
                  <w:tcW w:w="1004" w:type="dxa"/>
                </w:tcPr>
                <w:p w:rsidR="001B0B67" w:rsidRPr="001B0B67" w:rsidRDefault="001B0B67" w:rsidP="005103C0">
                  <w:pPr>
                    <w:rPr>
                      <w:szCs w:val="24"/>
                      <w:lang w:val="nl-BE" w:eastAsia="nl-BE"/>
                    </w:rPr>
                  </w:pPr>
                  <w:r w:rsidRPr="001B0B67">
                    <w:rPr>
                      <w:rFonts w:ascii="Calibri" w:hAnsi="Calibri" w:cs="Calibri"/>
                      <w:color w:val="000000"/>
                      <w:sz w:val="20"/>
                      <w:lang w:val="nl-BE" w:eastAsia="nl-BE"/>
                    </w:rPr>
                    <w:t>2012/mei</w:t>
                  </w:r>
                </w:p>
              </w:tc>
              <w:tc>
                <w:tcPr>
                  <w:tcW w:w="1712" w:type="dxa"/>
                </w:tcPr>
                <w:p w:rsidR="001B0B67" w:rsidRPr="001B0B67" w:rsidRDefault="001B0B67" w:rsidP="005103C0">
                  <w:pPr>
                    <w:jc w:val="right"/>
                    <w:rPr>
                      <w:szCs w:val="24"/>
                      <w:lang w:val="nl-BE" w:eastAsia="nl-BE"/>
                    </w:rPr>
                  </w:pPr>
                  <w:r w:rsidRPr="001B0B67">
                    <w:rPr>
                      <w:rFonts w:ascii="Calibri" w:hAnsi="Calibri" w:cs="Calibri"/>
                      <w:color w:val="000000"/>
                      <w:sz w:val="20"/>
                      <w:lang w:val="nl-BE" w:eastAsia="nl-BE"/>
                    </w:rPr>
                    <w:t>32</w:t>
                  </w:r>
                </w:p>
              </w:tc>
            </w:tr>
            <w:tr w:rsidR="001B0B67" w:rsidTr="00643726">
              <w:tc>
                <w:tcPr>
                  <w:tcW w:w="1004" w:type="dxa"/>
                </w:tcPr>
                <w:p w:rsidR="001B0B67" w:rsidRPr="001B0B67" w:rsidRDefault="001B0B67" w:rsidP="005103C0">
                  <w:pPr>
                    <w:rPr>
                      <w:szCs w:val="24"/>
                      <w:lang w:val="nl-BE" w:eastAsia="nl-BE"/>
                    </w:rPr>
                  </w:pPr>
                  <w:r w:rsidRPr="001B0B67">
                    <w:rPr>
                      <w:rFonts w:ascii="Calibri" w:hAnsi="Calibri" w:cs="Calibri"/>
                      <w:color w:val="000000"/>
                      <w:sz w:val="20"/>
                      <w:lang w:val="nl-BE" w:eastAsia="nl-BE"/>
                    </w:rPr>
                    <w:t>2012/jun</w:t>
                  </w:r>
                </w:p>
              </w:tc>
              <w:tc>
                <w:tcPr>
                  <w:tcW w:w="1712" w:type="dxa"/>
                </w:tcPr>
                <w:p w:rsidR="001B0B67" w:rsidRPr="001B0B67" w:rsidRDefault="001B0B67" w:rsidP="005103C0">
                  <w:pPr>
                    <w:jc w:val="right"/>
                    <w:rPr>
                      <w:szCs w:val="24"/>
                      <w:lang w:val="nl-BE" w:eastAsia="nl-BE"/>
                    </w:rPr>
                  </w:pPr>
                  <w:r w:rsidRPr="001B0B67">
                    <w:rPr>
                      <w:rFonts w:ascii="Calibri" w:hAnsi="Calibri" w:cs="Calibri"/>
                      <w:color w:val="000000"/>
                      <w:sz w:val="20"/>
                      <w:lang w:val="nl-BE" w:eastAsia="nl-BE"/>
                    </w:rPr>
                    <w:t>34</w:t>
                  </w:r>
                </w:p>
              </w:tc>
            </w:tr>
            <w:tr w:rsidR="001B0B67" w:rsidTr="00643726">
              <w:tc>
                <w:tcPr>
                  <w:tcW w:w="1004" w:type="dxa"/>
                </w:tcPr>
                <w:p w:rsidR="001B0B67" w:rsidRPr="001B0B67" w:rsidRDefault="001B0B67" w:rsidP="005103C0">
                  <w:pPr>
                    <w:rPr>
                      <w:szCs w:val="24"/>
                      <w:lang w:val="nl-BE" w:eastAsia="nl-BE"/>
                    </w:rPr>
                  </w:pPr>
                  <w:r w:rsidRPr="001B0B67">
                    <w:rPr>
                      <w:rFonts w:ascii="Calibri" w:hAnsi="Calibri" w:cs="Calibri"/>
                      <w:color w:val="000000"/>
                      <w:sz w:val="20"/>
                      <w:lang w:val="nl-BE" w:eastAsia="nl-BE"/>
                    </w:rPr>
                    <w:t>2012/jul</w:t>
                  </w:r>
                </w:p>
              </w:tc>
              <w:tc>
                <w:tcPr>
                  <w:tcW w:w="1712" w:type="dxa"/>
                </w:tcPr>
                <w:p w:rsidR="001B0B67" w:rsidRPr="001B0B67" w:rsidRDefault="001B0B67" w:rsidP="005103C0">
                  <w:pPr>
                    <w:jc w:val="right"/>
                    <w:rPr>
                      <w:szCs w:val="24"/>
                      <w:lang w:val="nl-BE" w:eastAsia="nl-BE"/>
                    </w:rPr>
                  </w:pPr>
                  <w:r w:rsidRPr="001B0B67">
                    <w:rPr>
                      <w:rFonts w:ascii="Calibri" w:hAnsi="Calibri" w:cs="Calibri"/>
                      <w:color w:val="000000"/>
                      <w:sz w:val="20"/>
                      <w:lang w:val="nl-BE" w:eastAsia="nl-BE"/>
                    </w:rPr>
                    <w:t>33</w:t>
                  </w:r>
                </w:p>
              </w:tc>
            </w:tr>
            <w:tr w:rsidR="001B0B67" w:rsidTr="00643726">
              <w:tc>
                <w:tcPr>
                  <w:tcW w:w="1004" w:type="dxa"/>
                </w:tcPr>
                <w:p w:rsidR="001B0B67" w:rsidRPr="001B0B67" w:rsidRDefault="001B0B67" w:rsidP="005103C0">
                  <w:pPr>
                    <w:rPr>
                      <w:szCs w:val="24"/>
                      <w:lang w:val="nl-BE" w:eastAsia="nl-BE"/>
                    </w:rPr>
                  </w:pPr>
                  <w:r w:rsidRPr="001B0B67">
                    <w:rPr>
                      <w:rFonts w:ascii="Calibri" w:hAnsi="Calibri" w:cs="Calibri"/>
                      <w:color w:val="000000"/>
                      <w:sz w:val="20"/>
                      <w:lang w:val="nl-BE" w:eastAsia="nl-BE"/>
                    </w:rPr>
                    <w:t>2012/aug</w:t>
                  </w:r>
                </w:p>
              </w:tc>
              <w:tc>
                <w:tcPr>
                  <w:tcW w:w="1712" w:type="dxa"/>
                </w:tcPr>
                <w:p w:rsidR="001B0B67" w:rsidRPr="001B0B67" w:rsidRDefault="001B0B67" w:rsidP="005103C0">
                  <w:pPr>
                    <w:jc w:val="right"/>
                    <w:rPr>
                      <w:szCs w:val="24"/>
                      <w:lang w:val="nl-BE" w:eastAsia="nl-BE"/>
                    </w:rPr>
                  </w:pPr>
                  <w:r w:rsidRPr="001B0B67">
                    <w:rPr>
                      <w:rFonts w:ascii="Calibri" w:hAnsi="Calibri" w:cs="Calibri"/>
                      <w:color w:val="000000"/>
                      <w:sz w:val="20"/>
                      <w:lang w:val="nl-BE" w:eastAsia="nl-BE"/>
                    </w:rPr>
                    <w:t>4</w:t>
                  </w:r>
                </w:p>
              </w:tc>
            </w:tr>
            <w:tr w:rsidR="001B0B67" w:rsidTr="00643726">
              <w:tc>
                <w:tcPr>
                  <w:tcW w:w="1004" w:type="dxa"/>
                </w:tcPr>
                <w:p w:rsidR="001B0B67" w:rsidRPr="001B0B67" w:rsidRDefault="001B0B67" w:rsidP="005103C0">
                  <w:pPr>
                    <w:rPr>
                      <w:szCs w:val="24"/>
                      <w:lang w:val="nl-BE" w:eastAsia="nl-BE"/>
                    </w:rPr>
                  </w:pPr>
                  <w:r w:rsidRPr="001B0B67">
                    <w:rPr>
                      <w:rFonts w:ascii="Calibri" w:hAnsi="Calibri" w:cs="Calibri"/>
                      <w:color w:val="000000"/>
                      <w:sz w:val="20"/>
                      <w:lang w:val="nl-BE" w:eastAsia="nl-BE"/>
                    </w:rPr>
                    <w:t>2012/sep</w:t>
                  </w:r>
                </w:p>
              </w:tc>
              <w:tc>
                <w:tcPr>
                  <w:tcW w:w="1712" w:type="dxa"/>
                </w:tcPr>
                <w:p w:rsidR="001B0B67" w:rsidRPr="001B0B67" w:rsidRDefault="001B0B67" w:rsidP="005103C0">
                  <w:pPr>
                    <w:jc w:val="right"/>
                    <w:rPr>
                      <w:szCs w:val="24"/>
                      <w:lang w:val="nl-BE" w:eastAsia="nl-BE"/>
                    </w:rPr>
                  </w:pPr>
                  <w:r w:rsidRPr="001B0B67">
                    <w:rPr>
                      <w:rFonts w:ascii="Calibri" w:hAnsi="Calibri" w:cs="Calibri"/>
                      <w:color w:val="000000"/>
                      <w:sz w:val="20"/>
                      <w:lang w:val="nl-BE" w:eastAsia="nl-BE"/>
                    </w:rPr>
                    <w:t>36</w:t>
                  </w:r>
                </w:p>
              </w:tc>
            </w:tr>
            <w:tr w:rsidR="001B0B67" w:rsidTr="00643726">
              <w:tc>
                <w:tcPr>
                  <w:tcW w:w="1004" w:type="dxa"/>
                </w:tcPr>
                <w:p w:rsidR="001B0B67" w:rsidRPr="001B0B67" w:rsidRDefault="001B0B67" w:rsidP="005103C0">
                  <w:pPr>
                    <w:rPr>
                      <w:szCs w:val="24"/>
                      <w:lang w:val="nl-BE" w:eastAsia="nl-BE"/>
                    </w:rPr>
                  </w:pPr>
                  <w:r w:rsidRPr="001B0B67">
                    <w:rPr>
                      <w:rFonts w:ascii="Calibri" w:hAnsi="Calibri" w:cs="Calibri"/>
                      <w:color w:val="000000"/>
                      <w:sz w:val="20"/>
                      <w:lang w:val="nl-BE" w:eastAsia="nl-BE"/>
                    </w:rPr>
                    <w:t>2012/okt</w:t>
                  </w:r>
                </w:p>
              </w:tc>
              <w:tc>
                <w:tcPr>
                  <w:tcW w:w="1712" w:type="dxa"/>
                </w:tcPr>
                <w:p w:rsidR="001B0B67" w:rsidRPr="001B0B67" w:rsidRDefault="001B0B67" w:rsidP="005103C0">
                  <w:pPr>
                    <w:jc w:val="right"/>
                    <w:rPr>
                      <w:szCs w:val="24"/>
                      <w:lang w:val="nl-BE" w:eastAsia="nl-BE"/>
                    </w:rPr>
                  </w:pPr>
                  <w:r w:rsidRPr="001B0B67">
                    <w:rPr>
                      <w:rFonts w:ascii="Calibri" w:hAnsi="Calibri" w:cs="Calibri"/>
                      <w:color w:val="000000"/>
                      <w:sz w:val="20"/>
                      <w:lang w:val="nl-BE" w:eastAsia="nl-BE"/>
                    </w:rPr>
                    <w:t>36</w:t>
                  </w:r>
                </w:p>
              </w:tc>
            </w:tr>
            <w:tr w:rsidR="001B0B67" w:rsidTr="00643726">
              <w:tc>
                <w:tcPr>
                  <w:tcW w:w="1004" w:type="dxa"/>
                </w:tcPr>
                <w:p w:rsidR="001B0B67" w:rsidRPr="001B0B67" w:rsidRDefault="001B0B67" w:rsidP="005103C0">
                  <w:pPr>
                    <w:rPr>
                      <w:szCs w:val="24"/>
                      <w:lang w:val="nl-BE" w:eastAsia="nl-BE"/>
                    </w:rPr>
                  </w:pPr>
                  <w:r w:rsidRPr="001B0B67">
                    <w:rPr>
                      <w:rFonts w:ascii="Calibri" w:hAnsi="Calibri" w:cs="Calibri"/>
                      <w:color w:val="000000"/>
                      <w:sz w:val="20"/>
                      <w:lang w:val="nl-BE" w:eastAsia="nl-BE"/>
                    </w:rPr>
                    <w:t>2012/nov</w:t>
                  </w:r>
                </w:p>
              </w:tc>
              <w:tc>
                <w:tcPr>
                  <w:tcW w:w="1712" w:type="dxa"/>
                </w:tcPr>
                <w:p w:rsidR="001B0B67" w:rsidRPr="001B0B67" w:rsidRDefault="001B0B67" w:rsidP="005103C0">
                  <w:pPr>
                    <w:jc w:val="right"/>
                    <w:rPr>
                      <w:szCs w:val="24"/>
                      <w:lang w:val="nl-BE" w:eastAsia="nl-BE"/>
                    </w:rPr>
                  </w:pPr>
                  <w:r w:rsidRPr="001B0B67">
                    <w:rPr>
                      <w:rFonts w:ascii="Calibri" w:hAnsi="Calibri" w:cs="Calibri"/>
                      <w:color w:val="000000"/>
                      <w:sz w:val="20"/>
                      <w:lang w:val="nl-BE" w:eastAsia="nl-BE"/>
                    </w:rPr>
                    <w:t>37</w:t>
                  </w:r>
                </w:p>
              </w:tc>
            </w:tr>
          </w:tbl>
          <w:p w:rsidR="001B0B67" w:rsidRDefault="001B0B67" w:rsidP="00346CC6">
            <w:pPr>
              <w:pStyle w:val="StandaardSV"/>
              <w:rPr>
                <w:lang w:val="nl-BE"/>
              </w:rPr>
            </w:pPr>
          </w:p>
          <w:p w:rsidR="00346225" w:rsidRDefault="00311A73" w:rsidP="00346CC6">
            <w:pPr>
              <w:pStyle w:val="StandaardSV"/>
              <w:rPr>
                <w:lang w:val="nl-BE"/>
              </w:rPr>
            </w:pPr>
            <w:r w:rsidRPr="005667BC">
              <w:rPr>
                <w:lang w:val="nl-BE"/>
              </w:rPr>
              <w:t>Dit ligt in lijn met de voorbije jaren.</w:t>
            </w:r>
          </w:p>
          <w:p w:rsidR="00311A73" w:rsidRPr="001E4FF1" w:rsidRDefault="00311A73" w:rsidP="00346CC6">
            <w:pPr>
              <w:pStyle w:val="StandaardSV"/>
              <w:rPr>
                <w:lang w:val="nl-BE"/>
              </w:rPr>
            </w:pPr>
          </w:p>
        </w:tc>
      </w:tr>
      <w:tr w:rsidR="00346CC6" w:rsidTr="00C76F14">
        <w:tc>
          <w:tcPr>
            <w:tcW w:w="0" w:type="auto"/>
          </w:tcPr>
          <w:p w:rsidR="00346CC6" w:rsidRDefault="00C76F14" w:rsidP="008047F7">
            <w:pPr>
              <w:pStyle w:val="StandaardSV"/>
            </w:pPr>
            <w:r>
              <w:t>2.</w:t>
            </w:r>
          </w:p>
        </w:tc>
        <w:tc>
          <w:tcPr>
            <w:tcW w:w="400" w:type="dxa"/>
          </w:tcPr>
          <w:p w:rsidR="00346CC6" w:rsidRDefault="00C76F14" w:rsidP="008047F7">
            <w:pPr>
              <w:pStyle w:val="StandaardSV"/>
            </w:pPr>
            <w:r>
              <w:t>a)</w:t>
            </w:r>
          </w:p>
        </w:tc>
        <w:tc>
          <w:tcPr>
            <w:tcW w:w="8951" w:type="dxa"/>
          </w:tcPr>
          <w:p w:rsidR="00754C88" w:rsidRDefault="00754C88" w:rsidP="00D84F7F">
            <w:pPr>
              <w:pStyle w:val="StandaardSV"/>
              <w:rPr>
                <w:lang w:val="nl-BE"/>
              </w:rPr>
            </w:pPr>
            <w:r>
              <w:rPr>
                <w:lang w:val="nl-BE"/>
              </w:rPr>
              <w:t xml:space="preserve">Het aantal ingediende projecten is per jaar : </w:t>
            </w:r>
          </w:p>
          <w:p w:rsidR="00754C88" w:rsidRDefault="00754C88" w:rsidP="008047F7">
            <w:pPr>
              <w:pStyle w:val="StandaardSV"/>
              <w:rPr>
                <w:lang w:val="nl-BE"/>
              </w:rPr>
            </w:pPr>
          </w:p>
          <w:tbl>
            <w:tblPr>
              <w:tblStyle w:val="Tabelraster"/>
              <w:tblW w:w="0" w:type="auto"/>
              <w:tblInd w:w="65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540"/>
              <w:gridCol w:w="1605"/>
            </w:tblGrid>
            <w:tr w:rsidR="000F07B6" w:rsidTr="00643726">
              <w:tc>
                <w:tcPr>
                  <w:tcW w:w="0" w:type="auto"/>
                  <w:vAlign w:val="center"/>
                </w:tcPr>
                <w:p w:rsidR="000F07B6" w:rsidRPr="000F07B6" w:rsidRDefault="000F07B6" w:rsidP="005103C0">
                  <w:pPr>
                    <w:jc w:val="center"/>
                    <w:rPr>
                      <w:b/>
                      <w:bCs/>
                      <w:szCs w:val="24"/>
                      <w:lang w:val="nl-BE" w:eastAsia="nl-BE"/>
                    </w:rPr>
                  </w:pPr>
                  <w:r w:rsidRPr="000F07B6">
                    <w:rPr>
                      <w:rFonts w:ascii="Calibri" w:hAnsi="Calibri" w:cs="Calibri"/>
                      <w:b/>
                      <w:bCs/>
                      <w:color w:val="000000"/>
                      <w:sz w:val="20"/>
                      <w:lang w:val="nl-BE" w:eastAsia="nl-BE"/>
                    </w:rPr>
                    <w:t>Jaar</w:t>
                  </w:r>
                </w:p>
              </w:tc>
              <w:tc>
                <w:tcPr>
                  <w:tcW w:w="0" w:type="auto"/>
                  <w:vAlign w:val="center"/>
                </w:tcPr>
                <w:p w:rsidR="000F07B6" w:rsidRPr="000F07B6" w:rsidRDefault="000F07B6" w:rsidP="005103C0">
                  <w:pPr>
                    <w:jc w:val="center"/>
                    <w:rPr>
                      <w:b/>
                      <w:bCs/>
                      <w:szCs w:val="24"/>
                      <w:lang w:val="nl-BE" w:eastAsia="nl-BE"/>
                    </w:rPr>
                  </w:pPr>
                  <w:r w:rsidRPr="000F07B6">
                    <w:rPr>
                      <w:rFonts w:ascii="Calibri" w:hAnsi="Calibri" w:cs="Calibri"/>
                      <w:b/>
                      <w:bCs/>
                      <w:color w:val="000000"/>
                      <w:sz w:val="20"/>
                      <w:lang w:val="nl-BE" w:eastAsia="nl-BE"/>
                    </w:rPr>
                    <w:t>Aantal projecten</w:t>
                  </w:r>
                </w:p>
              </w:tc>
            </w:tr>
            <w:tr w:rsidR="000F07B6" w:rsidTr="00643726">
              <w:tc>
                <w:tcPr>
                  <w:tcW w:w="0" w:type="auto"/>
                </w:tcPr>
                <w:p w:rsidR="000F07B6" w:rsidRPr="000F07B6" w:rsidRDefault="000F07B6" w:rsidP="00E07995">
                  <w:pPr>
                    <w:rPr>
                      <w:szCs w:val="24"/>
                      <w:lang w:val="nl-BE" w:eastAsia="nl-BE"/>
                    </w:rPr>
                  </w:pPr>
                  <w:r w:rsidRPr="000F07B6">
                    <w:rPr>
                      <w:rFonts w:ascii="Calibri" w:hAnsi="Calibri" w:cs="Calibri"/>
                      <w:color w:val="000000"/>
                      <w:sz w:val="20"/>
                      <w:lang w:val="nl-BE" w:eastAsia="nl-BE"/>
                    </w:rPr>
                    <w:t>2008</w:t>
                  </w:r>
                </w:p>
              </w:tc>
              <w:tc>
                <w:tcPr>
                  <w:tcW w:w="0" w:type="auto"/>
                </w:tcPr>
                <w:p w:rsidR="000F07B6" w:rsidRPr="000F07B6" w:rsidRDefault="000F07B6" w:rsidP="005103C0">
                  <w:pPr>
                    <w:jc w:val="right"/>
                    <w:rPr>
                      <w:szCs w:val="24"/>
                      <w:lang w:val="nl-BE" w:eastAsia="nl-BE"/>
                    </w:rPr>
                  </w:pPr>
                  <w:r w:rsidRPr="000F07B6">
                    <w:rPr>
                      <w:rFonts w:ascii="Calibri" w:hAnsi="Calibri" w:cs="Calibri"/>
                      <w:color w:val="000000"/>
                      <w:sz w:val="20"/>
                      <w:lang w:val="nl-BE" w:eastAsia="nl-BE"/>
                    </w:rPr>
                    <w:t>495</w:t>
                  </w:r>
                </w:p>
              </w:tc>
            </w:tr>
            <w:tr w:rsidR="000F07B6" w:rsidTr="00643726">
              <w:tc>
                <w:tcPr>
                  <w:tcW w:w="0" w:type="auto"/>
                </w:tcPr>
                <w:p w:rsidR="000F07B6" w:rsidRPr="000F07B6" w:rsidRDefault="000F07B6" w:rsidP="00E07995">
                  <w:pPr>
                    <w:rPr>
                      <w:szCs w:val="24"/>
                      <w:lang w:val="nl-BE" w:eastAsia="nl-BE"/>
                    </w:rPr>
                  </w:pPr>
                  <w:r w:rsidRPr="000F07B6">
                    <w:rPr>
                      <w:rFonts w:ascii="Calibri" w:hAnsi="Calibri" w:cs="Calibri"/>
                      <w:color w:val="000000"/>
                      <w:sz w:val="20"/>
                      <w:lang w:val="nl-BE" w:eastAsia="nl-BE"/>
                    </w:rPr>
                    <w:t>2009</w:t>
                  </w:r>
                </w:p>
              </w:tc>
              <w:tc>
                <w:tcPr>
                  <w:tcW w:w="0" w:type="auto"/>
                </w:tcPr>
                <w:p w:rsidR="000F07B6" w:rsidRPr="000F07B6" w:rsidRDefault="000F07B6" w:rsidP="005103C0">
                  <w:pPr>
                    <w:jc w:val="right"/>
                    <w:rPr>
                      <w:szCs w:val="24"/>
                      <w:lang w:val="nl-BE" w:eastAsia="nl-BE"/>
                    </w:rPr>
                  </w:pPr>
                  <w:r w:rsidRPr="000F07B6">
                    <w:rPr>
                      <w:rFonts w:ascii="Calibri" w:hAnsi="Calibri" w:cs="Calibri"/>
                      <w:color w:val="000000"/>
                      <w:sz w:val="20"/>
                      <w:lang w:val="nl-BE" w:eastAsia="nl-BE"/>
                    </w:rPr>
                    <w:t>643</w:t>
                  </w:r>
                </w:p>
              </w:tc>
            </w:tr>
            <w:tr w:rsidR="000F07B6" w:rsidTr="00643726">
              <w:tc>
                <w:tcPr>
                  <w:tcW w:w="0" w:type="auto"/>
                </w:tcPr>
                <w:p w:rsidR="000F07B6" w:rsidRPr="000F07B6" w:rsidRDefault="000F07B6" w:rsidP="00E07995">
                  <w:pPr>
                    <w:rPr>
                      <w:szCs w:val="24"/>
                      <w:lang w:val="nl-BE" w:eastAsia="nl-BE"/>
                    </w:rPr>
                  </w:pPr>
                  <w:r w:rsidRPr="000F07B6">
                    <w:rPr>
                      <w:rFonts w:ascii="Calibri" w:hAnsi="Calibri" w:cs="Calibri"/>
                      <w:color w:val="000000"/>
                      <w:sz w:val="20"/>
                      <w:lang w:val="nl-BE" w:eastAsia="nl-BE"/>
                    </w:rPr>
                    <w:t>2010</w:t>
                  </w:r>
                </w:p>
              </w:tc>
              <w:tc>
                <w:tcPr>
                  <w:tcW w:w="0" w:type="auto"/>
                </w:tcPr>
                <w:p w:rsidR="000F07B6" w:rsidRPr="000F07B6" w:rsidRDefault="000F07B6" w:rsidP="005103C0">
                  <w:pPr>
                    <w:jc w:val="right"/>
                    <w:rPr>
                      <w:szCs w:val="24"/>
                      <w:lang w:val="nl-BE" w:eastAsia="nl-BE"/>
                    </w:rPr>
                  </w:pPr>
                  <w:r w:rsidRPr="000F07B6">
                    <w:rPr>
                      <w:rFonts w:ascii="Calibri" w:hAnsi="Calibri" w:cs="Calibri"/>
                      <w:color w:val="000000"/>
                      <w:sz w:val="20"/>
                      <w:lang w:val="nl-BE" w:eastAsia="nl-BE"/>
                    </w:rPr>
                    <w:t>514</w:t>
                  </w:r>
                </w:p>
              </w:tc>
            </w:tr>
            <w:tr w:rsidR="000F07B6" w:rsidTr="00643726">
              <w:tc>
                <w:tcPr>
                  <w:tcW w:w="0" w:type="auto"/>
                </w:tcPr>
                <w:p w:rsidR="000F07B6" w:rsidRPr="000F07B6" w:rsidRDefault="000F07B6" w:rsidP="00E07995">
                  <w:pPr>
                    <w:rPr>
                      <w:szCs w:val="24"/>
                      <w:lang w:val="nl-BE" w:eastAsia="nl-BE"/>
                    </w:rPr>
                  </w:pPr>
                  <w:r w:rsidRPr="000F07B6">
                    <w:rPr>
                      <w:rFonts w:ascii="Calibri" w:hAnsi="Calibri" w:cs="Calibri"/>
                      <w:color w:val="000000"/>
                      <w:sz w:val="20"/>
                      <w:lang w:val="nl-BE" w:eastAsia="nl-BE"/>
                    </w:rPr>
                    <w:t>2011</w:t>
                  </w:r>
                </w:p>
              </w:tc>
              <w:tc>
                <w:tcPr>
                  <w:tcW w:w="0" w:type="auto"/>
                </w:tcPr>
                <w:p w:rsidR="000F07B6" w:rsidRPr="000F07B6" w:rsidRDefault="000F07B6" w:rsidP="005103C0">
                  <w:pPr>
                    <w:jc w:val="right"/>
                    <w:rPr>
                      <w:szCs w:val="24"/>
                      <w:lang w:val="nl-BE" w:eastAsia="nl-BE"/>
                    </w:rPr>
                  </w:pPr>
                  <w:r w:rsidRPr="000F07B6">
                    <w:rPr>
                      <w:rFonts w:ascii="Calibri" w:hAnsi="Calibri" w:cs="Calibri"/>
                      <w:color w:val="000000"/>
                      <w:sz w:val="20"/>
                      <w:lang w:val="nl-BE" w:eastAsia="nl-BE"/>
                    </w:rPr>
                    <w:t>490</w:t>
                  </w:r>
                </w:p>
              </w:tc>
            </w:tr>
            <w:tr w:rsidR="000F07B6" w:rsidTr="00643726">
              <w:tc>
                <w:tcPr>
                  <w:tcW w:w="0" w:type="auto"/>
                </w:tcPr>
                <w:p w:rsidR="000F07B6" w:rsidRPr="000F07B6" w:rsidRDefault="000F07B6" w:rsidP="00E07995">
                  <w:pPr>
                    <w:rPr>
                      <w:szCs w:val="24"/>
                      <w:lang w:val="nl-BE" w:eastAsia="nl-BE"/>
                    </w:rPr>
                  </w:pPr>
                  <w:r w:rsidRPr="000F07B6">
                    <w:rPr>
                      <w:rFonts w:ascii="Calibri" w:hAnsi="Calibri" w:cs="Calibri"/>
                      <w:color w:val="000000"/>
                      <w:sz w:val="20"/>
                      <w:lang w:val="nl-BE" w:eastAsia="nl-BE"/>
                    </w:rPr>
                    <w:t>2012</w:t>
                  </w:r>
                  <w:r w:rsidR="00E07995">
                    <w:rPr>
                      <w:rFonts w:ascii="Calibri" w:hAnsi="Calibri" w:cs="Calibri"/>
                      <w:color w:val="000000"/>
                      <w:sz w:val="20"/>
                      <w:lang w:val="nl-BE" w:eastAsia="nl-BE"/>
                    </w:rPr>
                    <w:t xml:space="preserve"> (excl. dec.)</w:t>
                  </w:r>
                </w:p>
              </w:tc>
              <w:tc>
                <w:tcPr>
                  <w:tcW w:w="0" w:type="auto"/>
                </w:tcPr>
                <w:p w:rsidR="000F07B6" w:rsidRPr="000F07B6" w:rsidRDefault="000F07B6" w:rsidP="005103C0">
                  <w:pPr>
                    <w:jc w:val="right"/>
                    <w:rPr>
                      <w:szCs w:val="24"/>
                      <w:lang w:val="nl-BE" w:eastAsia="nl-BE"/>
                    </w:rPr>
                  </w:pPr>
                  <w:r w:rsidRPr="000F07B6">
                    <w:rPr>
                      <w:rFonts w:ascii="Calibri" w:hAnsi="Calibri" w:cs="Calibri"/>
                      <w:color w:val="000000"/>
                      <w:sz w:val="20"/>
                      <w:lang w:val="nl-BE" w:eastAsia="nl-BE"/>
                    </w:rPr>
                    <w:t>512</w:t>
                  </w:r>
                </w:p>
              </w:tc>
            </w:tr>
          </w:tbl>
          <w:p w:rsidR="000F07B6" w:rsidRDefault="000F07B6" w:rsidP="008047F7">
            <w:pPr>
              <w:pStyle w:val="StandaardSV"/>
              <w:rPr>
                <w:lang w:val="nl-BE"/>
              </w:rPr>
            </w:pPr>
          </w:p>
          <w:p w:rsidR="000F07B6" w:rsidRDefault="00D32689" w:rsidP="00C76F14">
            <w:pPr>
              <w:pStyle w:val="StandaardSV"/>
              <w:ind w:left="68"/>
              <w:rPr>
                <w:lang w:val="nl-BE"/>
              </w:rPr>
            </w:pPr>
            <w:r w:rsidRPr="005667BC">
              <w:rPr>
                <w:lang w:val="nl-BE"/>
              </w:rPr>
              <w:t xml:space="preserve">Gezien over een langere periode is alleen 2009 een </w:t>
            </w:r>
            <w:r w:rsidR="00C648CA" w:rsidRPr="005667BC">
              <w:rPr>
                <w:lang w:val="nl-BE"/>
              </w:rPr>
              <w:t>uitzondering (in positieve zin)</w:t>
            </w:r>
            <w:r w:rsidRPr="005667BC">
              <w:rPr>
                <w:lang w:val="nl-BE"/>
              </w:rPr>
              <w:t>.</w:t>
            </w:r>
            <w:r w:rsidR="00311A73" w:rsidRPr="005667BC">
              <w:rPr>
                <w:lang w:val="nl-BE"/>
              </w:rPr>
              <w:t xml:space="preserve">  In vergelijking met de vorige jaren is 2012 niet uitzonderlijk.</w:t>
            </w:r>
          </w:p>
          <w:p w:rsidR="000F07B6" w:rsidRPr="001E4FF1" w:rsidRDefault="000F07B6" w:rsidP="008047F7">
            <w:pPr>
              <w:pStyle w:val="StandaardSV"/>
              <w:rPr>
                <w:lang w:val="nl-BE"/>
              </w:rPr>
            </w:pPr>
          </w:p>
        </w:tc>
      </w:tr>
      <w:tr w:rsidR="00320FE9" w:rsidTr="00C76F14">
        <w:tc>
          <w:tcPr>
            <w:tcW w:w="0" w:type="auto"/>
          </w:tcPr>
          <w:p w:rsidR="00320FE9" w:rsidRDefault="00320FE9" w:rsidP="008047F7">
            <w:pPr>
              <w:pStyle w:val="StandaardSV"/>
            </w:pPr>
          </w:p>
        </w:tc>
        <w:tc>
          <w:tcPr>
            <w:tcW w:w="400" w:type="dxa"/>
          </w:tcPr>
          <w:p w:rsidR="00320FE9" w:rsidRDefault="00C76F14" w:rsidP="008047F7">
            <w:pPr>
              <w:pStyle w:val="StandaardSV"/>
            </w:pPr>
            <w:r>
              <w:t>b)</w:t>
            </w:r>
          </w:p>
        </w:tc>
        <w:tc>
          <w:tcPr>
            <w:tcW w:w="8951" w:type="dxa"/>
          </w:tcPr>
          <w:p w:rsidR="00311A73" w:rsidRPr="005667BC" w:rsidRDefault="0052184B" w:rsidP="005103C0">
            <w:pPr>
              <w:pStyle w:val="StandaardSV"/>
            </w:pPr>
            <w:r w:rsidRPr="005667BC">
              <w:rPr>
                <w:lang w:val="nl-BE"/>
              </w:rPr>
              <w:t xml:space="preserve">Er zijn geen </w:t>
            </w:r>
            <w:r w:rsidR="00311A73" w:rsidRPr="005667BC">
              <w:rPr>
                <w:lang w:val="nl-BE"/>
              </w:rPr>
              <w:t>specifieke korte termijn maatregelen genomen om het aantal aanvragen te verhogen. Er kan wel gewezen worden op twee langere termijn trajecten, namelijk :</w:t>
            </w:r>
          </w:p>
          <w:p w:rsidR="003A107B" w:rsidRDefault="003A107B" w:rsidP="00311A73">
            <w:pPr>
              <w:pStyle w:val="StandaardSV"/>
              <w:ind w:left="360"/>
            </w:pPr>
          </w:p>
          <w:p w:rsidR="006A6078" w:rsidRDefault="003A107B" w:rsidP="003A107B">
            <w:pPr>
              <w:pStyle w:val="StandaardSV"/>
              <w:numPr>
                <w:ilvl w:val="0"/>
                <w:numId w:val="26"/>
              </w:numPr>
            </w:pPr>
            <w:r>
              <w:t xml:space="preserve">de provinciaal georganiseerde innovatiecentra </w:t>
            </w:r>
            <w:r w:rsidR="00311A73">
              <w:t xml:space="preserve">zijn gevraagd </w:t>
            </w:r>
            <w:r>
              <w:t>om nog meer pro-actief te werken</w:t>
            </w:r>
            <w:r w:rsidR="00311A73">
              <w:t>;</w:t>
            </w:r>
          </w:p>
          <w:p w:rsidR="003A107B" w:rsidRDefault="00311A73" w:rsidP="00C648CA">
            <w:pPr>
              <w:pStyle w:val="StandaardSV"/>
              <w:numPr>
                <w:ilvl w:val="0"/>
                <w:numId w:val="26"/>
              </w:numPr>
            </w:pPr>
            <w:r>
              <w:t>de strategie-oefening</w:t>
            </w:r>
            <w:r w:rsidR="00B05A8D">
              <w:t xml:space="preserve"> </w:t>
            </w:r>
            <w:r w:rsidR="00C648CA">
              <w:t xml:space="preserve">binnen het IWT </w:t>
            </w:r>
            <w:r>
              <w:t xml:space="preserve">resulteerde </w:t>
            </w:r>
            <w:r w:rsidR="00C648CA">
              <w:t xml:space="preserve">ondertussen in een meer doelgroepgerichte aanpak, met o.a. </w:t>
            </w:r>
            <w:r>
              <w:t xml:space="preserve">een blijvende aandacht voor de kmo’s en </w:t>
            </w:r>
            <w:r w:rsidR="00C648CA">
              <w:t xml:space="preserve">de nieuwe sprint-projecten gericht op </w:t>
            </w:r>
            <w:r>
              <w:t>niet-kmo’s</w:t>
            </w:r>
            <w:r w:rsidR="00C648CA">
              <w:t xml:space="preserve"> met een eerder beperkte </w:t>
            </w:r>
            <w:r>
              <w:t>O&amp;O</w:t>
            </w:r>
            <w:r w:rsidR="00C648CA">
              <w:t>-capaciteit.</w:t>
            </w:r>
          </w:p>
          <w:p w:rsidR="00C648CA" w:rsidRDefault="00C648CA" w:rsidP="00E56A90">
            <w:pPr>
              <w:pStyle w:val="StandaardSV"/>
              <w:ind w:left="720"/>
            </w:pPr>
          </w:p>
        </w:tc>
      </w:tr>
      <w:tr w:rsidR="005103C0" w:rsidTr="00C76F14">
        <w:tc>
          <w:tcPr>
            <w:tcW w:w="0" w:type="auto"/>
          </w:tcPr>
          <w:p w:rsidR="005103C0" w:rsidRDefault="005103C0" w:rsidP="008047F7">
            <w:pPr>
              <w:pStyle w:val="StandaardSV"/>
            </w:pPr>
          </w:p>
        </w:tc>
        <w:tc>
          <w:tcPr>
            <w:tcW w:w="0" w:type="auto"/>
          </w:tcPr>
          <w:p w:rsidR="005103C0" w:rsidRDefault="005103C0" w:rsidP="008047F7">
            <w:pPr>
              <w:pStyle w:val="StandaardSV"/>
            </w:pPr>
          </w:p>
        </w:tc>
        <w:tc>
          <w:tcPr>
            <w:tcW w:w="8951" w:type="dxa"/>
          </w:tcPr>
          <w:p w:rsidR="005103C0" w:rsidRDefault="005103C0" w:rsidP="008047F7">
            <w:pPr>
              <w:pStyle w:val="StandaardSV"/>
              <w:rPr>
                <w:color w:val="0000FF"/>
                <w:lang w:val="nl-BE"/>
              </w:rPr>
            </w:pPr>
          </w:p>
        </w:tc>
      </w:tr>
      <w:tr w:rsidR="00320FE9" w:rsidTr="00C76F14">
        <w:tc>
          <w:tcPr>
            <w:tcW w:w="0" w:type="auto"/>
          </w:tcPr>
          <w:p w:rsidR="00320FE9" w:rsidRDefault="00E900DF" w:rsidP="008047F7">
            <w:pPr>
              <w:pStyle w:val="StandaardSV"/>
            </w:pPr>
            <w:r>
              <w:br w:type="page"/>
            </w:r>
            <w:r w:rsidR="00320FE9">
              <w:t>3</w:t>
            </w:r>
            <w:r w:rsidR="005103C0">
              <w:t>.</w:t>
            </w:r>
          </w:p>
        </w:tc>
        <w:tc>
          <w:tcPr>
            <w:tcW w:w="0" w:type="auto"/>
          </w:tcPr>
          <w:p w:rsidR="00320FE9" w:rsidRDefault="00320FE9" w:rsidP="008047F7">
            <w:pPr>
              <w:pStyle w:val="StandaardSV"/>
            </w:pPr>
          </w:p>
        </w:tc>
        <w:tc>
          <w:tcPr>
            <w:tcW w:w="8951" w:type="dxa"/>
          </w:tcPr>
          <w:p w:rsidR="00467F3F" w:rsidRPr="001E4FF1" w:rsidRDefault="005103C0" w:rsidP="001E4FF1">
            <w:pPr>
              <w:pStyle w:val="StandaardSV"/>
              <w:keepNext/>
              <w:keepLines/>
              <w:rPr>
                <w:lang w:val="nl-BE"/>
              </w:rPr>
            </w:pPr>
            <w:r>
              <w:rPr>
                <w:lang w:val="nl-BE"/>
              </w:rPr>
              <w:t>F</w:t>
            </w:r>
            <w:r w:rsidR="00320FE9" w:rsidRPr="001E4FF1">
              <w:rPr>
                <w:lang w:val="nl-BE"/>
              </w:rPr>
              <w:t xml:space="preserve">eedback van de gebruikers over </w:t>
            </w:r>
            <w:r>
              <w:rPr>
                <w:lang w:val="nl-BE"/>
              </w:rPr>
              <w:t>:</w:t>
            </w:r>
          </w:p>
          <w:p w:rsidR="00467F3F" w:rsidRPr="00467F3F" w:rsidRDefault="00320FE9" w:rsidP="001E4FF1">
            <w:pPr>
              <w:pStyle w:val="StandaardSV"/>
              <w:keepNext/>
              <w:keepLines/>
              <w:numPr>
                <w:ilvl w:val="0"/>
                <w:numId w:val="17"/>
              </w:numPr>
            </w:pPr>
            <w:r w:rsidRPr="001E4FF1">
              <w:rPr>
                <w:lang w:val="nl-BE"/>
              </w:rPr>
              <w:t xml:space="preserve">het nut van het instrument, </w:t>
            </w:r>
          </w:p>
          <w:p w:rsidR="00467F3F" w:rsidRPr="00467F3F" w:rsidRDefault="00320FE9" w:rsidP="001E4FF1">
            <w:pPr>
              <w:pStyle w:val="StandaardSV"/>
              <w:keepNext/>
              <w:keepLines/>
              <w:numPr>
                <w:ilvl w:val="0"/>
                <w:numId w:val="17"/>
              </w:numPr>
            </w:pPr>
            <w:r w:rsidRPr="001E4FF1">
              <w:rPr>
                <w:lang w:val="nl-BE"/>
              </w:rPr>
              <w:t xml:space="preserve">de mogelijke obstakels om steun te vragen en </w:t>
            </w:r>
          </w:p>
          <w:p w:rsidR="00320FE9" w:rsidRDefault="00320FE9" w:rsidP="001E4FF1">
            <w:pPr>
              <w:pStyle w:val="StandaardSV"/>
              <w:keepNext/>
              <w:keepLines/>
              <w:numPr>
                <w:ilvl w:val="0"/>
                <w:numId w:val="17"/>
              </w:numPr>
            </w:pPr>
            <w:r w:rsidRPr="001E4FF1">
              <w:rPr>
                <w:lang w:val="nl-BE"/>
              </w:rPr>
              <w:t>de impact die de gesteunde projecten hebben gehad op de economische ontwikkelingen van de bedrijven in kwestie</w:t>
            </w:r>
          </w:p>
        </w:tc>
      </w:tr>
      <w:tr w:rsidR="00320FE9" w:rsidTr="00C76F14">
        <w:tc>
          <w:tcPr>
            <w:tcW w:w="0" w:type="auto"/>
          </w:tcPr>
          <w:p w:rsidR="00AF33A4" w:rsidRDefault="00AF33A4" w:rsidP="008047F7">
            <w:pPr>
              <w:pStyle w:val="StandaardSV"/>
            </w:pPr>
          </w:p>
        </w:tc>
        <w:tc>
          <w:tcPr>
            <w:tcW w:w="0" w:type="auto"/>
          </w:tcPr>
          <w:p w:rsidR="00320FE9" w:rsidRDefault="00320FE9" w:rsidP="008047F7">
            <w:pPr>
              <w:pStyle w:val="StandaardSV"/>
            </w:pPr>
          </w:p>
        </w:tc>
        <w:tc>
          <w:tcPr>
            <w:tcW w:w="8951" w:type="dxa"/>
          </w:tcPr>
          <w:p w:rsidR="00AF33A4" w:rsidRDefault="00AF33A4" w:rsidP="008805D3">
            <w:pPr>
              <w:pStyle w:val="StandaardSV"/>
              <w:keepNext/>
              <w:keepLines/>
              <w:rPr>
                <w:lang w:val="nl-BE"/>
              </w:rPr>
            </w:pPr>
          </w:p>
          <w:p w:rsidR="008805D3" w:rsidRDefault="008805D3" w:rsidP="00C76F14">
            <w:pPr>
              <w:pStyle w:val="StandaardSV"/>
              <w:keepNext/>
              <w:keepLines/>
              <w:rPr>
                <w:lang w:val="nl-BE"/>
              </w:rPr>
            </w:pPr>
            <w:r>
              <w:rPr>
                <w:lang w:val="nl-BE"/>
              </w:rPr>
              <w:t xml:space="preserve">Voor het antwoord </w:t>
            </w:r>
            <w:r w:rsidR="009B6E3B">
              <w:rPr>
                <w:lang w:val="nl-BE"/>
              </w:rPr>
              <w:t xml:space="preserve">op </w:t>
            </w:r>
            <w:r>
              <w:rPr>
                <w:lang w:val="nl-BE"/>
              </w:rPr>
              <w:t xml:space="preserve">deze vraag baseren we ons op de </w:t>
            </w:r>
            <w:r w:rsidR="009B6E3B">
              <w:rPr>
                <w:lang w:val="nl-BE"/>
              </w:rPr>
              <w:t xml:space="preserve">volgende </w:t>
            </w:r>
            <w:r>
              <w:rPr>
                <w:lang w:val="nl-BE"/>
              </w:rPr>
              <w:t>studies :</w:t>
            </w:r>
          </w:p>
          <w:p w:rsidR="008805D3" w:rsidRDefault="008805D3" w:rsidP="00C76F14">
            <w:pPr>
              <w:pStyle w:val="StandaardSV"/>
              <w:keepNext/>
              <w:keepLines/>
              <w:numPr>
                <w:ilvl w:val="0"/>
                <w:numId w:val="17"/>
              </w:numPr>
              <w:rPr>
                <w:lang w:val="nl-BE"/>
              </w:rPr>
            </w:pPr>
            <w:r w:rsidRPr="00F935DB">
              <w:rPr>
                <w:lang w:val="nl-BE"/>
              </w:rPr>
              <w:t>Positioneringstudie van de IWT-producten en diensten van het VIN</w:t>
            </w:r>
            <w:r>
              <w:rPr>
                <w:lang w:val="nl-BE"/>
              </w:rPr>
              <w:t xml:space="preserve"> (2009; Partcours en </w:t>
            </w:r>
            <w:proofErr w:type="spellStart"/>
            <w:r>
              <w:rPr>
                <w:lang w:val="nl-BE"/>
              </w:rPr>
              <w:t>Dimarso</w:t>
            </w:r>
            <w:proofErr w:type="spellEnd"/>
            <w:r>
              <w:rPr>
                <w:lang w:val="nl-BE"/>
              </w:rPr>
              <w:t xml:space="preserve">; </w:t>
            </w:r>
            <w:hyperlink r:id="rId6" w:history="1">
              <w:r w:rsidR="00496B1A" w:rsidRPr="00496B1A">
                <w:rPr>
                  <w:rStyle w:val="Hyperlink"/>
                  <w:lang w:val="nl-BE"/>
                </w:rPr>
                <w:t>http://www.iwt.be/sites/default/files/publicaties/iwt_studie63.pdf</w:t>
              </w:r>
            </w:hyperlink>
            <w:r>
              <w:rPr>
                <w:lang w:val="nl-BE"/>
              </w:rPr>
              <w:t>)</w:t>
            </w:r>
            <w:r w:rsidR="004178D7">
              <w:rPr>
                <w:lang w:val="nl-BE"/>
              </w:rPr>
              <w:t xml:space="preserve">. Hieronder wordt naar deze studie </w:t>
            </w:r>
            <w:r w:rsidR="00496B1A">
              <w:rPr>
                <w:lang w:val="nl-BE"/>
              </w:rPr>
              <w:t xml:space="preserve">verwezen </w:t>
            </w:r>
            <w:r w:rsidR="004178D7">
              <w:rPr>
                <w:lang w:val="nl-BE"/>
              </w:rPr>
              <w:t>met ‘de positioneringsstudie’</w:t>
            </w:r>
            <w:r w:rsidR="00496B1A">
              <w:rPr>
                <w:lang w:val="nl-BE"/>
              </w:rPr>
              <w:t>.</w:t>
            </w:r>
          </w:p>
          <w:p w:rsidR="008805D3" w:rsidRDefault="008805D3" w:rsidP="00C76F14">
            <w:pPr>
              <w:pStyle w:val="StandaardSV"/>
              <w:keepNext/>
              <w:keepLines/>
              <w:numPr>
                <w:ilvl w:val="0"/>
                <w:numId w:val="17"/>
              </w:numPr>
              <w:rPr>
                <w:lang w:val="nl-BE"/>
              </w:rPr>
            </w:pPr>
            <w:r w:rsidRPr="0041436A">
              <w:rPr>
                <w:lang w:val="nl-BE"/>
              </w:rPr>
              <w:t>Impact van de IWT-bedrijfssteun bij de Vlaamse ondernemingen</w:t>
            </w:r>
            <w:r>
              <w:rPr>
                <w:lang w:val="nl-BE"/>
              </w:rPr>
              <w:t xml:space="preserve"> (2011; Idea-Consult; </w:t>
            </w:r>
            <w:hyperlink r:id="rId7" w:history="1">
              <w:r w:rsidRPr="0041436A">
                <w:rPr>
                  <w:rStyle w:val="Hyperlink"/>
                  <w:lang w:val="nl-BE"/>
                </w:rPr>
                <w:t>http://www.iwt.be/sites/default/files/publicaties/iwt_studie72.pdf</w:t>
              </w:r>
            </w:hyperlink>
            <w:r>
              <w:rPr>
                <w:lang w:val="nl-BE"/>
              </w:rPr>
              <w:t>)</w:t>
            </w:r>
            <w:r w:rsidR="004178D7">
              <w:rPr>
                <w:lang w:val="nl-BE"/>
              </w:rPr>
              <w:t xml:space="preserve">. Hieronder wordt naar deze studie </w:t>
            </w:r>
            <w:r w:rsidR="00496B1A">
              <w:rPr>
                <w:lang w:val="nl-BE"/>
              </w:rPr>
              <w:t>verwezen</w:t>
            </w:r>
            <w:r w:rsidR="004178D7">
              <w:rPr>
                <w:lang w:val="nl-BE"/>
              </w:rPr>
              <w:t xml:space="preserve"> met ‘de impactstudie’</w:t>
            </w:r>
            <w:r w:rsidR="00847F06">
              <w:rPr>
                <w:lang w:val="nl-BE"/>
              </w:rPr>
              <w:t>.</w:t>
            </w:r>
          </w:p>
          <w:p w:rsidR="0076794C" w:rsidRPr="00C97D8A" w:rsidRDefault="00C97D8A" w:rsidP="00C76F14">
            <w:pPr>
              <w:pStyle w:val="StandaardSV"/>
              <w:keepNext/>
              <w:keepLines/>
              <w:numPr>
                <w:ilvl w:val="0"/>
                <w:numId w:val="17"/>
              </w:numPr>
              <w:rPr>
                <w:lang w:val="nl-BE"/>
              </w:rPr>
            </w:pPr>
            <w:r w:rsidRPr="00C97D8A">
              <w:rPr>
                <w:lang w:val="nl-BE"/>
              </w:rPr>
              <w:t xml:space="preserve">Samenvatting van de portfolio-analyse bedrijfssteun </w:t>
            </w:r>
            <w:r w:rsidR="0076794C" w:rsidRPr="00C97D8A">
              <w:rPr>
                <w:lang w:val="nl-BE"/>
              </w:rPr>
              <w:t xml:space="preserve">(2011; IWT; </w:t>
            </w:r>
            <w:hyperlink r:id="rId8" w:history="1">
              <w:r w:rsidR="0076794C" w:rsidRPr="00C97D8A">
                <w:rPr>
                  <w:rStyle w:val="Hyperlink"/>
                  <w:lang w:val="nl-BE"/>
                </w:rPr>
                <w:t>http://www.iwt.be/sites/default/files/publicaties/iwt_studie74_0.pdf</w:t>
              </w:r>
            </w:hyperlink>
            <w:r w:rsidR="0076794C" w:rsidRPr="00C97D8A">
              <w:rPr>
                <w:lang w:val="nl-BE"/>
              </w:rPr>
              <w:t>)</w:t>
            </w:r>
            <w:r>
              <w:rPr>
                <w:lang w:val="nl-BE"/>
              </w:rPr>
              <w:t>. Hieronder wordt naar deze studie verwezen met ‘de portfolio-analyse’.</w:t>
            </w:r>
          </w:p>
          <w:p w:rsidR="008805D3" w:rsidRDefault="003D6C7F" w:rsidP="00C76F14">
            <w:pPr>
              <w:pStyle w:val="StandaardSV"/>
              <w:keepNext/>
              <w:keepLines/>
              <w:numPr>
                <w:ilvl w:val="0"/>
                <w:numId w:val="17"/>
              </w:numPr>
              <w:rPr>
                <w:lang w:val="nl-BE"/>
              </w:rPr>
            </w:pPr>
            <w:r w:rsidRPr="003D6C7F">
              <w:rPr>
                <w:lang w:val="nl-BE"/>
              </w:rPr>
              <w:t xml:space="preserve">IWT Klantentevredenheid 2011 </w:t>
            </w:r>
            <w:r w:rsidR="00CB074B" w:rsidRPr="00F53073">
              <w:rPr>
                <w:lang w:val="nl-BE"/>
              </w:rPr>
              <w:t>(2011;</w:t>
            </w:r>
            <w:r w:rsidR="009F4D09" w:rsidRPr="00F53073">
              <w:rPr>
                <w:lang w:val="nl-BE"/>
              </w:rPr>
              <w:t xml:space="preserve"> Significant </w:t>
            </w:r>
            <w:proofErr w:type="spellStart"/>
            <w:r w:rsidR="009F4D09" w:rsidRPr="00F53073">
              <w:rPr>
                <w:lang w:val="nl-BE"/>
              </w:rPr>
              <w:t>GfK</w:t>
            </w:r>
            <w:proofErr w:type="spellEnd"/>
            <w:r w:rsidR="009F4D09" w:rsidRPr="00F53073">
              <w:rPr>
                <w:lang w:val="nl-BE"/>
              </w:rPr>
              <w:t xml:space="preserve">; </w:t>
            </w:r>
            <w:hyperlink r:id="rId9" w:history="1">
              <w:r w:rsidR="009F4D09" w:rsidRPr="009F4D09">
                <w:rPr>
                  <w:rStyle w:val="Hyperlink"/>
                  <w:lang w:val="nl-BE"/>
                </w:rPr>
                <w:t>http://www.iwt.be/sites/default/files/IWT_klantentevredenheid_executive%20summary.pdf</w:t>
              </w:r>
            </w:hyperlink>
            <w:r w:rsidR="00CB074B">
              <w:rPr>
                <w:color w:val="FF0000"/>
                <w:lang w:val="nl-BE"/>
              </w:rPr>
              <w:t>)</w:t>
            </w:r>
            <w:r w:rsidR="004178D7">
              <w:rPr>
                <w:lang w:val="nl-BE"/>
              </w:rPr>
              <w:t xml:space="preserve">. Hieronder wordt naar deze studie </w:t>
            </w:r>
            <w:r w:rsidR="00496B1A">
              <w:rPr>
                <w:lang w:val="nl-BE"/>
              </w:rPr>
              <w:t xml:space="preserve">verwezen </w:t>
            </w:r>
            <w:r w:rsidR="004178D7">
              <w:rPr>
                <w:lang w:val="nl-BE"/>
              </w:rPr>
              <w:t>met ‘het klantentevredenheidsonderzoek’.</w:t>
            </w:r>
          </w:p>
          <w:p w:rsidR="00B87AC9" w:rsidRDefault="009F4D09" w:rsidP="00C76F14">
            <w:pPr>
              <w:pStyle w:val="StandaardSV"/>
              <w:keepNext/>
              <w:keepLines/>
              <w:numPr>
                <w:ilvl w:val="0"/>
                <w:numId w:val="17"/>
              </w:numPr>
              <w:rPr>
                <w:lang w:val="nl-BE"/>
              </w:rPr>
            </w:pPr>
            <w:r w:rsidRPr="009F4D09">
              <w:rPr>
                <w:lang w:val="nl-BE"/>
              </w:rPr>
              <w:t>Study and Evaluation of the Behavioural Additionality of R&amp;D subsidies</w:t>
            </w:r>
            <w:r w:rsidR="00B87AC9">
              <w:rPr>
                <w:lang w:val="nl-BE"/>
              </w:rPr>
              <w:t xml:space="preserve"> </w:t>
            </w:r>
            <w:r>
              <w:rPr>
                <w:lang w:val="nl-BE"/>
              </w:rPr>
              <w:t xml:space="preserve">(2006; Idea-Consult en Universiteit Gent/Vlerick; </w:t>
            </w:r>
            <w:hyperlink r:id="rId10" w:history="1">
              <w:r w:rsidRPr="00AC1DF6">
                <w:rPr>
                  <w:rStyle w:val="Hyperlink"/>
                  <w:lang w:val="nl-BE"/>
                </w:rPr>
                <w:t>http://www.iwt.be/sites/default/files/english/files/final_report_BA_IWT-subsidies_10_11_2006.pdf</w:t>
              </w:r>
            </w:hyperlink>
            <w:r>
              <w:rPr>
                <w:lang w:val="nl-BE"/>
              </w:rPr>
              <w:t>)</w:t>
            </w:r>
            <w:r w:rsidR="00B87AC9">
              <w:rPr>
                <w:lang w:val="nl-BE"/>
              </w:rPr>
              <w:t xml:space="preserve"> Hieronder </w:t>
            </w:r>
            <w:r w:rsidR="005B328B">
              <w:rPr>
                <w:lang w:val="nl-BE"/>
              </w:rPr>
              <w:t>wordt naar deze studie gerefer</w:t>
            </w:r>
            <w:r w:rsidR="00B87AC9">
              <w:rPr>
                <w:lang w:val="nl-BE"/>
              </w:rPr>
              <w:t xml:space="preserve">eerd met ‘het </w:t>
            </w:r>
            <w:r w:rsidR="00B87AC9" w:rsidRPr="00B87AC9">
              <w:rPr>
                <w:lang w:val="nl-BE"/>
              </w:rPr>
              <w:t>gedragsadditionaliteitsonderzoek’.</w:t>
            </w:r>
          </w:p>
          <w:p w:rsidR="008805D3" w:rsidRPr="009B52B0" w:rsidRDefault="008805D3" w:rsidP="00C76F14">
            <w:pPr>
              <w:pStyle w:val="StandaardSV"/>
              <w:keepNext/>
              <w:keepLines/>
              <w:numPr>
                <w:ilvl w:val="0"/>
                <w:numId w:val="17"/>
              </w:numPr>
              <w:rPr>
                <w:lang w:val="nl-BE"/>
              </w:rPr>
            </w:pPr>
            <w:r w:rsidRPr="008805D3">
              <w:rPr>
                <w:lang w:val="nl-BE"/>
              </w:rPr>
              <w:t xml:space="preserve">De impact van het verkrijgen van O&amp;O subsidies op het </w:t>
            </w:r>
            <w:r w:rsidRPr="009B52B0">
              <w:rPr>
                <w:lang w:val="nl-BE"/>
              </w:rPr>
              <w:t>aantrekken van externe financiering: Een empirisch onderzoek naar het KMO-programma van het IWT in Vlaanderen</w:t>
            </w:r>
            <w:r w:rsidR="009B52B0">
              <w:rPr>
                <w:lang w:val="nl-BE"/>
              </w:rPr>
              <w:t xml:space="preserve"> (</w:t>
            </w:r>
            <w:r w:rsidR="003C1265">
              <w:rPr>
                <w:lang w:val="nl-BE"/>
              </w:rPr>
              <w:t xml:space="preserve">2008; </w:t>
            </w:r>
            <w:r w:rsidR="00D347A8">
              <w:rPr>
                <w:lang w:val="nl-BE"/>
              </w:rPr>
              <w:t xml:space="preserve">Vlerick en Erasmus </w:t>
            </w:r>
            <w:r w:rsidR="003C1265">
              <w:rPr>
                <w:lang w:val="nl-BE"/>
              </w:rPr>
              <w:t xml:space="preserve">Universiteit Rotterdam; </w:t>
            </w:r>
            <w:hyperlink r:id="rId11" w:history="1">
              <w:r w:rsidR="009F4D09" w:rsidRPr="009F4D09">
                <w:rPr>
                  <w:rStyle w:val="Hyperlink"/>
                  <w:lang w:val="nl-BE"/>
                </w:rPr>
                <w:t>http://www.ondernemerschap.be/Upload/Documents/STOIO/Studies/2008/2008-2.pdf</w:t>
              </w:r>
            </w:hyperlink>
            <w:r w:rsidR="009B52B0">
              <w:rPr>
                <w:lang w:val="nl-BE"/>
              </w:rPr>
              <w:t>)</w:t>
            </w:r>
            <w:r w:rsidR="00C76F14">
              <w:rPr>
                <w:lang w:val="nl-BE"/>
              </w:rPr>
              <w:t xml:space="preserve">. </w:t>
            </w:r>
            <w:r w:rsidR="00847F06">
              <w:rPr>
                <w:lang w:val="nl-BE"/>
              </w:rPr>
              <w:t xml:space="preserve">Hieronder wordt naar deze studie </w:t>
            </w:r>
            <w:r w:rsidR="00496B1A">
              <w:rPr>
                <w:lang w:val="nl-BE"/>
              </w:rPr>
              <w:t xml:space="preserve">verwezen </w:t>
            </w:r>
            <w:r w:rsidR="00847F06">
              <w:rPr>
                <w:lang w:val="nl-BE"/>
              </w:rPr>
              <w:t>met ‘de externe-financieringsstudie’.</w:t>
            </w:r>
          </w:p>
          <w:p w:rsidR="008805D3" w:rsidRDefault="008805D3" w:rsidP="00DE1BB1">
            <w:pPr>
              <w:pStyle w:val="StandaardSV"/>
              <w:keepNext/>
              <w:keepLines/>
            </w:pPr>
          </w:p>
        </w:tc>
      </w:tr>
      <w:tr w:rsidR="0002297F" w:rsidRPr="005103C0" w:rsidTr="00C76F14">
        <w:tc>
          <w:tcPr>
            <w:tcW w:w="0" w:type="auto"/>
          </w:tcPr>
          <w:p w:rsidR="0002297F" w:rsidRPr="005103C0" w:rsidRDefault="0002297F" w:rsidP="008047F7">
            <w:pPr>
              <w:pStyle w:val="StandaardSV"/>
            </w:pPr>
          </w:p>
        </w:tc>
        <w:tc>
          <w:tcPr>
            <w:tcW w:w="0" w:type="auto"/>
          </w:tcPr>
          <w:p w:rsidR="0002297F" w:rsidRPr="005103C0" w:rsidRDefault="0002297F" w:rsidP="008047F7">
            <w:pPr>
              <w:pStyle w:val="StandaardSV"/>
            </w:pPr>
          </w:p>
        </w:tc>
        <w:tc>
          <w:tcPr>
            <w:tcW w:w="8951" w:type="dxa"/>
          </w:tcPr>
          <w:p w:rsidR="004A4E12" w:rsidRPr="005103C0" w:rsidRDefault="0002297F" w:rsidP="004A4E12">
            <w:pPr>
              <w:pStyle w:val="StandaardSV"/>
              <w:keepNext/>
              <w:keepLines/>
              <w:rPr>
                <w:szCs w:val="22"/>
                <w:u w:val="single"/>
              </w:rPr>
            </w:pPr>
            <w:r w:rsidRPr="005103C0">
              <w:rPr>
                <w:szCs w:val="22"/>
                <w:u w:val="single"/>
              </w:rPr>
              <w:t>Het door de projectindieners aangegeven nut van het instrument</w:t>
            </w:r>
          </w:p>
          <w:p w:rsidR="004A4E12" w:rsidRPr="005103C0" w:rsidRDefault="004A4E12" w:rsidP="004A4E12">
            <w:pPr>
              <w:pStyle w:val="StandaardSV"/>
              <w:keepNext/>
              <w:keepLines/>
              <w:rPr>
                <w:szCs w:val="22"/>
                <w:u w:val="single"/>
              </w:rPr>
            </w:pPr>
          </w:p>
          <w:p w:rsidR="0002297F" w:rsidRPr="005103C0" w:rsidRDefault="004A4E12" w:rsidP="005103C0">
            <w:pPr>
              <w:pStyle w:val="StandaardSV"/>
              <w:keepNext/>
              <w:keepLines/>
              <w:rPr>
                <w:szCs w:val="22"/>
              </w:rPr>
            </w:pPr>
            <w:r w:rsidRPr="005103C0">
              <w:rPr>
                <w:szCs w:val="22"/>
                <w:u w:val="single"/>
              </w:rPr>
              <w:t>R</w:t>
            </w:r>
            <w:r w:rsidR="0002297F" w:rsidRPr="005103C0">
              <w:rPr>
                <w:szCs w:val="22"/>
                <w:u w:val="single"/>
              </w:rPr>
              <w:t>eden van projectaanvraag</w:t>
            </w:r>
            <w:r w:rsidR="0002297F" w:rsidRPr="005103C0">
              <w:rPr>
                <w:szCs w:val="22"/>
              </w:rPr>
              <w:t xml:space="preserve"> </w:t>
            </w:r>
          </w:p>
          <w:p w:rsidR="0002297F" w:rsidRPr="005103C0" w:rsidRDefault="0002297F" w:rsidP="005103C0">
            <w:pPr>
              <w:pStyle w:val="StandaardSV"/>
              <w:keepNext/>
              <w:keepLines/>
              <w:rPr>
                <w:rFonts w:cs="Franklin Gothic Book"/>
                <w:color w:val="000000"/>
                <w:szCs w:val="22"/>
              </w:rPr>
            </w:pPr>
            <w:r w:rsidRPr="005103C0">
              <w:rPr>
                <w:rFonts w:cs="Franklin Gothic Book"/>
                <w:color w:val="000000"/>
                <w:szCs w:val="22"/>
              </w:rPr>
              <w:t xml:space="preserve">Uit ‘de impactstudie’ blijkt dat </w:t>
            </w:r>
            <w:r w:rsidR="005238C3">
              <w:rPr>
                <w:rFonts w:cs="Franklin Gothic Book"/>
                <w:color w:val="000000"/>
                <w:szCs w:val="22"/>
              </w:rPr>
              <w:t xml:space="preserve">de bedrijven beroep doen op </w:t>
            </w:r>
            <w:r w:rsidRPr="005103C0">
              <w:rPr>
                <w:rFonts w:cs="Franklin Gothic Book"/>
                <w:color w:val="000000"/>
                <w:szCs w:val="22"/>
              </w:rPr>
              <w:t>O&amp;O-bedrijfs</w:t>
            </w:r>
            <w:r w:rsidR="005238C3">
              <w:rPr>
                <w:rFonts w:cs="Franklin Gothic Book"/>
                <w:color w:val="000000"/>
                <w:szCs w:val="22"/>
              </w:rPr>
              <w:t>steun v</w:t>
            </w:r>
            <w:r w:rsidRPr="005103C0">
              <w:rPr>
                <w:rFonts w:cs="Franklin Gothic Book"/>
                <w:color w:val="000000"/>
                <w:szCs w:val="22"/>
              </w:rPr>
              <w:t xml:space="preserve">oornamelijk omwille van het wetenschappelijk-technologisch risico of het innovatief karakter, </w:t>
            </w:r>
            <w:r w:rsidR="005238C3">
              <w:rPr>
                <w:rFonts w:cs="Franklin Gothic Book"/>
                <w:color w:val="000000"/>
                <w:szCs w:val="22"/>
              </w:rPr>
              <w:t xml:space="preserve">terwijl </w:t>
            </w:r>
            <w:r w:rsidRPr="005103C0">
              <w:rPr>
                <w:rFonts w:cs="Franklin Gothic Book"/>
                <w:color w:val="000000"/>
                <w:szCs w:val="22"/>
              </w:rPr>
              <w:t>voor  kmo’s de nood aan financiële middelen voor de uitvoering van het project van zeer groot belang is.</w:t>
            </w:r>
          </w:p>
          <w:p w:rsidR="0002297F" w:rsidRPr="005103C0" w:rsidRDefault="0002297F" w:rsidP="005103C0">
            <w:pPr>
              <w:rPr>
                <w:rFonts w:cs="Franklin Gothic Book"/>
                <w:color w:val="000000"/>
                <w:sz w:val="22"/>
                <w:szCs w:val="22"/>
              </w:rPr>
            </w:pPr>
          </w:p>
          <w:p w:rsidR="0002297F" w:rsidRPr="005103C0" w:rsidRDefault="0002297F" w:rsidP="005103C0">
            <w:pPr>
              <w:pStyle w:val="StandaardSV"/>
              <w:rPr>
                <w:szCs w:val="22"/>
                <w:u w:val="single"/>
              </w:rPr>
            </w:pPr>
            <w:r w:rsidRPr="005103C0">
              <w:rPr>
                <w:szCs w:val="22"/>
                <w:u w:val="single"/>
              </w:rPr>
              <w:t>Projectresultaten</w:t>
            </w:r>
          </w:p>
          <w:p w:rsidR="0002297F" w:rsidRPr="005103C0" w:rsidRDefault="0002297F" w:rsidP="005103C0">
            <w:pPr>
              <w:pStyle w:val="StandaardSV"/>
              <w:rPr>
                <w:rFonts w:cs="Franklin Gothic Book"/>
                <w:color w:val="000000"/>
                <w:szCs w:val="22"/>
              </w:rPr>
            </w:pPr>
            <w:r w:rsidRPr="005103C0">
              <w:rPr>
                <w:rFonts w:cs="Franklin Gothic Book"/>
                <w:color w:val="000000"/>
                <w:szCs w:val="22"/>
              </w:rPr>
              <w:t>Projecten O&amp;O en kmo/IP leiden duidelijk al tijdens het project tot tastbare projectresultaten, die verder gaan dan het louter creëren of verwerven van nieuwe kennis. Het ontwikkelen van een prototype/demonstratiemodel, het ontwikkelen van een nieuwe/verbeterde technologie en/of het ontwikkelen van nieuwe of verbeterde componenten of samenstellingen komen hierbij zeer vaak aan bod.</w:t>
            </w:r>
          </w:p>
          <w:p w:rsidR="0002297F" w:rsidRPr="005103C0" w:rsidRDefault="0002297F" w:rsidP="004A4E12">
            <w:pPr>
              <w:pStyle w:val="StandaardSV"/>
              <w:rPr>
                <w:szCs w:val="22"/>
                <w:u w:val="single"/>
              </w:rPr>
            </w:pPr>
          </w:p>
          <w:p w:rsidR="0002297F" w:rsidRPr="005103C0" w:rsidRDefault="0002297F" w:rsidP="005103C0">
            <w:pPr>
              <w:pStyle w:val="StandaardSV"/>
              <w:rPr>
                <w:szCs w:val="22"/>
                <w:u w:val="single"/>
              </w:rPr>
            </w:pPr>
            <w:r w:rsidRPr="005103C0">
              <w:rPr>
                <w:szCs w:val="22"/>
                <w:u w:val="single"/>
              </w:rPr>
              <w:lastRenderedPageBreak/>
              <w:t>Bereiken innovatiedoel (afsluitdocumenten O&amp;O)</w:t>
            </w:r>
          </w:p>
          <w:p w:rsidR="0002297F" w:rsidRPr="005103C0" w:rsidRDefault="0002297F" w:rsidP="005103C0">
            <w:pPr>
              <w:pStyle w:val="StandaardSV"/>
              <w:rPr>
                <w:rStyle w:val="A3"/>
                <w:sz w:val="22"/>
                <w:szCs w:val="22"/>
              </w:rPr>
            </w:pPr>
            <w:r w:rsidRPr="005103C0">
              <w:rPr>
                <w:szCs w:val="22"/>
              </w:rPr>
              <w:t>In</w:t>
            </w:r>
            <w:r w:rsidRPr="005103C0">
              <w:rPr>
                <w:rFonts w:cs="Franklin Gothic Book"/>
                <w:color w:val="000000"/>
                <w:szCs w:val="22"/>
              </w:rPr>
              <w:t xml:space="preserve"> 77% van de bestudeerde O&amp;O-projecten werd het innovatiedoel volledig bereikt of overtroffen de resultaten het innovatiedoel. In 21% van de gevallen was het project slechts gedeeltelijk succesvol, maar waren er wel nuttige deel-</w:t>
            </w:r>
            <w:r w:rsidRPr="005103C0">
              <w:rPr>
                <w:szCs w:val="22"/>
              </w:rPr>
              <w:t xml:space="preserve"> </w:t>
            </w:r>
            <w:r w:rsidRPr="005103C0">
              <w:rPr>
                <w:rStyle w:val="A3"/>
                <w:sz w:val="22"/>
                <w:szCs w:val="22"/>
              </w:rPr>
              <w:t>resultaten binnen en/of buiten het innovatiedoel. Slechts in 2% van de projecten werd na afloop besloten dat er geen nuttige resultaten bereikt werden. Voor de kmo/ip-projecten liggen de resultaten in dezelfde lijn.</w:t>
            </w:r>
          </w:p>
          <w:p w:rsidR="0002297F" w:rsidRPr="005103C0" w:rsidRDefault="0002297F" w:rsidP="005103C0">
            <w:pPr>
              <w:pStyle w:val="StandaardSV"/>
              <w:rPr>
                <w:szCs w:val="22"/>
                <w:u w:val="single"/>
              </w:rPr>
            </w:pPr>
          </w:p>
          <w:p w:rsidR="0002297F" w:rsidRPr="005103C0" w:rsidRDefault="0002297F" w:rsidP="005103C0">
            <w:pPr>
              <w:pStyle w:val="StandaardSV"/>
              <w:rPr>
                <w:szCs w:val="22"/>
              </w:rPr>
            </w:pPr>
            <w:r w:rsidRPr="005103C0">
              <w:rPr>
                <w:szCs w:val="22"/>
              </w:rPr>
              <w:t xml:space="preserve">In de impactmeting van de IWT-bedrijfssteun kwam ook de additionaliteit van de bedrijfssteun aan bod. Hierbij wordt een feitelijke projectaddionaliteit van respectievelijk 35% en 29% bij O&amp;O en kmo/IP waargenomen (aandeel van de projecten dat niet uitgevoerd werd door de bedrijven na een negatief besluit door het IWT).  </w:t>
            </w:r>
          </w:p>
          <w:p w:rsidR="0002297F" w:rsidRPr="005103C0" w:rsidRDefault="0002297F" w:rsidP="005103C0">
            <w:pPr>
              <w:pStyle w:val="StandaardSV"/>
              <w:rPr>
                <w:szCs w:val="22"/>
              </w:rPr>
            </w:pPr>
            <w:r w:rsidRPr="005103C0">
              <w:rPr>
                <w:szCs w:val="22"/>
              </w:rPr>
              <w:t>Naast de projecten die helemaal niet zouden doorgegaan zijn zonder IWT-steun, zou circa de helft van de gesteunde IWT-projecten zonder steun wel doorgegaan zijn, maar met beperkingen: de projecten zouden met beperktere middelen worden uitgevoerd, en dus minder diepgaand zijn, of trager worden uitgevoerd.</w:t>
            </w:r>
          </w:p>
          <w:p w:rsidR="0002297F" w:rsidRPr="005103C0" w:rsidRDefault="0002297F" w:rsidP="005103C0">
            <w:pPr>
              <w:pStyle w:val="StandaardSV"/>
              <w:rPr>
                <w:szCs w:val="22"/>
              </w:rPr>
            </w:pPr>
          </w:p>
          <w:p w:rsidR="0002297F" w:rsidRPr="005103C0" w:rsidRDefault="0002297F" w:rsidP="005103C0">
            <w:pPr>
              <w:pStyle w:val="StandaardSV"/>
              <w:rPr>
                <w:szCs w:val="22"/>
              </w:rPr>
            </w:pPr>
            <w:r w:rsidRPr="005103C0">
              <w:rPr>
                <w:szCs w:val="22"/>
              </w:rPr>
              <w:t>In de bevraging van de bedrijven wordt ook de positieve invloed van de IWT-bedrijfssteun op het afsluiten van nieuwe samenwerkingsverbanden, op de innovation management capabilities van bedrijven en  op de formalisering van het innovatie-proces binnen de ondernemingen duidelijk zichtbaar. Deze positieve impact van de IWT-bedrijfssteun werd ook al vastgesteld in het vroeger gevoerde ‘gedragsadditionaliteitsonderzoek’.</w:t>
            </w:r>
          </w:p>
          <w:p w:rsidR="0002297F" w:rsidRPr="005103C0" w:rsidRDefault="0002297F" w:rsidP="00643726">
            <w:pPr>
              <w:pStyle w:val="StandaardSV"/>
              <w:keepNext/>
              <w:keepLines/>
              <w:ind w:left="445"/>
            </w:pPr>
          </w:p>
        </w:tc>
      </w:tr>
      <w:tr w:rsidR="00DE1BB1" w:rsidTr="00C76F14">
        <w:tc>
          <w:tcPr>
            <w:tcW w:w="0" w:type="auto"/>
          </w:tcPr>
          <w:p w:rsidR="00DE1BB1" w:rsidRDefault="00DE1BB1" w:rsidP="008047F7">
            <w:pPr>
              <w:pStyle w:val="StandaardSV"/>
            </w:pPr>
          </w:p>
        </w:tc>
        <w:tc>
          <w:tcPr>
            <w:tcW w:w="0" w:type="auto"/>
          </w:tcPr>
          <w:p w:rsidR="00DE1BB1" w:rsidRDefault="00DE1BB1" w:rsidP="008047F7">
            <w:pPr>
              <w:pStyle w:val="StandaardSV"/>
            </w:pPr>
          </w:p>
        </w:tc>
        <w:tc>
          <w:tcPr>
            <w:tcW w:w="8951" w:type="dxa"/>
          </w:tcPr>
          <w:p w:rsidR="00E56A90" w:rsidRPr="00602597" w:rsidRDefault="00E56A90" w:rsidP="00E56A90">
            <w:pPr>
              <w:pStyle w:val="StandaardSV"/>
              <w:keepNext/>
              <w:keepLines/>
              <w:rPr>
                <w:szCs w:val="22"/>
                <w:u w:val="single"/>
              </w:rPr>
            </w:pPr>
            <w:r w:rsidRPr="00602597">
              <w:rPr>
                <w:szCs w:val="22"/>
                <w:u w:val="single"/>
              </w:rPr>
              <w:t xml:space="preserve">De door de (potentiële) gebruikers aangegeven </w:t>
            </w:r>
            <w:r w:rsidRPr="00602597">
              <w:rPr>
                <w:i/>
                <w:szCs w:val="22"/>
                <w:u w:val="single"/>
              </w:rPr>
              <w:t>mogelijke obstakels om steun te vragen</w:t>
            </w:r>
          </w:p>
          <w:p w:rsidR="00E56A90" w:rsidRPr="00602597" w:rsidRDefault="00E56A90" w:rsidP="00E56A90">
            <w:pPr>
              <w:pStyle w:val="StandaardSV"/>
              <w:keepNext/>
              <w:keepLines/>
              <w:rPr>
                <w:szCs w:val="22"/>
              </w:rPr>
            </w:pPr>
          </w:p>
          <w:p w:rsidR="00E56A90" w:rsidRPr="00602597" w:rsidRDefault="00211BDD" w:rsidP="00C76F14">
            <w:pPr>
              <w:pStyle w:val="StandaardSV"/>
              <w:keepNext/>
              <w:keepLines/>
              <w:rPr>
                <w:szCs w:val="22"/>
              </w:rPr>
            </w:pPr>
            <w:r>
              <w:rPr>
                <w:szCs w:val="22"/>
              </w:rPr>
              <w:t>In</w:t>
            </w:r>
            <w:r w:rsidR="00E56A90" w:rsidRPr="00602597">
              <w:rPr>
                <w:szCs w:val="22"/>
              </w:rPr>
              <w:t xml:space="preserve"> ‘de positioneringsstudie’ </w:t>
            </w:r>
            <w:r>
              <w:rPr>
                <w:szCs w:val="22"/>
              </w:rPr>
              <w:t xml:space="preserve">gaven de </w:t>
            </w:r>
            <w:r w:rsidR="00E56A90" w:rsidRPr="00602597">
              <w:rPr>
                <w:szCs w:val="22"/>
              </w:rPr>
              <w:t xml:space="preserve">bedrijven (IWT-klanten en niet-IWT-klanten) </w:t>
            </w:r>
            <w:r>
              <w:rPr>
                <w:szCs w:val="22"/>
              </w:rPr>
              <w:t xml:space="preserve">volgende redenen aan </w:t>
            </w:r>
            <w:r w:rsidR="00E56A90" w:rsidRPr="00602597">
              <w:rPr>
                <w:szCs w:val="22"/>
              </w:rPr>
              <w:t>als reden om geen beroep te doen op overheidssteun voor innovatieprojecten :</w:t>
            </w:r>
          </w:p>
          <w:p w:rsidR="00E56A90" w:rsidRPr="00602597" w:rsidRDefault="00E56A90" w:rsidP="00C76F14">
            <w:pPr>
              <w:pStyle w:val="StandaardSV"/>
              <w:keepNext/>
              <w:keepLines/>
              <w:numPr>
                <w:ilvl w:val="1"/>
                <w:numId w:val="17"/>
              </w:numPr>
              <w:ind w:left="635"/>
              <w:jc w:val="left"/>
              <w:rPr>
                <w:szCs w:val="22"/>
              </w:rPr>
            </w:pPr>
            <w:r w:rsidRPr="00602597">
              <w:rPr>
                <w:szCs w:val="22"/>
              </w:rPr>
              <w:t>niet alle projecten komen (inhoudelijk) in aanmerking voor IWT-steun;</w:t>
            </w:r>
          </w:p>
          <w:p w:rsidR="00E56A90" w:rsidRPr="00602597" w:rsidRDefault="00E56A90" w:rsidP="00C76F14">
            <w:pPr>
              <w:pStyle w:val="StandaardSV"/>
              <w:keepNext/>
              <w:keepLines/>
              <w:numPr>
                <w:ilvl w:val="1"/>
                <w:numId w:val="17"/>
              </w:numPr>
              <w:ind w:left="635"/>
              <w:jc w:val="left"/>
              <w:rPr>
                <w:szCs w:val="22"/>
              </w:rPr>
            </w:pPr>
            <w:r w:rsidRPr="00602597">
              <w:rPr>
                <w:szCs w:val="22"/>
              </w:rPr>
              <w:t>de slaagkans wordt ingeschat als te laag;</w:t>
            </w:r>
          </w:p>
          <w:p w:rsidR="00E56A90" w:rsidRPr="00602597" w:rsidRDefault="00E56A90" w:rsidP="00C76F14">
            <w:pPr>
              <w:pStyle w:val="StandaardSV"/>
              <w:keepNext/>
              <w:keepLines/>
              <w:numPr>
                <w:ilvl w:val="1"/>
                <w:numId w:val="17"/>
              </w:numPr>
              <w:ind w:left="635"/>
              <w:jc w:val="left"/>
              <w:rPr>
                <w:szCs w:val="22"/>
              </w:rPr>
            </w:pPr>
            <w:r w:rsidRPr="00602597">
              <w:rPr>
                <w:szCs w:val="22"/>
              </w:rPr>
              <w:t>er wordt ingeschat dat de procedures te veel moeite kosten;</w:t>
            </w:r>
          </w:p>
          <w:p w:rsidR="00E56A90" w:rsidRPr="00602597" w:rsidRDefault="00E56A90" w:rsidP="00C76F14">
            <w:pPr>
              <w:pStyle w:val="StandaardSV"/>
              <w:keepNext/>
              <w:keepLines/>
              <w:numPr>
                <w:ilvl w:val="1"/>
                <w:numId w:val="17"/>
              </w:numPr>
              <w:ind w:left="635"/>
              <w:jc w:val="left"/>
              <w:rPr>
                <w:szCs w:val="22"/>
              </w:rPr>
            </w:pPr>
            <w:r w:rsidRPr="00602597">
              <w:rPr>
                <w:szCs w:val="22"/>
              </w:rPr>
              <w:t xml:space="preserve">niet-IWT-klanten vragen enerzijds om meer duidelijkheid en communicatie rond de bestaande producten en diensten en anderzijds wordt door deze bedrijven verwezen naar de nood aan meer aangepaste producten en diensten. </w:t>
            </w:r>
          </w:p>
          <w:p w:rsidR="00E56A90" w:rsidRPr="00602597" w:rsidRDefault="00E56A90" w:rsidP="00C76F14">
            <w:pPr>
              <w:pStyle w:val="StandaardSV"/>
              <w:keepNext/>
              <w:keepLines/>
              <w:ind w:left="275"/>
              <w:rPr>
                <w:szCs w:val="22"/>
              </w:rPr>
            </w:pPr>
          </w:p>
          <w:p w:rsidR="00E56A90" w:rsidRPr="005667BC" w:rsidRDefault="00E56A90" w:rsidP="00C76F14">
            <w:pPr>
              <w:pStyle w:val="StandaardSV"/>
              <w:keepNext/>
              <w:keepLines/>
              <w:rPr>
                <w:szCs w:val="22"/>
              </w:rPr>
            </w:pPr>
            <w:r w:rsidRPr="00602597">
              <w:rPr>
                <w:szCs w:val="22"/>
              </w:rPr>
              <w:t xml:space="preserve">In ‘de klantentevredenheidsmeting’ wordt </w:t>
            </w:r>
            <w:r w:rsidR="0020586F">
              <w:rPr>
                <w:szCs w:val="22"/>
              </w:rPr>
              <w:t>de aanvraagprocedure</w:t>
            </w:r>
            <w:r w:rsidRPr="00602597">
              <w:rPr>
                <w:szCs w:val="22"/>
              </w:rPr>
              <w:t xml:space="preserve"> eveneens als verbeterpunt voor IWT genoemd. IWT heeft de voorbije jaren al aanzienlijke veranderingen doorgevoerd om de aanvraagprocedure w</w:t>
            </w:r>
            <w:r w:rsidR="00EB0983">
              <w:rPr>
                <w:szCs w:val="22"/>
              </w:rPr>
              <w:t xml:space="preserve">aar mogelijk te vereenvoudigen.  </w:t>
            </w:r>
            <w:r w:rsidR="00EB0983" w:rsidRPr="005667BC">
              <w:rPr>
                <w:szCs w:val="22"/>
              </w:rPr>
              <w:t>Deze zijn in principe nog niet volledig verrekend in de klantentevredenheid, die bevraagt over een langere periode in het verleden.</w:t>
            </w:r>
          </w:p>
          <w:p w:rsidR="00CF0F25" w:rsidRPr="00602597" w:rsidRDefault="00EB0983" w:rsidP="00C76F14">
            <w:pPr>
              <w:pStyle w:val="StandaardSV"/>
              <w:keepNext/>
              <w:keepLines/>
              <w:rPr>
                <w:szCs w:val="22"/>
              </w:rPr>
            </w:pPr>
            <w:r w:rsidRPr="005667BC">
              <w:rPr>
                <w:szCs w:val="22"/>
              </w:rPr>
              <w:t>Deze</w:t>
            </w:r>
            <w:r w:rsidR="004A6588" w:rsidRPr="005667BC">
              <w:rPr>
                <w:szCs w:val="22"/>
              </w:rPr>
              <w:t xml:space="preserve"> elementen zijn ook meegenomen in de aanpassingen die ingevoerd worden naar aanleiding van de aanpassingen aan de IWT-bedrijfssteun</w:t>
            </w:r>
            <w:r w:rsidR="00261945">
              <w:rPr>
                <w:szCs w:val="22"/>
              </w:rPr>
              <w:t xml:space="preserve"> die ingaan op 1 januari 2013. </w:t>
            </w:r>
            <w:r w:rsidR="004A6588" w:rsidRPr="005667BC">
              <w:rPr>
                <w:szCs w:val="22"/>
              </w:rPr>
              <w:t>.</w:t>
            </w:r>
          </w:p>
        </w:tc>
      </w:tr>
      <w:tr w:rsidR="00DE1BB1" w:rsidTr="00C76F14">
        <w:tc>
          <w:tcPr>
            <w:tcW w:w="0" w:type="auto"/>
          </w:tcPr>
          <w:p w:rsidR="00DE1BB1" w:rsidRDefault="00DE1BB1" w:rsidP="008047F7">
            <w:pPr>
              <w:pStyle w:val="StandaardSV"/>
            </w:pPr>
          </w:p>
        </w:tc>
        <w:tc>
          <w:tcPr>
            <w:tcW w:w="0" w:type="auto"/>
          </w:tcPr>
          <w:p w:rsidR="00DE1BB1" w:rsidRDefault="00DE1BB1" w:rsidP="008047F7">
            <w:pPr>
              <w:pStyle w:val="StandaardSV"/>
            </w:pPr>
          </w:p>
        </w:tc>
        <w:tc>
          <w:tcPr>
            <w:tcW w:w="8951" w:type="dxa"/>
          </w:tcPr>
          <w:p w:rsidR="00F913F2" w:rsidRPr="00F913F2" w:rsidRDefault="00F913F2" w:rsidP="006408D6">
            <w:pPr>
              <w:pStyle w:val="StandaardSV"/>
              <w:keepNext/>
              <w:keepLines/>
              <w:rPr>
                <w:szCs w:val="22"/>
              </w:rPr>
            </w:pPr>
          </w:p>
          <w:p w:rsidR="00DE1BB1" w:rsidRPr="00805C86" w:rsidRDefault="006408D6" w:rsidP="006408D6">
            <w:pPr>
              <w:pStyle w:val="StandaardSV"/>
              <w:keepNext/>
              <w:keepLines/>
              <w:rPr>
                <w:szCs w:val="22"/>
                <w:u w:val="single"/>
              </w:rPr>
            </w:pPr>
            <w:r w:rsidRPr="00805C86">
              <w:rPr>
                <w:szCs w:val="22"/>
                <w:u w:val="single"/>
              </w:rPr>
              <w:t xml:space="preserve">De door de </w:t>
            </w:r>
            <w:r w:rsidR="00E56A90" w:rsidRPr="00805C86">
              <w:rPr>
                <w:szCs w:val="22"/>
                <w:u w:val="single"/>
              </w:rPr>
              <w:t>gesteunde ondernemingen</w:t>
            </w:r>
            <w:r w:rsidRPr="00805C86">
              <w:rPr>
                <w:szCs w:val="22"/>
                <w:u w:val="single"/>
              </w:rPr>
              <w:t xml:space="preserve"> aangegeven </w:t>
            </w:r>
            <w:r w:rsidRPr="00805C86">
              <w:rPr>
                <w:i/>
                <w:szCs w:val="22"/>
                <w:u w:val="single"/>
              </w:rPr>
              <w:t>impact die de gesteunde projecten hebben gehad op de economische ontwikkelingen van de bedrijven in kwestie</w:t>
            </w:r>
          </w:p>
          <w:p w:rsidR="006408D6" w:rsidRPr="00602597" w:rsidRDefault="006408D6" w:rsidP="006408D6">
            <w:pPr>
              <w:pStyle w:val="StandaardSV"/>
              <w:keepNext/>
              <w:keepLines/>
              <w:rPr>
                <w:szCs w:val="22"/>
              </w:rPr>
            </w:pPr>
          </w:p>
          <w:p w:rsidR="00DE1BB1" w:rsidRPr="0076794C" w:rsidRDefault="00645A5D" w:rsidP="00C76F14">
            <w:pPr>
              <w:pStyle w:val="StandaardSV"/>
              <w:keepNext/>
              <w:keepLines/>
              <w:rPr>
                <w:szCs w:val="22"/>
                <w:u w:val="single"/>
              </w:rPr>
            </w:pPr>
            <w:r>
              <w:rPr>
                <w:szCs w:val="22"/>
                <w:u w:val="single"/>
              </w:rPr>
              <w:t>Resultaten uit de i</w:t>
            </w:r>
            <w:r w:rsidR="00DE1BB1" w:rsidRPr="0076794C">
              <w:rPr>
                <w:szCs w:val="22"/>
                <w:u w:val="single"/>
              </w:rPr>
              <w:t>mpactstudie</w:t>
            </w:r>
          </w:p>
          <w:p w:rsidR="00DE1BB1" w:rsidRPr="00602597" w:rsidRDefault="00DE1BB1" w:rsidP="00C76F14">
            <w:pPr>
              <w:pStyle w:val="StandaardSV"/>
              <w:keepNext/>
              <w:keepLines/>
              <w:rPr>
                <w:szCs w:val="22"/>
              </w:rPr>
            </w:pPr>
            <w:r w:rsidRPr="00602597">
              <w:rPr>
                <w:szCs w:val="22"/>
              </w:rPr>
              <w:t>Het meest reeds gerealiseerde effect van de IWT-bedrijfssteun is het “aantrekken van nieuwe klanten”, gevolgd door “het drukken van de kosten” en “het verhogen van het marktaandeel”: 1 op 3 of meer respondenten geeft aan dat zijn IWT-project al heeft bijgedragen tot het realiseren van één deze 3 effecten.</w:t>
            </w:r>
          </w:p>
          <w:p w:rsidR="00DE1BB1" w:rsidRPr="00602597" w:rsidRDefault="00DE1BB1" w:rsidP="00C76F14">
            <w:pPr>
              <w:pStyle w:val="StandaardSV"/>
              <w:keepNext/>
              <w:keepLines/>
              <w:rPr>
                <w:szCs w:val="22"/>
              </w:rPr>
            </w:pPr>
          </w:p>
          <w:p w:rsidR="00DE1BB1" w:rsidRPr="00602597" w:rsidRDefault="00DE1BB1" w:rsidP="00C76F14">
            <w:pPr>
              <w:pStyle w:val="StandaardSV"/>
              <w:keepNext/>
              <w:keepLines/>
              <w:rPr>
                <w:szCs w:val="22"/>
              </w:rPr>
            </w:pPr>
            <w:r w:rsidRPr="00602597">
              <w:rPr>
                <w:szCs w:val="22"/>
              </w:rPr>
              <w:t xml:space="preserve">Het aantrekken van nieuwe klanten, al dan niet gepaard gaande met een verhoging van het marktaandeel en of het verhogen van de export, vormt een zeer belangrijk effect van het valorisatie van de projectresultaten. Dit zorgt er dan ook voor dat in quasi 95% van de projecten waar de valorisatie al een feit is, het IWT-project een positieve impact heeft gehad op de </w:t>
            </w:r>
            <w:r w:rsidRPr="00602597">
              <w:rPr>
                <w:szCs w:val="22"/>
                <w:u w:val="single"/>
              </w:rPr>
              <w:t>omzet</w:t>
            </w:r>
            <w:r w:rsidRPr="00602597">
              <w:rPr>
                <w:szCs w:val="22"/>
              </w:rPr>
              <w:t>. Wel heeft dit in slechts de helft van de gevallen eveneens tot een omzetgroei op ondernemingsniveau geleid.</w:t>
            </w:r>
          </w:p>
          <w:p w:rsidR="00DE1BB1" w:rsidRPr="00602597" w:rsidRDefault="00DE1BB1" w:rsidP="00DE1BB1">
            <w:pPr>
              <w:pStyle w:val="StandaardSV"/>
              <w:keepNext/>
              <w:keepLines/>
              <w:rPr>
                <w:szCs w:val="22"/>
              </w:rPr>
            </w:pPr>
          </w:p>
          <w:p w:rsidR="00DE1BB1" w:rsidRPr="00602597" w:rsidRDefault="00DE1BB1" w:rsidP="00C76F14">
            <w:pPr>
              <w:pStyle w:val="StandaardSV"/>
              <w:keepNext/>
              <w:keepLines/>
              <w:rPr>
                <w:szCs w:val="22"/>
              </w:rPr>
            </w:pPr>
            <w:r w:rsidRPr="00602597">
              <w:rPr>
                <w:szCs w:val="22"/>
              </w:rPr>
              <w:lastRenderedPageBreak/>
              <w:t xml:space="preserve">De impact van de het IWT-project op de </w:t>
            </w:r>
            <w:r w:rsidRPr="00602597">
              <w:rPr>
                <w:szCs w:val="22"/>
                <w:u w:val="single"/>
              </w:rPr>
              <w:t>werkgelegenheid</w:t>
            </w:r>
            <w:r w:rsidRPr="00602597">
              <w:rPr>
                <w:szCs w:val="22"/>
              </w:rPr>
              <w:t xml:space="preserve"> wordt in 90% van de projecten als positief omschreven. Doch net zoals bij de impact op de omzet, gaat dit in minder dan de helft van de gevallen (45%) gepaard met een toename van de werkgelegenheid op organisatieniveau. Naast de bijdrage tot het behoud van de totale werkgelegenheid (33%), geeft ook een niet onbelangrijk deel van de projecten (13%) aan dat het IWT-project ondanks zijn positieve impact niet heeft kunnen verhinderen dat de totale werkgelegenheid </w:t>
            </w:r>
            <w:r w:rsidR="004A6588" w:rsidRPr="005667BC">
              <w:rPr>
                <w:szCs w:val="22"/>
              </w:rPr>
              <w:t xml:space="preserve">in het bedrijf </w:t>
            </w:r>
            <w:r w:rsidRPr="005667BC">
              <w:rPr>
                <w:szCs w:val="22"/>
              </w:rPr>
              <w:t>is</w:t>
            </w:r>
            <w:r w:rsidRPr="00602597">
              <w:rPr>
                <w:szCs w:val="22"/>
              </w:rPr>
              <w:t xml:space="preserve"> afgenomen. Vooral binnen O&amp;O zijn deze twee laatste subgroepen sterk vertegenwoordigd.</w:t>
            </w:r>
          </w:p>
          <w:p w:rsidR="00DE1BB1" w:rsidRPr="00602597" w:rsidRDefault="00DE1BB1" w:rsidP="00DE1BB1">
            <w:pPr>
              <w:pStyle w:val="StandaardSV"/>
              <w:keepNext/>
              <w:keepLines/>
              <w:rPr>
                <w:szCs w:val="22"/>
              </w:rPr>
            </w:pPr>
          </w:p>
          <w:p w:rsidR="00DE1BB1" w:rsidRPr="00602597" w:rsidRDefault="00DE1BB1" w:rsidP="00C76F14">
            <w:pPr>
              <w:pStyle w:val="StandaardSV"/>
              <w:keepNext/>
              <w:keepLines/>
              <w:rPr>
                <w:szCs w:val="22"/>
              </w:rPr>
            </w:pPr>
            <w:r w:rsidRPr="00602597">
              <w:rPr>
                <w:szCs w:val="22"/>
              </w:rPr>
              <w:t xml:space="preserve">De positieve impact van het IWT project op de </w:t>
            </w:r>
            <w:r w:rsidRPr="00602597">
              <w:rPr>
                <w:szCs w:val="22"/>
                <w:u w:val="single"/>
              </w:rPr>
              <w:t>investeringen</w:t>
            </w:r>
            <w:r w:rsidRPr="00602597">
              <w:rPr>
                <w:szCs w:val="22"/>
              </w:rPr>
              <w:t xml:space="preserve"> is relatief beperkt</w:t>
            </w:r>
            <w:r w:rsidR="001A657C">
              <w:rPr>
                <w:szCs w:val="22"/>
              </w:rPr>
              <w:t>. De</w:t>
            </w:r>
            <w:r w:rsidRPr="00602597">
              <w:rPr>
                <w:szCs w:val="22"/>
              </w:rPr>
              <w:t xml:space="preserve"> ondernemingen </w:t>
            </w:r>
            <w:r w:rsidR="001A657C">
              <w:rPr>
                <w:szCs w:val="22"/>
              </w:rPr>
              <w:t xml:space="preserve">geven </w:t>
            </w:r>
            <w:r w:rsidRPr="00602597">
              <w:rPr>
                <w:szCs w:val="22"/>
              </w:rPr>
              <w:t xml:space="preserve">in vele gevallen </w:t>
            </w:r>
            <w:r w:rsidR="001A657C">
              <w:rPr>
                <w:szCs w:val="22"/>
              </w:rPr>
              <w:t>wel aan</w:t>
            </w:r>
            <w:r w:rsidRPr="00602597">
              <w:rPr>
                <w:szCs w:val="22"/>
              </w:rPr>
              <w:t xml:space="preserve"> dat de concurrentiepositie van de Vlaamse vestiging mede door toedoen van het IWT-project versterkt is.</w:t>
            </w:r>
          </w:p>
          <w:p w:rsidR="00DE1BB1" w:rsidRPr="00602597" w:rsidRDefault="00DE1BB1" w:rsidP="00C76F14">
            <w:pPr>
              <w:pStyle w:val="StandaardSV"/>
              <w:keepNext/>
              <w:keepLines/>
              <w:rPr>
                <w:szCs w:val="22"/>
              </w:rPr>
            </w:pPr>
          </w:p>
          <w:p w:rsidR="00DE1BB1" w:rsidRPr="00602597" w:rsidRDefault="00DE1BB1" w:rsidP="00C76F14">
            <w:pPr>
              <w:pStyle w:val="StandaardSV"/>
              <w:keepNext/>
              <w:keepLines/>
              <w:rPr>
                <w:szCs w:val="22"/>
              </w:rPr>
            </w:pPr>
            <w:r w:rsidRPr="00602597">
              <w:rPr>
                <w:szCs w:val="22"/>
              </w:rPr>
              <w:t xml:space="preserve">Naast de positieve impact op de </w:t>
            </w:r>
            <w:r w:rsidRPr="00602597">
              <w:rPr>
                <w:szCs w:val="22"/>
                <w:u w:val="single"/>
              </w:rPr>
              <w:t>O&amp;O-inspanningen</w:t>
            </w:r>
            <w:r w:rsidRPr="00602597">
              <w:rPr>
                <w:szCs w:val="22"/>
              </w:rPr>
              <w:t xml:space="preserve"> op de bedrijven, die in meer dan de helft van de gevallen de O&amp;O-intensiteit heeft doen toenemen, geldt dat IWT-projecten zonder twijfel eveneens een impact hebben op de innovatiecapactiteit van zowel grote als kleine ondernemingen. De bijdrage tot nieuwe of versterkte samenwerkingsverbanden en/of het versterken van de innovatiemanagementcompetenties worden hierbij sterk benadrukt. </w:t>
            </w:r>
          </w:p>
          <w:p w:rsidR="00DE1BB1" w:rsidRPr="00602597" w:rsidRDefault="00DE1BB1" w:rsidP="00C76F14">
            <w:pPr>
              <w:pStyle w:val="StandaardSV"/>
              <w:keepNext/>
              <w:keepLines/>
              <w:rPr>
                <w:szCs w:val="22"/>
              </w:rPr>
            </w:pPr>
          </w:p>
          <w:p w:rsidR="00DE1BB1" w:rsidRPr="00602597" w:rsidRDefault="00DE1BB1" w:rsidP="00C76F14">
            <w:pPr>
              <w:pStyle w:val="StandaardSV"/>
              <w:keepNext/>
              <w:keepLines/>
              <w:rPr>
                <w:szCs w:val="22"/>
              </w:rPr>
            </w:pPr>
            <w:r w:rsidRPr="00602597">
              <w:rPr>
                <w:szCs w:val="22"/>
              </w:rPr>
              <w:t>Bovenstaande elementen slaan terug op projecten waar de projectresultaten al door de onderneming worden gevaloriseerd/toegepast. Het daadwerkelijk valoriseren van de projectresultaten, bijvoorbeeld onder de vorm van het op het markt brengen van een nieuw product, blijft in de helft van de projecten die al meer dan 1 jaar afgelopen zijn voorlopig achterwege. Het veelal noodzakelijke natraject om na afloop van het IWT-project tot een marktklaar of implementeerbaar resultaat vormt hiervoor een belangrijkere verklaring. Echter slechts in een kleine minderheid van de projecten wordt duidelijk aangegeven dat men geen valorisatie verwacht van het project.</w:t>
            </w:r>
          </w:p>
          <w:p w:rsidR="00DE1BB1" w:rsidRPr="00602597" w:rsidRDefault="00DE1BB1" w:rsidP="00C76F14">
            <w:pPr>
              <w:pStyle w:val="StandaardSV"/>
              <w:keepNext/>
              <w:keepLines/>
              <w:rPr>
                <w:szCs w:val="22"/>
              </w:rPr>
            </w:pPr>
          </w:p>
          <w:p w:rsidR="00DE1BB1" w:rsidRPr="0076794C" w:rsidRDefault="00645A5D" w:rsidP="00C76F14">
            <w:pPr>
              <w:pStyle w:val="StandaardSV"/>
              <w:keepNext/>
              <w:keepLines/>
              <w:rPr>
                <w:szCs w:val="22"/>
                <w:u w:val="single"/>
              </w:rPr>
            </w:pPr>
            <w:r>
              <w:rPr>
                <w:szCs w:val="22"/>
                <w:u w:val="single"/>
              </w:rPr>
              <w:t>Resultaten uit de p</w:t>
            </w:r>
            <w:r w:rsidR="00DE1BB1" w:rsidRPr="0076794C">
              <w:rPr>
                <w:szCs w:val="22"/>
                <w:u w:val="single"/>
              </w:rPr>
              <w:t>ortfolio-analyse</w:t>
            </w:r>
          </w:p>
          <w:p w:rsidR="00DE1BB1" w:rsidRPr="00602597" w:rsidRDefault="00DE1BB1" w:rsidP="00C76F14">
            <w:pPr>
              <w:pStyle w:val="StandaardSV"/>
              <w:keepNext/>
              <w:keepLines/>
              <w:rPr>
                <w:szCs w:val="22"/>
              </w:rPr>
            </w:pPr>
            <w:r w:rsidRPr="00602597">
              <w:rPr>
                <w:szCs w:val="22"/>
              </w:rPr>
              <w:t>Op het einde van het project worden de verdere valorisatieverwachtingen voor de O&amp;O bepaald om verdere contractuele valorisatieverplichtingen voor de bedrijven vast te leggen. Hieruit blijkt dat bij afloop in bijna 9% van de gevallen geen valorisatie haalbaar is (en eveneens niet meer te verwachten valt in de toekomst). Wanneer valorisatie wel haalbaar is, vindt de valorisatie in 15,5% van de gevallen exclusief in Vlaanderen plaats. Bij de projecten met gedeeltelijke valorisatie van de projectresultaten in het buitenland (75,7%), is in 8,3% van de gevallen bij afsluiting al voldoende valorisatie gerealiseerd in Vlaanderen door het behalen van factor 10 aan economische toegevoegde waard</w:t>
            </w:r>
            <w:r w:rsidR="00BF5C9C">
              <w:rPr>
                <w:szCs w:val="22"/>
              </w:rPr>
              <w:t>e</w:t>
            </w:r>
            <w:r w:rsidRPr="00602597">
              <w:rPr>
                <w:szCs w:val="22"/>
              </w:rPr>
              <w:t xml:space="preserve"> in verhouding tot de ontvangen steun. In quasi de helft van de cases met gedeeltelijke valorisatie in het buitenland, is bij afsluiting de factor 10 bij afsluiting nog niet behaald maar wordt de waarschijnlijkheid ervan wel zeer hoog ingeschat. Hierbij  is de valorisatie bij afsluiting nog een vooruitzicht, maar wordt het valorisatieplan als realistisch en haalbaar beschouwd door IWT. </w:t>
            </w:r>
            <w:bookmarkStart w:id="0" w:name="_GoBack"/>
            <w:bookmarkEnd w:id="0"/>
            <w:r w:rsidRPr="00602597">
              <w:rPr>
                <w:szCs w:val="22"/>
              </w:rPr>
              <w:t>In 38,5% van de gevallen bestaat er onduidelijkheid of twijfel over het behalen van voldoende valorisatie in Vlaanderen. Ten slotte wordt in 2,4% van de cases  het behalen van voldoende valorisatie in Vlaanderen bekeken met een vervolgproject.</w:t>
            </w:r>
          </w:p>
          <w:p w:rsidR="00DE1BB1" w:rsidRPr="00602597" w:rsidRDefault="00DE1BB1" w:rsidP="00DE1BB1">
            <w:pPr>
              <w:pStyle w:val="StandaardSV"/>
              <w:keepNext/>
              <w:keepLines/>
              <w:rPr>
                <w:szCs w:val="22"/>
              </w:rPr>
            </w:pPr>
          </w:p>
          <w:p w:rsidR="00DE1BB1" w:rsidRPr="00602597" w:rsidRDefault="00DE1BB1" w:rsidP="00C76F14">
            <w:pPr>
              <w:pStyle w:val="StandaardSV"/>
              <w:keepNext/>
              <w:keepLines/>
              <w:rPr>
                <w:szCs w:val="22"/>
              </w:rPr>
            </w:pPr>
            <w:r w:rsidRPr="00602597">
              <w:rPr>
                <w:szCs w:val="22"/>
              </w:rPr>
              <w:t xml:space="preserve">Hierbij wordt de verwachte valorisatie op het projecteinde in respectievelijk 56% en 7% van de O&amp;O-projecten ‘ongeveer zoals verwacht’ of ‘boven verwachtingen bij selectie’ ingeschat door IWT. </w:t>
            </w:r>
            <w:r w:rsidRPr="00602597">
              <w:rPr>
                <w:rFonts w:cs="Franklin Gothic Book"/>
                <w:color w:val="000000"/>
                <w:szCs w:val="22"/>
              </w:rPr>
              <w:t>Bij KMO-innovatieprojecten wordt zelfs in  90% van de projecten (die hun innovatiedoel tenminste gedeeltelijk bereikt hadden) door de bedrijven vermeld dat de initiële beoogde valorisatievooruitzichten behouden blijven of zelfs positiever zijn.</w:t>
            </w:r>
          </w:p>
          <w:p w:rsidR="00DE1BB1" w:rsidRPr="00602597" w:rsidRDefault="00DE1BB1" w:rsidP="008047F7">
            <w:pPr>
              <w:pStyle w:val="StandaardSV"/>
              <w:rPr>
                <w:szCs w:val="22"/>
              </w:rPr>
            </w:pPr>
          </w:p>
          <w:p w:rsidR="006408D6" w:rsidRPr="0076794C" w:rsidRDefault="00645A5D" w:rsidP="00C76F14">
            <w:pPr>
              <w:pStyle w:val="StandaardSV"/>
              <w:keepNext/>
              <w:keepLines/>
              <w:rPr>
                <w:szCs w:val="22"/>
                <w:u w:val="single"/>
              </w:rPr>
            </w:pPr>
            <w:r>
              <w:rPr>
                <w:szCs w:val="22"/>
                <w:u w:val="single"/>
              </w:rPr>
              <w:t>Resultaten uit d</w:t>
            </w:r>
            <w:r w:rsidR="006408D6" w:rsidRPr="0076794C">
              <w:rPr>
                <w:szCs w:val="22"/>
                <w:u w:val="single"/>
              </w:rPr>
              <w:t>e externe-financieringsstudie</w:t>
            </w:r>
          </w:p>
          <w:p w:rsidR="00643726" w:rsidRPr="00602597" w:rsidRDefault="00685F14" w:rsidP="00C76F14">
            <w:pPr>
              <w:pStyle w:val="StandaardSV"/>
              <w:keepNext/>
              <w:keepLines/>
              <w:rPr>
                <w:szCs w:val="22"/>
              </w:rPr>
            </w:pPr>
            <w:r w:rsidRPr="00602597">
              <w:rPr>
                <w:szCs w:val="22"/>
              </w:rPr>
              <w:t>Deze studie concludeerde dat het verkrijgen van subsidies een belangrijk signaal vormt naar externe financiers en daarbij leidt tot een betere toegang tot lange termijn schuldkapitaal.</w:t>
            </w:r>
          </w:p>
        </w:tc>
      </w:tr>
      <w:tr w:rsidR="00DE1BB1" w:rsidTr="00C76F14">
        <w:tc>
          <w:tcPr>
            <w:tcW w:w="0" w:type="auto"/>
          </w:tcPr>
          <w:p w:rsidR="00DE1BB1" w:rsidRDefault="00DE1BB1" w:rsidP="008047F7">
            <w:pPr>
              <w:pStyle w:val="StandaardSV"/>
            </w:pPr>
          </w:p>
        </w:tc>
        <w:tc>
          <w:tcPr>
            <w:tcW w:w="0" w:type="auto"/>
          </w:tcPr>
          <w:p w:rsidR="00DE1BB1" w:rsidRDefault="00DE1BB1" w:rsidP="008047F7">
            <w:pPr>
              <w:pStyle w:val="StandaardSV"/>
            </w:pPr>
          </w:p>
        </w:tc>
        <w:tc>
          <w:tcPr>
            <w:tcW w:w="8951" w:type="dxa"/>
          </w:tcPr>
          <w:p w:rsidR="00DE1BB1" w:rsidRDefault="00DE1BB1" w:rsidP="008047F7">
            <w:pPr>
              <w:pStyle w:val="StandaardSV"/>
            </w:pPr>
          </w:p>
        </w:tc>
      </w:tr>
    </w:tbl>
    <w:p w:rsidR="006F29F5" w:rsidRDefault="006F29F5" w:rsidP="00C76F14">
      <w:pPr>
        <w:pStyle w:val="StandaardSV"/>
      </w:pPr>
    </w:p>
    <w:sectPr w:rsidR="006F29F5" w:rsidSect="00D83DED">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Tahoma"/>
        <w:sz w:val="18"/>
        <w:szCs w:val="18"/>
      </w:rPr>
    </w:lvl>
    <w:lvl w:ilvl="1">
      <w:start w:val="1"/>
      <w:numFmt w:val="bullet"/>
      <w:lvlText w:val=""/>
      <w:lvlJc w:val="left"/>
      <w:pPr>
        <w:tabs>
          <w:tab w:val="num" w:pos="1080"/>
        </w:tabs>
        <w:ind w:left="1080" w:hanging="360"/>
      </w:pPr>
      <w:rPr>
        <w:rFonts w:ascii="Wingdings" w:hAnsi="Wingdings" w:cs="Tahoma"/>
        <w:sz w:val="18"/>
        <w:szCs w:val="18"/>
      </w:rPr>
    </w:lvl>
    <w:lvl w:ilvl="2">
      <w:start w:val="1"/>
      <w:numFmt w:val="bullet"/>
      <w:lvlText w:val=""/>
      <w:lvlJc w:val="left"/>
      <w:pPr>
        <w:tabs>
          <w:tab w:val="num" w:pos="1440"/>
        </w:tabs>
        <w:ind w:left="1440" w:hanging="360"/>
      </w:pPr>
      <w:rPr>
        <w:rFonts w:ascii="Wingdings" w:hAnsi="Wingdings" w:cs="Tahoma"/>
        <w:sz w:val="18"/>
        <w:szCs w:val="18"/>
      </w:rPr>
    </w:lvl>
    <w:lvl w:ilvl="3">
      <w:start w:val="1"/>
      <w:numFmt w:val="bullet"/>
      <w:lvlText w:val=""/>
      <w:lvlJc w:val="left"/>
      <w:pPr>
        <w:tabs>
          <w:tab w:val="num" w:pos="1800"/>
        </w:tabs>
        <w:ind w:left="1800" w:hanging="360"/>
      </w:pPr>
      <w:rPr>
        <w:rFonts w:ascii="Wingdings" w:hAnsi="Wingdings" w:cs="Tahoma"/>
        <w:sz w:val="18"/>
        <w:szCs w:val="18"/>
      </w:rPr>
    </w:lvl>
    <w:lvl w:ilvl="4">
      <w:start w:val="1"/>
      <w:numFmt w:val="bullet"/>
      <w:lvlText w:val=""/>
      <w:lvlJc w:val="left"/>
      <w:pPr>
        <w:tabs>
          <w:tab w:val="num" w:pos="2160"/>
        </w:tabs>
        <w:ind w:left="2160" w:hanging="360"/>
      </w:pPr>
      <w:rPr>
        <w:rFonts w:ascii="Wingdings" w:hAnsi="Wingdings" w:cs="Tahoma"/>
        <w:sz w:val="18"/>
        <w:szCs w:val="18"/>
      </w:rPr>
    </w:lvl>
    <w:lvl w:ilvl="5">
      <w:start w:val="1"/>
      <w:numFmt w:val="bullet"/>
      <w:lvlText w:val=""/>
      <w:lvlJc w:val="left"/>
      <w:pPr>
        <w:tabs>
          <w:tab w:val="num" w:pos="2520"/>
        </w:tabs>
        <w:ind w:left="2520" w:hanging="360"/>
      </w:pPr>
      <w:rPr>
        <w:rFonts w:ascii="Wingdings" w:hAnsi="Wingdings" w:cs="Tahoma"/>
        <w:sz w:val="18"/>
        <w:szCs w:val="18"/>
      </w:rPr>
    </w:lvl>
    <w:lvl w:ilvl="6">
      <w:start w:val="1"/>
      <w:numFmt w:val="bullet"/>
      <w:lvlText w:val=""/>
      <w:lvlJc w:val="left"/>
      <w:pPr>
        <w:tabs>
          <w:tab w:val="num" w:pos="2880"/>
        </w:tabs>
        <w:ind w:left="2880" w:hanging="360"/>
      </w:pPr>
      <w:rPr>
        <w:rFonts w:ascii="Wingdings" w:hAnsi="Wingdings" w:cs="Tahoma"/>
        <w:sz w:val="18"/>
        <w:szCs w:val="18"/>
      </w:rPr>
    </w:lvl>
    <w:lvl w:ilvl="7">
      <w:start w:val="1"/>
      <w:numFmt w:val="bullet"/>
      <w:lvlText w:val=""/>
      <w:lvlJc w:val="left"/>
      <w:pPr>
        <w:tabs>
          <w:tab w:val="num" w:pos="3240"/>
        </w:tabs>
        <w:ind w:left="3240" w:hanging="360"/>
      </w:pPr>
      <w:rPr>
        <w:rFonts w:ascii="Wingdings" w:hAnsi="Wingdings" w:cs="Tahoma"/>
        <w:sz w:val="18"/>
        <w:szCs w:val="18"/>
      </w:rPr>
    </w:lvl>
    <w:lvl w:ilvl="8">
      <w:start w:val="1"/>
      <w:numFmt w:val="bullet"/>
      <w:lvlText w:val=""/>
      <w:lvlJc w:val="left"/>
      <w:pPr>
        <w:tabs>
          <w:tab w:val="num" w:pos="3600"/>
        </w:tabs>
        <w:ind w:left="3600" w:hanging="360"/>
      </w:pPr>
      <w:rPr>
        <w:rFonts w:ascii="Wingdings" w:hAnsi="Wingdings" w:cs="Tahoma"/>
        <w:sz w:val="18"/>
        <w:szCs w:val="18"/>
      </w:rPr>
    </w:lvl>
  </w:abstractNum>
  <w:abstractNum w:abstractNumId="1">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20C29F4"/>
    <w:multiLevelType w:val="hybridMultilevel"/>
    <w:tmpl w:val="8496D4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41E1C35"/>
    <w:multiLevelType w:val="hybridMultilevel"/>
    <w:tmpl w:val="8BC4550C"/>
    <w:lvl w:ilvl="0" w:tplc="EB641D0A">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D872961"/>
    <w:multiLevelType w:val="hybridMultilevel"/>
    <w:tmpl w:val="901C1F16"/>
    <w:lvl w:ilvl="0" w:tplc="938E5D9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27841B6F"/>
    <w:multiLevelType w:val="hybridMultilevel"/>
    <w:tmpl w:val="C15C883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1ED433F0">
      <w:numFmt w:val="bullet"/>
      <w:lvlText w:val="-"/>
      <w:lvlJc w:val="left"/>
      <w:pPr>
        <w:ind w:left="1800" w:hanging="360"/>
      </w:pPr>
      <w:rPr>
        <w:rFonts w:ascii="Calibri" w:eastAsia="Times New Roman" w:hAnsi="Calibri" w:cs="Times New Roman"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28ED4DCD"/>
    <w:multiLevelType w:val="hybridMultilevel"/>
    <w:tmpl w:val="023609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2A721995"/>
    <w:multiLevelType w:val="hybridMultilevel"/>
    <w:tmpl w:val="D9900EF6"/>
    <w:lvl w:ilvl="0" w:tplc="08130001">
      <w:start w:val="2"/>
      <w:numFmt w:val="bullet"/>
      <w:lvlText w:val=""/>
      <w:lvlJc w:val="left"/>
      <w:pPr>
        <w:ind w:left="360" w:hanging="360"/>
      </w:pPr>
      <w:rPr>
        <w:rFonts w:ascii="Symbol" w:eastAsia="Times New Roman" w:hAnsi="Symbol"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2B3D7ABA"/>
    <w:multiLevelType w:val="hybridMultilevel"/>
    <w:tmpl w:val="9FD4F3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3B783D9D"/>
    <w:multiLevelType w:val="hybridMultilevel"/>
    <w:tmpl w:val="DC9CCC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C2C1B61"/>
    <w:multiLevelType w:val="hybridMultilevel"/>
    <w:tmpl w:val="07AED7D6"/>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45AE58AC"/>
    <w:multiLevelType w:val="hybridMultilevel"/>
    <w:tmpl w:val="4C16765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nsid w:val="4A304CD7"/>
    <w:multiLevelType w:val="hybridMultilevel"/>
    <w:tmpl w:val="7102B5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nsid w:val="4EE14880"/>
    <w:multiLevelType w:val="hybridMultilevel"/>
    <w:tmpl w:val="B4A0FC0C"/>
    <w:lvl w:ilvl="0" w:tplc="CDA4C77E">
      <w:start w:val="1"/>
      <w:numFmt w:val="upperRoman"/>
      <w:lvlText w:val="%1."/>
      <w:lvlJc w:val="left"/>
      <w:pPr>
        <w:ind w:left="720"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66756B90"/>
    <w:multiLevelType w:val="hybridMultilevel"/>
    <w:tmpl w:val="70F6E64A"/>
    <w:lvl w:ilvl="0" w:tplc="D3D63B3A">
      <w:numFmt w:val="bullet"/>
      <w:lvlText w:val="-"/>
      <w:lvlJc w:val="left"/>
      <w:pPr>
        <w:ind w:left="1776" w:hanging="360"/>
      </w:pPr>
      <w:rPr>
        <w:rFonts w:ascii="Times New Roman" w:eastAsia="Times New Roman" w:hAnsi="Times New Roman" w:cs="Times New Roman"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9">
    <w:nsid w:val="68695034"/>
    <w:multiLevelType w:val="hybridMultilevel"/>
    <w:tmpl w:val="271CA88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nsid w:val="6F2A66C7"/>
    <w:multiLevelType w:val="hybridMultilevel"/>
    <w:tmpl w:val="F576693C"/>
    <w:lvl w:ilvl="0" w:tplc="08130019">
      <w:start w:val="1"/>
      <w:numFmt w:val="lowerLetter"/>
      <w:lvlText w:val="%1."/>
      <w:lvlJc w:val="left"/>
      <w:pPr>
        <w:ind w:left="720" w:hanging="360"/>
      </w:pPr>
      <w:rPr>
        <w:rFonts w:ascii="Times New Roman" w:hAnsi="Times New Roman" w:cs="Times New Roman"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6FD20A11"/>
    <w:multiLevelType w:val="hybridMultilevel"/>
    <w:tmpl w:val="190A0E9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2">
    <w:nsid w:val="72377C33"/>
    <w:multiLevelType w:val="multilevel"/>
    <w:tmpl w:val="E884AE1E"/>
    <w:lvl w:ilvl="0">
      <w:start w:val="1"/>
      <w:numFmt w:val="decimal"/>
      <w:pStyle w:val="bijlagetitel"/>
      <w:lvlText w:val="Bijlage %1"/>
      <w:lvlJc w:val="left"/>
      <w:pPr>
        <w:ind w:left="360" w:hanging="360"/>
      </w:pPr>
      <w:rPr>
        <w:rFonts w:hint="default"/>
      </w:rPr>
    </w:lvl>
    <w:lvl w:ilvl="1">
      <w:start w:val="1"/>
      <w:numFmt w:val="decimal"/>
      <w:pStyle w:val="Bijlagesubtite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7C423DB8"/>
    <w:multiLevelType w:val="hybridMultilevel"/>
    <w:tmpl w:val="D3E44C2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nsid w:val="7EBE22AA"/>
    <w:multiLevelType w:val="hybridMultilevel"/>
    <w:tmpl w:val="BA78FEC2"/>
    <w:lvl w:ilvl="0" w:tplc="08130001">
      <w:start w:val="2012"/>
      <w:numFmt w:val="bullet"/>
      <w:lvlText w:val=""/>
      <w:lvlJc w:val="left"/>
      <w:pPr>
        <w:ind w:left="360" w:hanging="360"/>
      </w:pPr>
      <w:rPr>
        <w:rFonts w:ascii="Symbol" w:eastAsia="Times New Roman" w:hAnsi="Symbol"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6"/>
  </w:num>
  <w:num w:numId="2">
    <w:abstractNumId w:val="6"/>
  </w:num>
  <w:num w:numId="3">
    <w:abstractNumId w:val="1"/>
  </w:num>
  <w:num w:numId="4">
    <w:abstractNumId w:val="17"/>
  </w:num>
  <w:num w:numId="5">
    <w:abstractNumId w:val="13"/>
  </w:num>
  <w:num w:numId="6">
    <w:abstractNumId w:val="5"/>
  </w:num>
  <w:num w:numId="7">
    <w:abstractNumId w:val="4"/>
  </w:num>
  <w:num w:numId="8">
    <w:abstractNumId w:val="15"/>
  </w:num>
  <w:num w:numId="9">
    <w:abstractNumId w:val="8"/>
  </w:num>
  <w:num w:numId="10">
    <w:abstractNumId w:val="0"/>
  </w:num>
  <w:num w:numId="11">
    <w:abstractNumId w:val="19"/>
  </w:num>
  <w:num w:numId="12">
    <w:abstractNumId w:val="2"/>
  </w:num>
  <w:num w:numId="13">
    <w:abstractNumId w:val="1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4"/>
  </w:num>
  <w:num w:numId="17">
    <w:abstractNumId w:val="9"/>
  </w:num>
  <w:num w:numId="18">
    <w:abstractNumId w:val="16"/>
  </w:num>
  <w:num w:numId="19">
    <w:abstractNumId w:val="3"/>
  </w:num>
  <w:num w:numId="20">
    <w:abstractNumId w:val="7"/>
  </w:num>
  <w:num w:numId="21">
    <w:abstractNumId w:val="18"/>
  </w:num>
  <w:num w:numId="22">
    <w:abstractNumId w:val="22"/>
  </w:num>
  <w:num w:numId="23">
    <w:abstractNumId w:val="11"/>
  </w:num>
  <w:num w:numId="24">
    <w:abstractNumId w:val="20"/>
  </w:num>
  <w:num w:numId="25">
    <w:abstractNumId w:val="12"/>
  </w:num>
  <w:num w:numId="26">
    <w:abstractNumId w:val="2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941198"/>
    <w:rsid w:val="0002297F"/>
    <w:rsid w:val="00024FDE"/>
    <w:rsid w:val="00027D25"/>
    <w:rsid w:val="000458A3"/>
    <w:rsid w:val="000464A2"/>
    <w:rsid w:val="00064710"/>
    <w:rsid w:val="00070064"/>
    <w:rsid w:val="00071DA4"/>
    <w:rsid w:val="00080040"/>
    <w:rsid w:val="000A0D76"/>
    <w:rsid w:val="000A6CC5"/>
    <w:rsid w:val="000B2E78"/>
    <w:rsid w:val="000D2970"/>
    <w:rsid w:val="000E0B29"/>
    <w:rsid w:val="000F07B6"/>
    <w:rsid w:val="00101146"/>
    <w:rsid w:val="00114EEC"/>
    <w:rsid w:val="00120599"/>
    <w:rsid w:val="00147A5E"/>
    <w:rsid w:val="00171F2E"/>
    <w:rsid w:val="00187BFC"/>
    <w:rsid w:val="001A25C5"/>
    <w:rsid w:val="001A657C"/>
    <w:rsid w:val="001B0B67"/>
    <w:rsid w:val="001E4BBA"/>
    <w:rsid w:val="001E4FF1"/>
    <w:rsid w:val="0020586F"/>
    <w:rsid w:val="002058D3"/>
    <w:rsid w:val="00211BDD"/>
    <w:rsid w:val="00255625"/>
    <w:rsid w:val="00260415"/>
    <w:rsid w:val="00261945"/>
    <w:rsid w:val="002849FD"/>
    <w:rsid w:val="002B2386"/>
    <w:rsid w:val="002C409B"/>
    <w:rsid w:val="002C6293"/>
    <w:rsid w:val="00311A73"/>
    <w:rsid w:val="00320FE9"/>
    <w:rsid w:val="00334647"/>
    <w:rsid w:val="00341046"/>
    <w:rsid w:val="00342D1B"/>
    <w:rsid w:val="00343A8F"/>
    <w:rsid w:val="00346225"/>
    <w:rsid w:val="00346CC6"/>
    <w:rsid w:val="0038194D"/>
    <w:rsid w:val="003A107B"/>
    <w:rsid w:val="003C1265"/>
    <w:rsid w:val="003C13A5"/>
    <w:rsid w:val="003C7F2E"/>
    <w:rsid w:val="003D6C7F"/>
    <w:rsid w:val="004178D7"/>
    <w:rsid w:val="00427E2D"/>
    <w:rsid w:val="00467F3F"/>
    <w:rsid w:val="00496B1A"/>
    <w:rsid w:val="004A4E12"/>
    <w:rsid w:val="004A6588"/>
    <w:rsid w:val="004B6588"/>
    <w:rsid w:val="004D7979"/>
    <w:rsid w:val="004E08C9"/>
    <w:rsid w:val="004E4960"/>
    <w:rsid w:val="0050213B"/>
    <w:rsid w:val="0050375C"/>
    <w:rsid w:val="005051B9"/>
    <w:rsid w:val="00506758"/>
    <w:rsid w:val="005103C0"/>
    <w:rsid w:val="0052184B"/>
    <w:rsid w:val="005238C3"/>
    <w:rsid w:val="00564F8C"/>
    <w:rsid w:val="005667BC"/>
    <w:rsid w:val="00572401"/>
    <w:rsid w:val="00586A73"/>
    <w:rsid w:val="005A0D53"/>
    <w:rsid w:val="005B328B"/>
    <w:rsid w:val="005B3CBE"/>
    <w:rsid w:val="00602597"/>
    <w:rsid w:val="006057C8"/>
    <w:rsid w:val="00616D7F"/>
    <w:rsid w:val="006408D6"/>
    <w:rsid w:val="00643726"/>
    <w:rsid w:val="00645A5D"/>
    <w:rsid w:val="00667CE6"/>
    <w:rsid w:val="00685F14"/>
    <w:rsid w:val="00693743"/>
    <w:rsid w:val="006A6078"/>
    <w:rsid w:val="006C79D3"/>
    <w:rsid w:val="006E12E8"/>
    <w:rsid w:val="006F29F5"/>
    <w:rsid w:val="006F49EA"/>
    <w:rsid w:val="00711FF9"/>
    <w:rsid w:val="0071635D"/>
    <w:rsid w:val="00754BFF"/>
    <w:rsid w:val="00754C88"/>
    <w:rsid w:val="00761627"/>
    <w:rsid w:val="0076794C"/>
    <w:rsid w:val="00772B74"/>
    <w:rsid w:val="00773683"/>
    <w:rsid w:val="0078435B"/>
    <w:rsid w:val="007A7738"/>
    <w:rsid w:val="007C701F"/>
    <w:rsid w:val="007E2BBA"/>
    <w:rsid w:val="007F25D7"/>
    <w:rsid w:val="008047F7"/>
    <w:rsid w:val="00805C86"/>
    <w:rsid w:val="0083747B"/>
    <w:rsid w:val="00842F2E"/>
    <w:rsid w:val="00844521"/>
    <w:rsid w:val="00847F06"/>
    <w:rsid w:val="00850AC1"/>
    <w:rsid w:val="00873356"/>
    <w:rsid w:val="008805D3"/>
    <w:rsid w:val="008D2CE5"/>
    <w:rsid w:val="00941198"/>
    <w:rsid w:val="00963A44"/>
    <w:rsid w:val="009864CE"/>
    <w:rsid w:val="00990ED7"/>
    <w:rsid w:val="009B52B0"/>
    <w:rsid w:val="009B6E3B"/>
    <w:rsid w:val="009C170D"/>
    <w:rsid w:val="009F10A6"/>
    <w:rsid w:val="009F4D09"/>
    <w:rsid w:val="00A0660A"/>
    <w:rsid w:val="00A148B5"/>
    <w:rsid w:val="00A34972"/>
    <w:rsid w:val="00A43EDA"/>
    <w:rsid w:val="00A61C76"/>
    <w:rsid w:val="00A633B2"/>
    <w:rsid w:val="00A73155"/>
    <w:rsid w:val="00A81397"/>
    <w:rsid w:val="00A8489F"/>
    <w:rsid w:val="00AA7CB7"/>
    <w:rsid w:val="00AB2100"/>
    <w:rsid w:val="00AD78E8"/>
    <w:rsid w:val="00AE2266"/>
    <w:rsid w:val="00AE4DDF"/>
    <w:rsid w:val="00AF20C7"/>
    <w:rsid w:val="00AF33A4"/>
    <w:rsid w:val="00AF670A"/>
    <w:rsid w:val="00B05A8D"/>
    <w:rsid w:val="00B43908"/>
    <w:rsid w:val="00B6547D"/>
    <w:rsid w:val="00B71CE8"/>
    <w:rsid w:val="00B77256"/>
    <w:rsid w:val="00B87AC9"/>
    <w:rsid w:val="00BC0B63"/>
    <w:rsid w:val="00BD07FB"/>
    <w:rsid w:val="00BF5C9C"/>
    <w:rsid w:val="00C10D34"/>
    <w:rsid w:val="00C57C79"/>
    <w:rsid w:val="00C648CA"/>
    <w:rsid w:val="00C75C7E"/>
    <w:rsid w:val="00C76F14"/>
    <w:rsid w:val="00C84DBC"/>
    <w:rsid w:val="00C97D8A"/>
    <w:rsid w:val="00CB074B"/>
    <w:rsid w:val="00CB2006"/>
    <w:rsid w:val="00CC165B"/>
    <w:rsid w:val="00CC5077"/>
    <w:rsid w:val="00CC63C8"/>
    <w:rsid w:val="00CF0F25"/>
    <w:rsid w:val="00CF4E65"/>
    <w:rsid w:val="00D234A2"/>
    <w:rsid w:val="00D23A20"/>
    <w:rsid w:val="00D32689"/>
    <w:rsid w:val="00D347A8"/>
    <w:rsid w:val="00D504CF"/>
    <w:rsid w:val="00D62D21"/>
    <w:rsid w:val="00D76D75"/>
    <w:rsid w:val="00D83DED"/>
    <w:rsid w:val="00D84F7F"/>
    <w:rsid w:val="00DD6BEC"/>
    <w:rsid w:val="00DE1BB1"/>
    <w:rsid w:val="00DF5DB2"/>
    <w:rsid w:val="00DF6517"/>
    <w:rsid w:val="00E06351"/>
    <w:rsid w:val="00E07995"/>
    <w:rsid w:val="00E50598"/>
    <w:rsid w:val="00E519A0"/>
    <w:rsid w:val="00E56A90"/>
    <w:rsid w:val="00E900DF"/>
    <w:rsid w:val="00EB0983"/>
    <w:rsid w:val="00EF296F"/>
    <w:rsid w:val="00F24E1D"/>
    <w:rsid w:val="00F52CAF"/>
    <w:rsid w:val="00F53073"/>
    <w:rsid w:val="00F913F2"/>
    <w:rsid w:val="00F93A3B"/>
    <w:rsid w:val="00FC1093"/>
    <w:rsid w:val="00FC48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83DED"/>
    <w:rPr>
      <w:sz w:val="24"/>
      <w:lang w:val="nl-NL" w:eastAsia="nl-NL"/>
    </w:rPr>
  </w:style>
  <w:style w:type="paragraph" w:styleId="Kop1">
    <w:name w:val="heading 1"/>
    <w:basedOn w:val="Standaard"/>
    <w:next w:val="Standaard"/>
    <w:qFormat/>
    <w:rsid w:val="00D83DED"/>
    <w:pPr>
      <w:keepNext/>
      <w:numPr>
        <w:numId w:val="2"/>
      </w:numPr>
      <w:jc w:val="both"/>
      <w:outlineLvl w:val="0"/>
    </w:pPr>
    <w:rPr>
      <w:b/>
      <w:caps/>
    </w:rPr>
  </w:style>
  <w:style w:type="paragraph" w:styleId="Kop2">
    <w:name w:val="heading 2"/>
    <w:basedOn w:val="Standaard"/>
    <w:next w:val="Standaard"/>
    <w:qFormat/>
    <w:rsid w:val="00D83DED"/>
    <w:pPr>
      <w:keepNext/>
      <w:tabs>
        <w:tab w:val="num" w:pos="567"/>
      </w:tabs>
      <w:ind w:left="567" w:hanging="567"/>
      <w:outlineLvl w:val="1"/>
    </w:pPr>
    <w:rPr>
      <w:b/>
    </w:rPr>
  </w:style>
  <w:style w:type="paragraph" w:styleId="Kop3">
    <w:name w:val="heading 3"/>
    <w:basedOn w:val="Standaard"/>
    <w:next w:val="Standaard"/>
    <w:qFormat/>
    <w:rsid w:val="00D83DED"/>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D83DED"/>
    <w:pPr>
      <w:framePr w:w="7920" w:h="1980" w:hRule="exact" w:hSpace="141" w:wrap="auto" w:hAnchor="page" w:xAlign="center" w:yAlign="bottom"/>
      <w:ind w:left="2880"/>
    </w:pPr>
  </w:style>
  <w:style w:type="paragraph" w:styleId="Afzender">
    <w:name w:val="envelope return"/>
    <w:basedOn w:val="Standaard"/>
    <w:rsid w:val="00D83DED"/>
  </w:style>
  <w:style w:type="paragraph" w:styleId="Inhopg1">
    <w:name w:val="toc 1"/>
    <w:basedOn w:val="Standaard"/>
    <w:next w:val="Standaard"/>
    <w:autoRedefine/>
    <w:semiHidden/>
    <w:rsid w:val="00D83DED"/>
    <w:pPr>
      <w:tabs>
        <w:tab w:val="right" w:leader="dot" w:pos="9741"/>
      </w:tabs>
      <w:spacing w:before="180" w:after="180"/>
      <w:ind w:left="567" w:hanging="567"/>
    </w:pPr>
    <w:rPr>
      <w:b/>
      <w:caps/>
      <w:noProof/>
    </w:rPr>
  </w:style>
  <w:style w:type="paragraph" w:styleId="Inhopg2">
    <w:name w:val="toc 2"/>
    <w:basedOn w:val="Standaard"/>
    <w:next w:val="Standaard"/>
    <w:autoRedefine/>
    <w:semiHidden/>
    <w:rsid w:val="00D83DED"/>
    <w:pPr>
      <w:tabs>
        <w:tab w:val="right" w:leader="dot" w:pos="9741"/>
      </w:tabs>
      <w:spacing w:before="80" w:after="80"/>
      <w:ind w:left="1134" w:hanging="567"/>
    </w:pPr>
    <w:rPr>
      <w:noProof/>
    </w:rPr>
  </w:style>
  <w:style w:type="paragraph" w:styleId="Inhopg3">
    <w:name w:val="toc 3"/>
    <w:basedOn w:val="Standaard"/>
    <w:next w:val="Standaard"/>
    <w:autoRedefine/>
    <w:semiHidden/>
    <w:rsid w:val="00D83DED"/>
    <w:pPr>
      <w:tabs>
        <w:tab w:val="right" w:leader="dot" w:pos="9741"/>
      </w:tabs>
      <w:spacing w:before="40" w:after="40"/>
      <w:ind w:left="1701" w:hanging="567"/>
    </w:pPr>
    <w:rPr>
      <w:i/>
    </w:rPr>
  </w:style>
  <w:style w:type="paragraph" w:styleId="Plattetekst2">
    <w:name w:val="Body Text 2"/>
    <w:basedOn w:val="Standaard"/>
    <w:rsid w:val="00D83DED"/>
    <w:pPr>
      <w:jc w:val="both"/>
    </w:pPr>
    <w:rPr>
      <w:i/>
      <w:sz w:val="22"/>
    </w:rPr>
  </w:style>
  <w:style w:type="table" w:styleId="Tabelraster">
    <w:name w:val="Table Grid"/>
    <w:basedOn w:val="Standaardtabel"/>
    <w:rsid w:val="00346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VVlaamsParlement">
    <w:name w:val="SV Vlaams Parlement"/>
    <w:basedOn w:val="Standaard"/>
    <w:rsid w:val="00D83DED"/>
    <w:pPr>
      <w:jc w:val="both"/>
    </w:pPr>
    <w:rPr>
      <w:b/>
      <w:smallCaps/>
      <w:sz w:val="22"/>
    </w:rPr>
  </w:style>
  <w:style w:type="paragraph" w:customStyle="1" w:styleId="SVTitel">
    <w:name w:val="SV Titel"/>
    <w:basedOn w:val="Standaard"/>
    <w:rsid w:val="00D83DED"/>
    <w:pPr>
      <w:jc w:val="both"/>
    </w:pPr>
    <w:rPr>
      <w:i/>
      <w:sz w:val="22"/>
    </w:rPr>
  </w:style>
  <w:style w:type="paragraph" w:customStyle="1" w:styleId="StandaardSV">
    <w:name w:val="Standaard SV"/>
    <w:basedOn w:val="Standaard"/>
    <w:rsid w:val="00D83DED"/>
    <w:pPr>
      <w:jc w:val="both"/>
    </w:pPr>
    <w:rPr>
      <w:sz w:val="22"/>
    </w:rPr>
  </w:style>
  <w:style w:type="character" w:styleId="Hyperlink">
    <w:name w:val="Hyperlink"/>
    <w:basedOn w:val="Standaardalinea-lettertype"/>
    <w:uiPriority w:val="99"/>
    <w:unhideWhenUsed/>
    <w:rsid w:val="00101146"/>
    <w:rPr>
      <w:color w:val="0000FF"/>
      <w:u w:val="single"/>
    </w:rPr>
  </w:style>
  <w:style w:type="character" w:customStyle="1" w:styleId="submitted">
    <w:name w:val="submitted"/>
    <w:basedOn w:val="Standaardalinea-lettertype"/>
    <w:rsid w:val="00A73155"/>
  </w:style>
  <w:style w:type="character" w:customStyle="1" w:styleId="apple-converted-space">
    <w:name w:val="apple-converted-space"/>
    <w:basedOn w:val="Standaardalinea-lettertype"/>
    <w:rsid w:val="00A73155"/>
  </w:style>
  <w:style w:type="paragraph" w:styleId="Normaalweb">
    <w:name w:val="Normal (Web)"/>
    <w:basedOn w:val="Standaard"/>
    <w:uiPriority w:val="99"/>
    <w:unhideWhenUsed/>
    <w:rsid w:val="00A73155"/>
    <w:pPr>
      <w:spacing w:before="100" w:beforeAutospacing="1" w:after="100" w:afterAutospacing="1"/>
    </w:pPr>
    <w:rPr>
      <w:szCs w:val="24"/>
      <w:lang w:val="nl-BE" w:eastAsia="nl-BE"/>
    </w:rPr>
  </w:style>
  <w:style w:type="character" w:styleId="Nadruk">
    <w:name w:val="Emphasis"/>
    <w:basedOn w:val="Standaardalinea-lettertype"/>
    <w:uiPriority w:val="20"/>
    <w:qFormat/>
    <w:rsid w:val="00A73155"/>
    <w:rPr>
      <w:i/>
      <w:iCs/>
    </w:rPr>
  </w:style>
  <w:style w:type="paragraph" w:styleId="Ballontekst">
    <w:name w:val="Balloon Text"/>
    <w:basedOn w:val="Standaard"/>
    <w:link w:val="BallontekstChar"/>
    <w:rsid w:val="00DF5DB2"/>
    <w:rPr>
      <w:rFonts w:ascii="Tahoma" w:hAnsi="Tahoma" w:cs="Tahoma"/>
      <w:sz w:val="16"/>
      <w:szCs w:val="16"/>
    </w:rPr>
  </w:style>
  <w:style w:type="character" w:customStyle="1" w:styleId="BallontekstChar">
    <w:name w:val="Ballontekst Char"/>
    <w:basedOn w:val="Standaardalinea-lettertype"/>
    <w:link w:val="Ballontekst"/>
    <w:rsid w:val="00DF5DB2"/>
    <w:rPr>
      <w:rFonts w:ascii="Tahoma" w:hAnsi="Tahoma" w:cs="Tahoma"/>
      <w:sz w:val="16"/>
      <w:szCs w:val="16"/>
      <w:lang w:val="nl-NL" w:eastAsia="nl-NL"/>
    </w:rPr>
  </w:style>
  <w:style w:type="character" w:customStyle="1" w:styleId="A3">
    <w:name w:val="A3"/>
    <w:uiPriority w:val="99"/>
    <w:rsid w:val="00DF5DB2"/>
    <w:rPr>
      <w:rFonts w:cs="Franklin Gothic Book"/>
      <w:color w:val="000000"/>
      <w:sz w:val="20"/>
      <w:szCs w:val="20"/>
    </w:rPr>
  </w:style>
  <w:style w:type="paragraph" w:styleId="Lijstalinea">
    <w:name w:val="List Paragraph"/>
    <w:basedOn w:val="Standaard"/>
    <w:uiPriority w:val="34"/>
    <w:qFormat/>
    <w:rsid w:val="00DF5DB2"/>
    <w:pPr>
      <w:spacing w:before="120" w:after="120"/>
      <w:ind w:left="720"/>
      <w:contextualSpacing/>
      <w:jc w:val="both"/>
    </w:pPr>
    <w:rPr>
      <w:rFonts w:ascii="Verdana" w:eastAsia="PMingLiU" w:hAnsi="Verdana"/>
      <w:color w:val="00004C"/>
      <w:sz w:val="20"/>
      <w:lang w:eastAsia="zh-CN"/>
    </w:rPr>
  </w:style>
  <w:style w:type="paragraph" w:customStyle="1" w:styleId="bijlagetitel">
    <w:name w:val="bijlage titel"/>
    <w:basedOn w:val="Kop1"/>
    <w:next w:val="Standaard"/>
    <w:rsid w:val="00DF5DB2"/>
    <w:pPr>
      <w:pageBreakBefore/>
      <w:numPr>
        <w:numId w:val="22"/>
      </w:numPr>
      <w:tabs>
        <w:tab w:val="left" w:pos="1985"/>
      </w:tabs>
      <w:suppressAutoHyphens/>
      <w:spacing w:before="120" w:after="480"/>
      <w:jc w:val="left"/>
    </w:pPr>
    <w:rPr>
      <w:rFonts w:ascii="Verdana" w:eastAsia="PMingLiU" w:hAnsi="Verdana"/>
      <w:color w:val="FA5000"/>
      <w:sz w:val="26"/>
      <w:szCs w:val="26"/>
      <w:lang w:val="en-GB" w:eastAsia="zh-CN"/>
    </w:rPr>
  </w:style>
  <w:style w:type="paragraph" w:customStyle="1" w:styleId="Bijlagesubtitel">
    <w:name w:val="Bijlage subtitel"/>
    <w:basedOn w:val="Kop2"/>
    <w:next w:val="Standaard"/>
    <w:rsid w:val="00DF5DB2"/>
    <w:pPr>
      <w:numPr>
        <w:ilvl w:val="1"/>
        <w:numId w:val="22"/>
      </w:numPr>
      <w:spacing w:before="600" w:after="240"/>
      <w:jc w:val="both"/>
    </w:pPr>
    <w:rPr>
      <w:rFonts w:ascii="Verdana" w:eastAsia="PMingLiU" w:hAnsi="Verdana"/>
      <w:color w:val="00004C"/>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83DED"/>
    <w:rPr>
      <w:sz w:val="24"/>
      <w:lang w:val="nl-NL" w:eastAsia="nl-NL"/>
    </w:rPr>
  </w:style>
  <w:style w:type="paragraph" w:styleId="Kop1">
    <w:name w:val="heading 1"/>
    <w:basedOn w:val="Standaard"/>
    <w:next w:val="Standaard"/>
    <w:qFormat/>
    <w:rsid w:val="00D83DED"/>
    <w:pPr>
      <w:keepNext/>
      <w:numPr>
        <w:numId w:val="2"/>
      </w:numPr>
      <w:jc w:val="both"/>
      <w:outlineLvl w:val="0"/>
    </w:pPr>
    <w:rPr>
      <w:b/>
      <w:caps/>
    </w:rPr>
  </w:style>
  <w:style w:type="paragraph" w:styleId="Kop2">
    <w:name w:val="heading 2"/>
    <w:basedOn w:val="Standaard"/>
    <w:next w:val="Standaard"/>
    <w:qFormat/>
    <w:rsid w:val="00D83DED"/>
    <w:pPr>
      <w:keepNext/>
      <w:tabs>
        <w:tab w:val="num" w:pos="567"/>
      </w:tabs>
      <w:ind w:left="567" w:hanging="567"/>
      <w:outlineLvl w:val="1"/>
    </w:pPr>
    <w:rPr>
      <w:b/>
    </w:rPr>
  </w:style>
  <w:style w:type="paragraph" w:styleId="Kop3">
    <w:name w:val="heading 3"/>
    <w:basedOn w:val="Standaard"/>
    <w:next w:val="Standaard"/>
    <w:qFormat/>
    <w:rsid w:val="00D83DED"/>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D83DED"/>
    <w:pPr>
      <w:framePr w:w="7920" w:h="1980" w:hRule="exact" w:hSpace="141" w:wrap="auto" w:hAnchor="page" w:xAlign="center" w:yAlign="bottom"/>
      <w:ind w:left="2880"/>
    </w:pPr>
  </w:style>
  <w:style w:type="paragraph" w:styleId="Afzender">
    <w:name w:val="envelope return"/>
    <w:basedOn w:val="Standaard"/>
    <w:rsid w:val="00D83DED"/>
  </w:style>
  <w:style w:type="paragraph" w:styleId="Inhopg1">
    <w:name w:val="toc 1"/>
    <w:basedOn w:val="Standaard"/>
    <w:next w:val="Standaard"/>
    <w:autoRedefine/>
    <w:semiHidden/>
    <w:rsid w:val="00D83DED"/>
    <w:pPr>
      <w:tabs>
        <w:tab w:val="right" w:leader="dot" w:pos="9741"/>
      </w:tabs>
      <w:spacing w:before="180" w:after="180"/>
      <w:ind w:left="567" w:hanging="567"/>
    </w:pPr>
    <w:rPr>
      <w:b/>
      <w:caps/>
      <w:noProof/>
    </w:rPr>
  </w:style>
  <w:style w:type="paragraph" w:styleId="Inhopg2">
    <w:name w:val="toc 2"/>
    <w:basedOn w:val="Standaard"/>
    <w:next w:val="Standaard"/>
    <w:autoRedefine/>
    <w:semiHidden/>
    <w:rsid w:val="00D83DED"/>
    <w:pPr>
      <w:tabs>
        <w:tab w:val="right" w:leader="dot" w:pos="9741"/>
      </w:tabs>
      <w:spacing w:before="80" w:after="80"/>
      <w:ind w:left="1134" w:hanging="567"/>
    </w:pPr>
    <w:rPr>
      <w:noProof/>
    </w:rPr>
  </w:style>
  <w:style w:type="paragraph" w:styleId="Inhopg3">
    <w:name w:val="toc 3"/>
    <w:basedOn w:val="Standaard"/>
    <w:next w:val="Standaard"/>
    <w:autoRedefine/>
    <w:semiHidden/>
    <w:rsid w:val="00D83DED"/>
    <w:pPr>
      <w:tabs>
        <w:tab w:val="right" w:leader="dot" w:pos="9741"/>
      </w:tabs>
      <w:spacing w:before="40" w:after="40"/>
      <w:ind w:left="1701" w:hanging="567"/>
    </w:pPr>
    <w:rPr>
      <w:i/>
    </w:rPr>
  </w:style>
  <w:style w:type="paragraph" w:styleId="Plattetekst2">
    <w:name w:val="Body Text 2"/>
    <w:basedOn w:val="Standaard"/>
    <w:rsid w:val="00D83DED"/>
    <w:pPr>
      <w:jc w:val="both"/>
    </w:pPr>
    <w:rPr>
      <w:i/>
      <w:sz w:val="22"/>
    </w:rPr>
  </w:style>
  <w:style w:type="table" w:styleId="Tabelraster">
    <w:name w:val="Table Grid"/>
    <w:basedOn w:val="Standaardtabel"/>
    <w:rsid w:val="00346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VVlaamsParlement">
    <w:name w:val="SV Vlaams Parlement"/>
    <w:basedOn w:val="Standaard"/>
    <w:rsid w:val="00D83DED"/>
    <w:pPr>
      <w:jc w:val="both"/>
    </w:pPr>
    <w:rPr>
      <w:b/>
      <w:smallCaps/>
      <w:sz w:val="22"/>
    </w:rPr>
  </w:style>
  <w:style w:type="paragraph" w:customStyle="1" w:styleId="SVTitel">
    <w:name w:val="SV Titel"/>
    <w:basedOn w:val="Standaard"/>
    <w:rsid w:val="00D83DED"/>
    <w:pPr>
      <w:jc w:val="both"/>
    </w:pPr>
    <w:rPr>
      <w:i/>
      <w:sz w:val="22"/>
    </w:rPr>
  </w:style>
  <w:style w:type="paragraph" w:customStyle="1" w:styleId="StandaardSV">
    <w:name w:val="Standaard SV"/>
    <w:basedOn w:val="Standaard"/>
    <w:rsid w:val="00D83DED"/>
    <w:pPr>
      <w:jc w:val="both"/>
    </w:pPr>
    <w:rPr>
      <w:sz w:val="22"/>
    </w:rPr>
  </w:style>
  <w:style w:type="character" w:styleId="Hyperlink">
    <w:name w:val="Hyperlink"/>
    <w:basedOn w:val="Standaardalinea-lettertype"/>
    <w:uiPriority w:val="99"/>
    <w:unhideWhenUsed/>
    <w:rsid w:val="00101146"/>
    <w:rPr>
      <w:color w:val="0000FF"/>
      <w:u w:val="single"/>
    </w:rPr>
  </w:style>
  <w:style w:type="character" w:customStyle="1" w:styleId="submitted">
    <w:name w:val="submitted"/>
    <w:basedOn w:val="Standaardalinea-lettertype"/>
    <w:rsid w:val="00A73155"/>
  </w:style>
  <w:style w:type="character" w:customStyle="1" w:styleId="apple-converted-space">
    <w:name w:val="apple-converted-space"/>
    <w:basedOn w:val="Standaardalinea-lettertype"/>
    <w:rsid w:val="00A73155"/>
  </w:style>
  <w:style w:type="paragraph" w:styleId="Normaalweb">
    <w:name w:val="Normal (Web)"/>
    <w:basedOn w:val="Standaard"/>
    <w:uiPriority w:val="99"/>
    <w:unhideWhenUsed/>
    <w:rsid w:val="00A73155"/>
    <w:pPr>
      <w:spacing w:before="100" w:beforeAutospacing="1" w:after="100" w:afterAutospacing="1"/>
    </w:pPr>
    <w:rPr>
      <w:szCs w:val="24"/>
      <w:lang w:val="nl-BE" w:eastAsia="nl-BE"/>
    </w:rPr>
  </w:style>
  <w:style w:type="character" w:styleId="Nadruk">
    <w:name w:val="Emphasis"/>
    <w:basedOn w:val="Standaardalinea-lettertype"/>
    <w:uiPriority w:val="20"/>
    <w:qFormat/>
    <w:rsid w:val="00A73155"/>
    <w:rPr>
      <w:i/>
      <w:iCs/>
    </w:rPr>
  </w:style>
  <w:style w:type="paragraph" w:styleId="Ballontekst">
    <w:name w:val="Balloon Text"/>
    <w:basedOn w:val="Standaard"/>
    <w:link w:val="BallontekstChar"/>
    <w:rsid w:val="00DF5DB2"/>
    <w:rPr>
      <w:rFonts w:ascii="Tahoma" w:hAnsi="Tahoma" w:cs="Tahoma"/>
      <w:sz w:val="16"/>
      <w:szCs w:val="16"/>
    </w:rPr>
  </w:style>
  <w:style w:type="character" w:customStyle="1" w:styleId="BallontekstChar">
    <w:name w:val="Balloon Text Char"/>
    <w:basedOn w:val="Standaardalinea-lettertype"/>
    <w:link w:val="Ballontekst"/>
    <w:rsid w:val="00DF5DB2"/>
    <w:rPr>
      <w:rFonts w:ascii="Tahoma" w:hAnsi="Tahoma" w:cs="Tahoma"/>
      <w:sz w:val="16"/>
      <w:szCs w:val="16"/>
      <w:lang w:val="nl-NL" w:eastAsia="nl-NL"/>
    </w:rPr>
  </w:style>
  <w:style w:type="character" w:customStyle="1" w:styleId="A3">
    <w:name w:val="A3"/>
    <w:uiPriority w:val="99"/>
    <w:rsid w:val="00DF5DB2"/>
    <w:rPr>
      <w:rFonts w:cs="Franklin Gothic Book"/>
      <w:color w:val="000000"/>
      <w:sz w:val="20"/>
      <w:szCs w:val="20"/>
    </w:rPr>
  </w:style>
  <w:style w:type="paragraph" w:styleId="Lijstalinea">
    <w:name w:val="List Paragraph"/>
    <w:basedOn w:val="Standaard"/>
    <w:uiPriority w:val="34"/>
    <w:qFormat/>
    <w:rsid w:val="00DF5DB2"/>
    <w:pPr>
      <w:spacing w:before="120" w:after="120"/>
      <w:ind w:left="720"/>
      <w:contextualSpacing/>
      <w:jc w:val="both"/>
    </w:pPr>
    <w:rPr>
      <w:rFonts w:ascii="Verdana" w:eastAsia="PMingLiU" w:hAnsi="Verdana"/>
      <w:color w:val="00004C"/>
      <w:sz w:val="20"/>
      <w:lang w:eastAsia="zh-CN"/>
    </w:rPr>
  </w:style>
  <w:style w:type="paragraph" w:customStyle="1" w:styleId="bijlagetitel">
    <w:name w:val="bijlage titel"/>
    <w:basedOn w:val="Kop1"/>
    <w:next w:val="Standaard"/>
    <w:rsid w:val="00DF5DB2"/>
    <w:pPr>
      <w:pageBreakBefore/>
      <w:numPr>
        <w:numId w:val="22"/>
      </w:numPr>
      <w:tabs>
        <w:tab w:val="left" w:pos="1985"/>
      </w:tabs>
      <w:suppressAutoHyphens/>
      <w:spacing w:before="120" w:after="480"/>
      <w:jc w:val="left"/>
    </w:pPr>
    <w:rPr>
      <w:rFonts w:ascii="Verdana" w:eastAsia="PMingLiU" w:hAnsi="Verdana"/>
      <w:color w:val="FA5000"/>
      <w:sz w:val="26"/>
      <w:szCs w:val="26"/>
      <w:lang w:val="en-GB" w:eastAsia="zh-CN"/>
    </w:rPr>
  </w:style>
  <w:style w:type="paragraph" w:customStyle="1" w:styleId="Bijlagesubtitel">
    <w:name w:val="Bijlage subtitel"/>
    <w:basedOn w:val="Kop2"/>
    <w:next w:val="Standaard"/>
    <w:rsid w:val="00DF5DB2"/>
    <w:pPr>
      <w:numPr>
        <w:ilvl w:val="1"/>
        <w:numId w:val="22"/>
      </w:numPr>
      <w:spacing w:before="600" w:after="240"/>
      <w:jc w:val="both"/>
    </w:pPr>
    <w:rPr>
      <w:rFonts w:ascii="Verdana" w:eastAsia="PMingLiU" w:hAnsi="Verdana"/>
      <w:color w:val="00004C"/>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64213">
      <w:bodyDiv w:val="1"/>
      <w:marLeft w:val="0"/>
      <w:marRight w:val="0"/>
      <w:marTop w:val="0"/>
      <w:marBottom w:val="0"/>
      <w:divBdr>
        <w:top w:val="none" w:sz="0" w:space="0" w:color="auto"/>
        <w:left w:val="none" w:sz="0" w:space="0" w:color="auto"/>
        <w:bottom w:val="none" w:sz="0" w:space="0" w:color="auto"/>
        <w:right w:val="none" w:sz="0" w:space="0" w:color="auto"/>
      </w:divBdr>
    </w:div>
    <w:div w:id="251820405">
      <w:bodyDiv w:val="1"/>
      <w:marLeft w:val="0"/>
      <w:marRight w:val="0"/>
      <w:marTop w:val="0"/>
      <w:marBottom w:val="0"/>
      <w:divBdr>
        <w:top w:val="none" w:sz="0" w:space="0" w:color="auto"/>
        <w:left w:val="none" w:sz="0" w:space="0" w:color="auto"/>
        <w:bottom w:val="none" w:sz="0" w:space="0" w:color="auto"/>
        <w:right w:val="none" w:sz="0" w:space="0" w:color="auto"/>
      </w:divBdr>
    </w:div>
    <w:div w:id="806246531">
      <w:bodyDiv w:val="1"/>
      <w:marLeft w:val="0"/>
      <w:marRight w:val="0"/>
      <w:marTop w:val="0"/>
      <w:marBottom w:val="0"/>
      <w:divBdr>
        <w:top w:val="none" w:sz="0" w:space="0" w:color="auto"/>
        <w:left w:val="none" w:sz="0" w:space="0" w:color="auto"/>
        <w:bottom w:val="none" w:sz="0" w:space="0" w:color="auto"/>
        <w:right w:val="none" w:sz="0" w:space="0" w:color="auto"/>
      </w:divBdr>
    </w:div>
    <w:div w:id="844052798">
      <w:bodyDiv w:val="1"/>
      <w:marLeft w:val="0"/>
      <w:marRight w:val="0"/>
      <w:marTop w:val="0"/>
      <w:marBottom w:val="0"/>
      <w:divBdr>
        <w:top w:val="none" w:sz="0" w:space="0" w:color="auto"/>
        <w:left w:val="none" w:sz="0" w:space="0" w:color="auto"/>
        <w:bottom w:val="none" w:sz="0" w:space="0" w:color="auto"/>
        <w:right w:val="none" w:sz="0" w:space="0" w:color="auto"/>
      </w:divBdr>
    </w:div>
    <w:div w:id="1597513531">
      <w:bodyDiv w:val="1"/>
      <w:marLeft w:val="0"/>
      <w:marRight w:val="0"/>
      <w:marTop w:val="0"/>
      <w:marBottom w:val="0"/>
      <w:divBdr>
        <w:top w:val="none" w:sz="0" w:space="0" w:color="auto"/>
        <w:left w:val="none" w:sz="0" w:space="0" w:color="auto"/>
        <w:bottom w:val="none" w:sz="0" w:space="0" w:color="auto"/>
        <w:right w:val="none" w:sz="0" w:space="0" w:color="auto"/>
      </w:divBdr>
      <w:divsChild>
        <w:div w:id="499657623">
          <w:marLeft w:val="0"/>
          <w:marRight w:val="0"/>
          <w:marTop w:val="0"/>
          <w:marBottom w:val="300"/>
          <w:divBdr>
            <w:top w:val="none" w:sz="0" w:space="0" w:color="auto"/>
            <w:left w:val="none" w:sz="0" w:space="0" w:color="auto"/>
            <w:bottom w:val="none" w:sz="0" w:space="0" w:color="auto"/>
            <w:right w:val="none" w:sz="0" w:space="0" w:color="auto"/>
          </w:divBdr>
          <w:divsChild>
            <w:div w:id="957492705">
              <w:marLeft w:val="0"/>
              <w:marRight w:val="0"/>
              <w:marTop w:val="0"/>
              <w:marBottom w:val="0"/>
              <w:divBdr>
                <w:top w:val="none" w:sz="0" w:space="0" w:color="auto"/>
                <w:left w:val="none" w:sz="0" w:space="0" w:color="auto"/>
                <w:bottom w:val="none" w:sz="0" w:space="0" w:color="auto"/>
                <w:right w:val="none" w:sz="0" w:space="0" w:color="auto"/>
              </w:divBdr>
              <w:divsChild>
                <w:div w:id="2140149306">
                  <w:marLeft w:val="0"/>
                  <w:marRight w:val="0"/>
                  <w:marTop w:val="0"/>
                  <w:marBottom w:val="225"/>
                  <w:divBdr>
                    <w:top w:val="none" w:sz="0" w:space="0" w:color="auto"/>
                    <w:left w:val="none" w:sz="0" w:space="0" w:color="auto"/>
                    <w:bottom w:val="none" w:sz="0" w:space="0" w:color="auto"/>
                    <w:right w:val="none" w:sz="0" w:space="0" w:color="auto"/>
                  </w:divBdr>
                  <w:divsChild>
                    <w:div w:id="229049097">
                      <w:marLeft w:val="0"/>
                      <w:marRight w:val="0"/>
                      <w:marTop w:val="0"/>
                      <w:marBottom w:val="0"/>
                      <w:divBdr>
                        <w:top w:val="none" w:sz="0" w:space="0" w:color="auto"/>
                        <w:left w:val="none" w:sz="0" w:space="0" w:color="auto"/>
                        <w:bottom w:val="none" w:sz="0" w:space="0" w:color="auto"/>
                        <w:right w:val="none" w:sz="0" w:space="0" w:color="auto"/>
                      </w:divBdr>
                      <w:divsChild>
                        <w:div w:id="2041319572">
                          <w:marLeft w:val="0"/>
                          <w:marRight w:val="0"/>
                          <w:marTop w:val="0"/>
                          <w:marBottom w:val="0"/>
                          <w:divBdr>
                            <w:top w:val="none" w:sz="0" w:space="0" w:color="auto"/>
                            <w:left w:val="none" w:sz="0" w:space="0" w:color="auto"/>
                            <w:bottom w:val="none" w:sz="0" w:space="0" w:color="auto"/>
                            <w:right w:val="none" w:sz="0" w:space="0" w:color="auto"/>
                          </w:divBdr>
                          <w:divsChild>
                            <w:div w:id="8618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510837">
      <w:bodyDiv w:val="1"/>
      <w:marLeft w:val="0"/>
      <w:marRight w:val="0"/>
      <w:marTop w:val="0"/>
      <w:marBottom w:val="0"/>
      <w:divBdr>
        <w:top w:val="none" w:sz="0" w:space="0" w:color="auto"/>
        <w:left w:val="none" w:sz="0" w:space="0" w:color="auto"/>
        <w:bottom w:val="none" w:sz="0" w:space="0" w:color="auto"/>
        <w:right w:val="none" w:sz="0" w:space="0" w:color="auto"/>
      </w:divBdr>
    </w:div>
    <w:div w:id="1930262456">
      <w:bodyDiv w:val="1"/>
      <w:marLeft w:val="0"/>
      <w:marRight w:val="0"/>
      <w:marTop w:val="0"/>
      <w:marBottom w:val="0"/>
      <w:divBdr>
        <w:top w:val="none" w:sz="0" w:space="0" w:color="auto"/>
        <w:left w:val="none" w:sz="0" w:space="0" w:color="auto"/>
        <w:bottom w:val="none" w:sz="0" w:space="0" w:color="auto"/>
        <w:right w:val="none" w:sz="0" w:space="0" w:color="auto"/>
      </w:divBdr>
    </w:div>
    <w:div w:id="1951232101">
      <w:bodyDiv w:val="1"/>
      <w:marLeft w:val="0"/>
      <w:marRight w:val="0"/>
      <w:marTop w:val="0"/>
      <w:marBottom w:val="0"/>
      <w:divBdr>
        <w:top w:val="none" w:sz="0" w:space="0" w:color="auto"/>
        <w:left w:val="none" w:sz="0" w:space="0" w:color="auto"/>
        <w:bottom w:val="none" w:sz="0" w:space="0" w:color="auto"/>
        <w:right w:val="none" w:sz="0" w:space="0" w:color="auto"/>
      </w:divBdr>
    </w:div>
    <w:div w:id="2077968066">
      <w:bodyDiv w:val="1"/>
      <w:marLeft w:val="0"/>
      <w:marRight w:val="0"/>
      <w:marTop w:val="0"/>
      <w:marBottom w:val="0"/>
      <w:divBdr>
        <w:top w:val="none" w:sz="0" w:space="0" w:color="auto"/>
        <w:left w:val="none" w:sz="0" w:space="0" w:color="auto"/>
        <w:bottom w:val="none" w:sz="0" w:space="0" w:color="auto"/>
        <w:right w:val="none" w:sz="0" w:space="0" w:color="auto"/>
      </w:divBdr>
    </w:div>
    <w:div w:id="208459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wt.be/sites/default/files/publicaties/iwt_studie74_0.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iwt.be/sites/default/files/publicaties/iwt_studie7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wt.be/sites/default/files/publicaties/iwt_studie63.pdf" TargetMode="External"/><Relationship Id="rId11" Type="http://schemas.openxmlformats.org/officeDocument/2006/relationships/hyperlink" Target="http://www.ondernemerschap.be/Upload/Documents/STOIO/Studies/2008/2008-2.pdf" TargetMode="External"/><Relationship Id="rId5" Type="http://schemas.openxmlformats.org/officeDocument/2006/relationships/webSettings" Target="webSettings.xml"/><Relationship Id="rId10" Type="http://schemas.openxmlformats.org/officeDocument/2006/relationships/hyperlink" Target="http://www.iwt.be/sites/default/files/english/files/final_report_BA_IWT-subsidies_10_11_2006.pdf" TargetMode="External"/><Relationship Id="rId4" Type="http://schemas.openxmlformats.org/officeDocument/2006/relationships/settings" Target="settings.xml"/><Relationship Id="rId9" Type="http://schemas.openxmlformats.org/officeDocument/2006/relationships/hyperlink" Target="http://www.iwt.be/sites/default/files/IWT_klantentevredenheid_executive%20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1648</Words>
  <Characters>10861</Characters>
  <Application>Microsoft Office Word</Application>
  <DocSecurity>0</DocSecurity>
  <Lines>90</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VLAAMS PARLEMENT</vt:lpstr>
      <vt:lpstr>VLAAMS PARLEMENT</vt:lpstr>
    </vt:vector>
  </TitlesOfParts>
  <Company>Vlaams Parlement</Company>
  <LinksUpToDate>false</LinksUpToDate>
  <CharactersWithSpaces>12485</CharactersWithSpaces>
  <SharedDoc>false</SharedDoc>
  <HLinks>
    <vt:vector size="36" baseType="variant">
      <vt:variant>
        <vt:i4>3539068</vt:i4>
      </vt:variant>
      <vt:variant>
        <vt:i4>15</vt:i4>
      </vt:variant>
      <vt:variant>
        <vt:i4>0</vt:i4>
      </vt:variant>
      <vt:variant>
        <vt:i4>5</vt:i4>
      </vt:variant>
      <vt:variant>
        <vt:lpwstr>http://www.iwt.be/sites/default/files/IWT_klantentevredenheid_executive summary.pdf</vt:lpwstr>
      </vt:variant>
      <vt:variant>
        <vt:lpwstr/>
      </vt:variant>
      <vt:variant>
        <vt:i4>7864331</vt:i4>
      </vt:variant>
      <vt:variant>
        <vt:i4>9</vt:i4>
      </vt:variant>
      <vt:variant>
        <vt:i4>0</vt:i4>
      </vt:variant>
      <vt:variant>
        <vt:i4>5</vt:i4>
      </vt:variant>
      <vt:variant>
        <vt:lpwstr>http://www.iwt.be/sites/default/files/publicaties/IWT_jaarverslag_2011_versie_met_bijlagen.pdf</vt:lpwstr>
      </vt:variant>
      <vt:variant>
        <vt:lpwstr/>
      </vt:variant>
      <vt:variant>
        <vt:i4>1441813</vt:i4>
      </vt:variant>
      <vt:variant>
        <vt:i4>6</vt:i4>
      </vt:variant>
      <vt:variant>
        <vt:i4>0</vt:i4>
      </vt:variant>
      <vt:variant>
        <vt:i4>5</vt:i4>
      </vt:variant>
      <vt:variant>
        <vt:lpwstr>http://www.ondernemerschap.be/Upload/Documents/STOIO/Studies/2008/2008-2.pdf</vt:lpwstr>
      </vt:variant>
      <vt:variant>
        <vt:lpwstr/>
      </vt:variant>
      <vt:variant>
        <vt:i4>65645</vt:i4>
      </vt:variant>
      <vt:variant>
        <vt:i4>3</vt:i4>
      </vt:variant>
      <vt:variant>
        <vt:i4>0</vt:i4>
      </vt:variant>
      <vt:variant>
        <vt:i4>5</vt:i4>
      </vt:variant>
      <vt:variant>
        <vt:lpwstr>http://www.iwt.be/sites/default/files/publicaties/iwt_studie72.pdf</vt:lpwstr>
      </vt:variant>
      <vt:variant>
        <vt:lpwstr/>
      </vt:variant>
      <vt:variant>
        <vt:i4>6488105</vt:i4>
      </vt:variant>
      <vt:variant>
        <vt:i4>0</vt:i4>
      </vt:variant>
      <vt:variant>
        <vt:i4>0</vt:i4>
      </vt:variant>
      <vt:variant>
        <vt:i4>5</vt:i4>
      </vt:variant>
      <vt:variant>
        <vt:lpwstr>\\srv39nas\Data\groepen\MA\37. Effectmeting bedrijfssteun\Samenvatting 3 studies\Executive summary impactmeting IWT-bedrijfssteun.docx</vt:lpwstr>
      </vt:variant>
      <vt:variant>
        <vt:lpwstr/>
      </vt:variant>
      <vt:variant>
        <vt:i4>7143516</vt:i4>
      </vt:variant>
      <vt:variant>
        <vt:i4>8645</vt:i4>
      </vt:variant>
      <vt:variant>
        <vt:i4>1037</vt:i4>
      </vt:variant>
      <vt:variant>
        <vt:i4>1</vt:i4>
      </vt:variant>
      <vt:variant>
        <vt:lpwstr>cid:image001.png@01CDCEE4.49051E70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Nathalie De Keyzer</cp:lastModifiedBy>
  <cp:revision>3</cp:revision>
  <cp:lastPrinted>2012-12-04T09:50:00Z</cp:lastPrinted>
  <dcterms:created xsi:type="dcterms:W3CDTF">2012-12-10T09:40:00Z</dcterms:created>
  <dcterms:modified xsi:type="dcterms:W3CDTF">2012-12-17T14:00:00Z</dcterms:modified>
</cp:coreProperties>
</file>