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84051">
        <w:rPr>
          <w:b w:val="0"/>
        </w:rPr>
        <w:t>26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84051">
        <w:rPr>
          <w:b w:val="0"/>
        </w:rPr>
        <w:t>25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84051">
        <w:rPr>
          <w:rStyle w:val="AntwoordNaamMinisterChar"/>
        </w:rPr>
        <w:t>gwenny de vroe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184051">
        <w:t>Kris Peeters</w:t>
      </w:r>
      <w:r w:rsidR="00FF119C">
        <w:t xml:space="preserve">, Vlaams minister, bevoegd voor </w:t>
      </w:r>
      <w:r w:rsidR="00F61D83">
        <w:t xml:space="preserve">het algemeen </w:t>
      </w:r>
      <w:r w:rsidR="00184051">
        <w:t>communicatiebeleid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5699E"/>
    <w:rsid w:val="00163472"/>
    <w:rsid w:val="00174411"/>
    <w:rsid w:val="0018405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9684B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2012-11-13T16:31:00Z</cp:lastPrinted>
  <dcterms:created xsi:type="dcterms:W3CDTF">2012-10-25T12:28:00Z</dcterms:created>
  <dcterms:modified xsi:type="dcterms:W3CDTF">2012-11-16T13:22:00Z</dcterms:modified>
</cp:coreProperties>
</file>