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E70482" w:rsidP="003E507B">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0430D1">
        <w:rPr>
          <w:szCs w:val="22"/>
        </w:rPr>
        <w:t>p</w:t>
      </w:r>
      <w:r w:rsidR="000430D1">
        <w:rPr>
          <w:noProof/>
          <w:szCs w:val="22"/>
        </w:rPr>
        <w:t>ascal smet</w:t>
      </w:r>
      <w:r>
        <w:rPr>
          <w:szCs w:val="22"/>
        </w:rPr>
        <w:fldChar w:fldCharType="end"/>
      </w:r>
      <w:bookmarkEnd w:id="0"/>
    </w:p>
    <w:bookmarkStart w:id="1" w:name="Text2"/>
    <w:p w:rsidR="000976E9" w:rsidRPr="00015BF7" w:rsidRDefault="00E70482" w:rsidP="003E507B">
      <w:pPr>
        <w:pStyle w:val="A-TitelMinister"/>
        <w:outlineLvl w:val="0"/>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0430D1">
        <w:t xml:space="preserve">vlaams minister van onderwijs, </w:t>
      </w:r>
      <w:r w:rsidR="00B21B45">
        <w:t>jeugd</w:t>
      </w:r>
      <w:r w:rsidR="000430D1">
        <w:t xml:space="preserve">, </w:t>
      </w:r>
      <w:r w:rsidR="00B21B45">
        <w:t>gelijke kansen</w:t>
      </w:r>
      <w:r w:rsidR="000430D1">
        <w:t xml:space="preserve"> en </w:t>
      </w:r>
      <w:proofErr w:type="spellStart"/>
      <w:r w:rsidR="000430D1">
        <w:t>brussel</w:t>
      </w:r>
      <w:proofErr w:type="spellEnd"/>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3E507B">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E70482"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E70482" w:rsidRPr="00326A58">
        <w:rPr>
          <w:b w:val="0"/>
        </w:rPr>
      </w:r>
      <w:r w:rsidR="00E70482" w:rsidRPr="00326A58">
        <w:rPr>
          <w:b w:val="0"/>
        </w:rPr>
        <w:fldChar w:fldCharType="separate"/>
      </w:r>
      <w:r w:rsidR="009F1E78">
        <w:rPr>
          <w:b w:val="0"/>
          <w:noProof/>
        </w:rPr>
        <w:t>77</w:t>
      </w:r>
      <w:r w:rsidR="00E70482"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E70482">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E70482">
        <w:rPr>
          <w:b w:val="0"/>
        </w:rPr>
      </w:r>
      <w:r w:rsidR="00E70482">
        <w:rPr>
          <w:b w:val="0"/>
        </w:rPr>
        <w:fldChar w:fldCharType="separate"/>
      </w:r>
      <w:r w:rsidR="009F1E78">
        <w:rPr>
          <w:b w:val="0"/>
          <w:noProof/>
        </w:rPr>
        <w:t>8</w:t>
      </w:r>
      <w:r w:rsidR="00E70482">
        <w:rPr>
          <w:b w:val="0"/>
        </w:rPr>
        <w:fldChar w:fldCharType="end"/>
      </w:r>
      <w:bookmarkEnd w:id="3"/>
      <w:r w:rsidRPr="00326A58">
        <w:rPr>
          <w:b w:val="0"/>
        </w:rPr>
        <w:t xml:space="preserve"> </w:t>
      </w:r>
      <w:bookmarkStart w:id="4" w:name="Dropdown2"/>
      <w:r w:rsidR="00E70482">
        <w:rPr>
          <w:b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E70482">
        <w:rPr>
          <w:b w:val="0"/>
        </w:rPr>
      </w:r>
      <w:r w:rsidR="00E70482">
        <w:rPr>
          <w:b w:val="0"/>
        </w:rPr>
        <w:fldChar w:fldCharType="end"/>
      </w:r>
      <w:bookmarkEnd w:id="4"/>
      <w:r w:rsidRPr="00326A58">
        <w:rPr>
          <w:b w:val="0"/>
        </w:rPr>
        <w:t xml:space="preserve"> </w:t>
      </w:r>
      <w:bookmarkStart w:id="5" w:name="Dropdown3"/>
      <w:r w:rsidR="00E70482">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E70482">
        <w:rPr>
          <w:b w:val="0"/>
        </w:rPr>
      </w:r>
      <w:r w:rsidR="00E70482">
        <w:rPr>
          <w:b w:val="0"/>
        </w:rPr>
        <w:fldChar w:fldCharType="end"/>
      </w:r>
      <w:bookmarkEnd w:id="5"/>
    </w:p>
    <w:p w:rsidR="000976E9" w:rsidRDefault="000976E9" w:rsidP="000976E9">
      <w:pPr>
        <w:rPr>
          <w:szCs w:val="22"/>
        </w:rPr>
      </w:pPr>
      <w:r>
        <w:rPr>
          <w:szCs w:val="22"/>
        </w:rPr>
        <w:t xml:space="preserve">van </w:t>
      </w:r>
      <w:r w:rsidR="00E70482"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E70482" w:rsidRPr="009D7043">
        <w:rPr>
          <w:rStyle w:val="AntwoordNaamMinisterChar"/>
        </w:rPr>
      </w:r>
      <w:r w:rsidR="00E70482" w:rsidRPr="009D7043">
        <w:rPr>
          <w:rStyle w:val="AntwoordNaamMinisterChar"/>
        </w:rPr>
        <w:fldChar w:fldCharType="separate"/>
      </w:r>
      <w:r w:rsidR="009F1E78">
        <w:rPr>
          <w:rStyle w:val="AntwoordNaamMinisterChar"/>
        </w:rPr>
        <w:t>katrien schryvers</w:t>
      </w:r>
      <w:r w:rsidR="00E70482"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FD5BF4" w:rsidRDefault="009F1E78" w:rsidP="005B6CA9">
      <w:pPr>
        <w:jc w:val="both"/>
      </w:pPr>
      <w:r>
        <w:lastRenderedPageBreak/>
        <w:t>Ik geef hieronder per aangehaald punt uit de motie betreffende het onderwijsbeleid een stand van zaken.</w:t>
      </w:r>
    </w:p>
    <w:p w:rsidR="009F1E78" w:rsidRDefault="009F1E78" w:rsidP="00FD5BF4"/>
    <w:p w:rsidR="00920D92" w:rsidRDefault="000D708B" w:rsidP="002967F2">
      <w:pPr>
        <w:numPr>
          <w:ilvl w:val="0"/>
          <w:numId w:val="4"/>
        </w:numPr>
        <w:jc w:val="both"/>
      </w:pPr>
      <w:r>
        <w:t>Ik bereid momenteel een visienota m</w:t>
      </w:r>
      <w:r w:rsidR="00512B87">
        <w:t>.</w:t>
      </w:r>
      <w:r>
        <w:t>b</w:t>
      </w:r>
      <w:r w:rsidR="00512B87">
        <w:t>.</w:t>
      </w:r>
      <w:r>
        <w:t>t</w:t>
      </w:r>
      <w:r w:rsidR="00512B87">
        <w:t>.</w:t>
      </w:r>
      <w:r>
        <w:t xml:space="preserve"> leerlingenbegeleiding voor waar de </w:t>
      </w:r>
      <w:r w:rsidR="009F1E78">
        <w:t>rol</w:t>
      </w:r>
      <w:r>
        <w:t xml:space="preserve"> en taakverdeling</w:t>
      </w:r>
      <w:r w:rsidR="009F1E78">
        <w:t xml:space="preserve"> van de scholen</w:t>
      </w:r>
      <w:r w:rsidR="00512B87">
        <w:t>, de pedagogische begeleidingsdiensten</w:t>
      </w:r>
      <w:r w:rsidR="009F1E78">
        <w:t xml:space="preserve"> en de </w:t>
      </w:r>
      <w:proofErr w:type="spellStart"/>
      <w:r w:rsidR="009F1E78">
        <w:t>CLB</w:t>
      </w:r>
      <w:r>
        <w:t>’s</w:t>
      </w:r>
      <w:proofErr w:type="spellEnd"/>
      <w:r w:rsidR="009F1E78">
        <w:t xml:space="preserve"> op het vlak van zorgbeleid zal uitgeklaard worden. Ik zal deze visie </w:t>
      </w:r>
      <w:r w:rsidR="009F1E78" w:rsidRPr="009F1E78">
        <w:t>aftoetsen binnen de Vlaamse Regering en voorleggen aan de VLOR en</w:t>
      </w:r>
      <w:r w:rsidR="00512B87">
        <w:t xml:space="preserve"> – voor wat het onderdeel schoolloopbaanbegeleiding betreft - </w:t>
      </w:r>
      <w:r w:rsidR="009F1E78" w:rsidRPr="009F1E78">
        <w:t xml:space="preserve">de taskforce </w:t>
      </w:r>
      <w:proofErr w:type="spellStart"/>
      <w:r w:rsidR="009F1E78" w:rsidRPr="009F1E78">
        <w:t>loopbaan</w:t>
      </w:r>
      <w:r w:rsidR="003905AB">
        <w:t>-</w:t>
      </w:r>
      <w:r w:rsidR="009F1E78" w:rsidRPr="009F1E78">
        <w:t>begeleiding</w:t>
      </w:r>
      <w:proofErr w:type="spellEnd"/>
      <w:r w:rsidR="009F1E78" w:rsidRPr="009F1E78">
        <w:t xml:space="preserve"> CLB-PBD-VDAB. </w:t>
      </w:r>
    </w:p>
    <w:p w:rsidR="009F1E78" w:rsidRDefault="009F1E78" w:rsidP="005B6CA9">
      <w:pPr>
        <w:ind w:left="360"/>
        <w:jc w:val="both"/>
      </w:pPr>
      <w:r>
        <w:t>Voor wat betreft de rol van scholen en CLB</w:t>
      </w:r>
      <w:r w:rsidR="000D708B">
        <w:t>’s</w:t>
      </w:r>
      <w:r>
        <w:t xml:space="preserve"> in Integrale Jeugdhulp, verwijs ik naar het ontwerpdecreet IJH dat </w:t>
      </w:r>
      <w:r w:rsidR="003905AB">
        <w:t>zeer binnenkort</w:t>
      </w:r>
      <w:r>
        <w:t xml:space="preserve"> zal voorgelegd w</w:t>
      </w:r>
      <w:r w:rsidR="005B6CA9">
        <w:t xml:space="preserve">orden aan de Vlaamse Regering. </w:t>
      </w:r>
      <w:r>
        <w:t xml:space="preserve">Het voorbereidend werk voor dit decreet is in nauw overleg tussen mijn collega </w:t>
      </w:r>
      <w:r w:rsidR="00512B87">
        <w:t>van welzijn en mezelf gebeurd. Ook bij de verdere concretisering in de uitvoeringsbesluiten zullen we samenwerken.</w:t>
      </w:r>
    </w:p>
    <w:p w:rsidR="005B6CA9" w:rsidRDefault="005B6CA9" w:rsidP="005B6CA9">
      <w:pPr>
        <w:ind w:left="360"/>
        <w:jc w:val="both"/>
      </w:pPr>
    </w:p>
    <w:p w:rsidR="003B22E8" w:rsidRDefault="003B22E8" w:rsidP="002967F2">
      <w:pPr>
        <w:numPr>
          <w:ilvl w:val="0"/>
          <w:numId w:val="4"/>
        </w:numPr>
        <w:jc w:val="both"/>
      </w:pPr>
      <w:proofErr w:type="spellStart"/>
      <w:r>
        <w:t>Overdiagnostisering</w:t>
      </w:r>
      <w:proofErr w:type="spellEnd"/>
      <w:r>
        <w:t xml:space="preserve"> en medicalisering zijn fenomenen die zich ruimer in de samenleving voordoen. Bijgevolg ontsnapt het onderwijs niet aan die trend. Er zijn duidelijke signalen van te snel diagnosticeren en labelen van leerlingen. Dit heeft onder andere te maken met het feit dat scholen een diagnose als voorwaarde stellen om specifieke zorgmaatregelen te nemen. Een andere reden is dat extra omkadering (GON, buitengewoon onderwijs) in een aantal gevallen pas geboden wordt</w:t>
      </w:r>
      <w:r w:rsidR="000D708B">
        <w:t>,</w:t>
      </w:r>
      <w:r>
        <w:t xml:space="preserve"> nadat een problematiek is benoemd. Er bestaat ook een ruim aanbod van buitenschoolse hulpverlening waar een formele diagnose een voorwaarde is voor hulp. Met andere woorden, er zijn heel wat factoren die mee verantwoordelijk zijn voor het feit dat kinderen en jongeren steeds vaker een label krijgen opgekleefd of waar heil gezocht wordt in medicatie om problemen het hoofd te bieden.</w:t>
      </w:r>
    </w:p>
    <w:p w:rsidR="003B22E8" w:rsidRDefault="003B22E8" w:rsidP="005B6CA9">
      <w:pPr>
        <w:ind w:left="360"/>
        <w:jc w:val="both"/>
      </w:pPr>
      <w:r>
        <w:t xml:space="preserve">Momenteel is een ontwerp van decreet in voorbereiding waarmee we willen ingrijpen op deze trend van </w:t>
      </w:r>
      <w:proofErr w:type="spellStart"/>
      <w:r>
        <w:t>overdiagnostisering</w:t>
      </w:r>
      <w:proofErr w:type="spellEnd"/>
      <w:r>
        <w:t xml:space="preserve">. We willen dit doen door onder andere de types van het buitengewoon onderwijs strikter te definiëren. Dit moet ertoe leiden dat het aantal diagnoses tot meer reële proporties worden teruggebracht. Bovendien willen we in de opdracht van de scholen inschrijven dat ze gepaste maatregelen moeten nemen om tegemoet te komen aan de specifieke onderwijsbehoeften van de leerlingen, ook wanneer er nog geen sprake is van een label. Van scholen en CLB’s wordt verwacht dat ze daarbij de principes van het handelingsgericht werken hanteren. In de handelingsgerichte diagnostische protocollen die binnen het project PRODIA door de sector van de CLB’s en onderwijs worden ontwikkeld staat deze visie voorop. Meer informatie is te vinden op www.prodiagnostiek.be. </w:t>
      </w:r>
    </w:p>
    <w:p w:rsidR="003B22E8" w:rsidRDefault="003B22E8" w:rsidP="005B6CA9">
      <w:pPr>
        <w:ind w:left="360"/>
        <w:jc w:val="both"/>
      </w:pPr>
      <w:r>
        <w:t xml:space="preserve">We zijn momenteel ook in overleg met de CLB sector en de Vlaams Vereniging voor Logopedisten om te komen tot een </w:t>
      </w:r>
      <w:r w:rsidR="00512B87">
        <w:t xml:space="preserve">gemeenschappelijk gedragen </w:t>
      </w:r>
      <w:r>
        <w:t>afsprak</w:t>
      </w:r>
      <w:r w:rsidR="00512B87">
        <w:t>enkader</w:t>
      </w:r>
      <w:r>
        <w:t xml:space="preserve"> over de inzet van buitenschoolse hulp. We hopen dat dit kan leiden tot een inspiratiebron voor therapeuten, CLB-medewerkers, scholen en ouders over hoe om te gaan met de inzet van buitenschoolse hulp</w:t>
      </w:r>
      <w:r w:rsidR="00512B87">
        <w:t>, ook in andere sectoren dan logopedie</w:t>
      </w:r>
      <w:r>
        <w:t>.</w:t>
      </w:r>
    </w:p>
    <w:p w:rsidR="009F1E78" w:rsidRDefault="003B22E8" w:rsidP="005B6CA9">
      <w:pPr>
        <w:ind w:left="360"/>
        <w:jc w:val="both"/>
      </w:pPr>
      <w:r>
        <w:t xml:space="preserve">Wat de medicalisering betreft zullen we deze problematiek aankaarten op een overleg dat we op korte termijn hebben met de medische sector. </w:t>
      </w:r>
    </w:p>
    <w:p w:rsidR="005B6CA9" w:rsidRDefault="005B6CA9" w:rsidP="005B6CA9">
      <w:pPr>
        <w:ind w:left="360"/>
        <w:jc w:val="both"/>
      </w:pPr>
    </w:p>
    <w:p w:rsidR="007A5AF8" w:rsidRPr="00814E00" w:rsidRDefault="007A5AF8" w:rsidP="005B6CA9">
      <w:pPr>
        <w:numPr>
          <w:ilvl w:val="0"/>
          <w:numId w:val="4"/>
        </w:numPr>
        <w:jc w:val="both"/>
        <w:rPr>
          <w:i/>
        </w:rPr>
      </w:pPr>
      <w:r>
        <w:t>Uit het</w:t>
      </w:r>
      <w:r w:rsidR="004F011C" w:rsidRPr="004F011C">
        <w:t xml:space="preserve"> OBPWO 09.02 “Haalbaarheidsstudie van een monitoringssysteem voor antisociaal gedrag en onveiligheidsgevoelens”</w:t>
      </w:r>
      <w:r w:rsidR="00014ACC">
        <w:t xml:space="preserve"> </w:t>
      </w:r>
      <w:r>
        <w:t>bleek</w:t>
      </w:r>
      <w:r w:rsidR="004F011C" w:rsidRPr="004F011C">
        <w:t xml:space="preserve"> dat de mate van delinquent gedrag zich goed en de onveiligheidsgevoelens zich redelijk goed laten voorspellen. Aan de hand van het profiel van de </w:t>
      </w:r>
      <w:r w:rsidR="004F011C" w:rsidRPr="004F011C">
        <w:lastRenderedPageBreak/>
        <w:t xml:space="preserve">school, kan men voorspellen welke scholen een grotere kans hebben op een hoge mate van delinquent gedrag of een groter </w:t>
      </w:r>
      <w:r>
        <w:t xml:space="preserve">onveiligheidsgevoel </w:t>
      </w:r>
      <w:r w:rsidR="004F011C" w:rsidRPr="004F011C">
        <w:t>onder de leerkrachten.</w:t>
      </w:r>
      <w:r w:rsidR="00512B87">
        <w:t xml:space="preserve"> </w:t>
      </w:r>
    </w:p>
    <w:p w:rsidR="00512B87" w:rsidRDefault="00814E00" w:rsidP="005B6CA9">
      <w:pPr>
        <w:pStyle w:val="Kop1"/>
        <w:spacing w:before="0" w:after="0"/>
        <w:ind w:left="360"/>
        <w:jc w:val="both"/>
        <w:rPr>
          <w:rFonts w:ascii="Times New Roman" w:hAnsi="Times New Roman" w:cs="Times New Roman"/>
          <w:b w:val="0"/>
          <w:bCs w:val="0"/>
          <w:kern w:val="0"/>
          <w:sz w:val="22"/>
          <w:szCs w:val="24"/>
        </w:rPr>
      </w:pPr>
      <w:r>
        <w:rPr>
          <w:rFonts w:ascii="Times New Roman" w:hAnsi="Times New Roman" w:cs="Times New Roman"/>
          <w:b w:val="0"/>
          <w:bCs w:val="0"/>
          <w:kern w:val="0"/>
          <w:sz w:val="22"/>
          <w:szCs w:val="24"/>
        </w:rPr>
        <w:t xml:space="preserve">Momenteel loopt er ook het OBPWO </w:t>
      </w:r>
      <w:r w:rsidRPr="00814E00">
        <w:rPr>
          <w:rFonts w:ascii="Times New Roman" w:hAnsi="Times New Roman" w:cs="Times New Roman"/>
          <w:b w:val="0"/>
          <w:bCs w:val="0"/>
          <w:kern w:val="0"/>
          <w:sz w:val="22"/>
          <w:szCs w:val="24"/>
        </w:rPr>
        <w:t>11.03 </w:t>
      </w:r>
      <w:r w:rsidRPr="00814E00">
        <w:rPr>
          <w:rFonts w:ascii="Times New Roman" w:hAnsi="Times New Roman" w:cs="Times New Roman"/>
          <w:b w:val="0"/>
          <w:bCs w:val="0"/>
          <w:i/>
          <w:kern w:val="0"/>
          <w:sz w:val="22"/>
          <w:szCs w:val="24"/>
        </w:rPr>
        <w:t>“ Van occasionele tot reguliere spijbelaar: een onderzoek naar het profiel van spijbelaars en de invloed van school en omgeving op spijbelen.”</w:t>
      </w:r>
      <w:r>
        <w:rPr>
          <w:rFonts w:ascii="Times New Roman" w:hAnsi="Times New Roman" w:cs="Times New Roman"/>
          <w:b w:val="0"/>
          <w:bCs w:val="0"/>
          <w:kern w:val="0"/>
          <w:sz w:val="22"/>
          <w:szCs w:val="24"/>
        </w:rPr>
        <w:t xml:space="preserve"> waarmee we een zicht willen krijgen op de verschillende profielen van spijbelaars en de aanpak er van. Dit onderzoek zou in het voorjaar 2014 afgerond worden. </w:t>
      </w:r>
    </w:p>
    <w:p w:rsidR="00512B87" w:rsidRDefault="00512B87" w:rsidP="005B6CA9">
      <w:pPr>
        <w:ind w:left="360"/>
        <w:jc w:val="both"/>
      </w:pPr>
      <w:r w:rsidRPr="00512B87">
        <w:t xml:space="preserve">Daarnaast worden binnenkort via Discimus alle afwezigheidsgegevens </w:t>
      </w:r>
      <w:r>
        <w:t xml:space="preserve">centraal </w:t>
      </w:r>
      <w:r w:rsidRPr="00512B87">
        <w:t xml:space="preserve">verzameld van leerlingen in het lager en het secundair onderwijs. We bekijken momenteel hoe we al dit soort gegevens op termijn aan de scholen kunnen aanleveren, zodat zij hier zelf hiermee de slag kunnen.  </w:t>
      </w:r>
    </w:p>
    <w:p w:rsidR="005B6CA9" w:rsidRPr="00512B87" w:rsidRDefault="005B6CA9" w:rsidP="005B6CA9">
      <w:pPr>
        <w:ind w:left="360"/>
        <w:jc w:val="both"/>
      </w:pPr>
    </w:p>
    <w:p w:rsidR="009F1E78" w:rsidRDefault="009F1E78" w:rsidP="005B6CA9">
      <w:pPr>
        <w:numPr>
          <w:ilvl w:val="0"/>
          <w:numId w:val="4"/>
        </w:numPr>
        <w:jc w:val="both"/>
      </w:pPr>
      <w:r>
        <w:t>Zoals u weet startte het nieuwe omkaderingssysteem in het basisonderwijs op 1 september 2012. Ik maak</w:t>
      </w:r>
      <w:r w:rsidR="00814E00">
        <w:t>te</w:t>
      </w:r>
      <w:r>
        <w:t xml:space="preserve"> hiervoor in zeer moeilijke budgettaire tijden een structureel budget vrij van 52,7 </w:t>
      </w:r>
      <w:proofErr w:type="spellStart"/>
      <w:r>
        <w:t>mio</w:t>
      </w:r>
      <w:proofErr w:type="spellEnd"/>
      <w:r>
        <w:t xml:space="preserve"> euro. Dat is echt een zware inspanning op dit moment. Deze investering betekent dat er ongeveer 1.300 (kleuter)onderwijzers extra tewerkgesteld kunnen worden in het basisonderwijs. De omkadering in het kleuteronderwijs stijgt met 8,7% en in het lager onderwijs met 1,3%.</w:t>
      </w:r>
    </w:p>
    <w:p w:rsidR="009F1E78" w:rsidRDefault="009F1E78" w:rsidP="005B6CA9">
      <w:pPr>
        <w:ind w:left="360"/>
        <w:jc w:val="both"/>
      </w:pPr>
      <w:r>
        <w:t xml:space="preserve">Met dit nieuwe omkaderingssysteem realiseer ik 2 grote doelstellingen: enerzijds de lat gelijk leggen in omkadering voor het kleuter- en het lager onderwijs en anderzijds een groter deel van de omkaderingsmiddelen toekennen op basis van leerlingenkenmerken. </w:t>
      </w:r>
    </w:p>
    <w:p w:rsidR="009F1E78" w:rsidRDefault="009F1E78" w:rsidP="005B6CA9">
      <w:pPr>
        <w:ind w:left="360"/>
        <w:jc w:val="both"/>
      </w:pPr>
      <w:r>
        <w:t>Het is daarnaast evident dat in het volledige basisonderwijs blijvend aandacht dient te gaan naar het zorg- en gelijkekansenbeleid van de scholen. Scholen dienen dit beleid dan ook op te nemen in hun schoolwerkplan.</w:t>
      </w:r>
    </w:p>
    <w:p w:rsidR="005B6CA9" w:rsidRDefault="005B6CA9" w:rsidP="005B6CA9">
      <w:pPr>
        <w:ind w:left="360"/>
        <w:jc w:val="both"/>
      </w:pPr>
    </w:p>
    <w:p w:rsidR="00512B87" w:rsidRDefault="00512B87" w:rsidP="00512B87">
      <w:pPr>
        <w:numPr>
          <w:ilvl w:val="0"/>
          <w:numId w:val="4"/>
        </w:numPr>
        <w:jc w:val="both"/>
      </w:pPr>
      <w:r>
        <w:t xml:space="preserve">Het decreet betreffende de centra voor leerlingenbegeleiding van 1 december 1998 stelt in haar art. 22. Vandaag al: “Het centrum begeleidt prioritair en intensief die leerlingen die in hun ontwikkeling en leerproces bedreigd worden. Het centrum besteedt daarbij bijzondere aandacht aan die leerlingen die door hun sociale achtergrond en leefsituatie </w:t>
      </w:r>
      <w:proofErr w:type="spellStart"/>
      <w:r>
        <w:t>leerbedreigd</w:t>
      </w:r>
      <w:proofErr w:type="spellEnd"/>
      <w:r>
        <w:t xml:space="preserve"> zijn.” </w:t>
      </w:r>
    </w:p>
    <w:p w:rsidR="009F1E78" w:rsidRDefault="004F011C" w:rsidP="005B6CA9">
      <w:pPr>
        <w:ind w:left="360"/>
        <w:jc w:val="both"/>
      </w:pPr>
      <w:r>
        <w:t xml:space="preserve">Zie </w:t>
      </w:r>
      <w:r w:rsidR="00512B87">
        <w:t xml:space="preserve">verder </w:t>
      </w:r>
      <w:r>
        <w:t>hieronder bij vraag f</w:t>
      </w:r>
    </w:p>
    <w:p w:rsidR="005B6CA9" w:rsidRDefault="005B6CA9" w:rsidP="005B6CA9">
      <w:pPr>
        <w:ind w:left="360"/>
        <w:jc w:val="both"/>
      </w:pPr>
    </w:p>
    <w:p w:rsidR="003B22E8" w:rsidRDefault="003B22E8" w:rsidP="002967F2">
      <w:pPr>
        <w:numPr>
          <w:ilvl w:val="0"/>
          <w:numId w:val="4"/>
        </w:numPr>
        <w:jc w:val="both"/>
      </w:pPr>
      <w:r>
        <w:t xml:space="preserve">In 2012 heb ik een subsidie uitgetrokken voor 9 laagdrempelige projecten preventieve gezinsondersteuning met aandacht voor kleuterparticipatie en ouderbetrokkenheid, i.s.m. ministers </w:t>
      </w:r>
      <w:proofErr w:type="spellStart"/>
      <w:r>
        <w:t>Vandeurzen</w:t>
      </w:r>
      <w:proofErr w:type="spellEnd"/>
      <w:r>
        <w:t xml:space="preserve">, Vanden </w:t>
      </w:r>
      <w:proofErr w:type="spellStart"/>
      <w:r>
        <w:t>Bossche</w:t>
      </w:r>
      <w:proofErr w:type="spellEnd"/>
      <w:r>
        <w:t xml:space="preserve"> en Lieten. Het is de bedoeling dat deze </w:t>
      </w:r>
      <w:proofErr w:type="spellStart"/>
      <w:r>
        <w:t>nieuwsoortige</w:t>
      </w:r>
      <w:proofErr w:type="spellEnd"/>
      <w:r>
        <w:t xml:space="preserve">, hybride projecten bij wijze van experiment een tijdlang lopen en dat we ze vanuit de vier beleidsdomeinen nauw opvolgen en evalueren. Op die manier moeten we een goed zicht krijgen op de impact, bijvoorbeeld met betrekking tot kleuterparticipatie, en kunnen we modellen van goede praktijk distilleren. Dit initiatief is nog te pril om al de nodige </w:t>
      </w:r>
      <w:proofErr w:type="spellStart"/>
      <w:r>
        <w:t>evidence</w:t>
      </w:r>
      <w:proofErr w:type="spellEnd"/>
      <w:r>
        <w:t>-base te genereren en uitsluitsel over inbedding te kunnen geven.</w:t>
      </w:r>
    </w:p>
    <w:p w:rsidR="003B22E8" w:rsidRDefault="003B22E8" w:rsidP="005B6CA9">
      <w:pPr>
        <w:ind w:left="360"/>
        <w:jc w:val="both"/>
      </w:pPr>
      <w:r>
        <w:t xml:space="preserve">Los daarvan is het relevant hier te wijzen op de verankering van de </w:t>
      </w:r>
      <w:r w:rsidRPr="000A7273">
        <w:t xml:space="preserve">studenttutoringprojecten </w:t>
      </w:r>
      <w:r>
        <w:t xml:space="preserve">in het </w:t>
      </w:r>
      <w:r w:rsidRPr="000A7273">
        <w:t>hoger</w:t>
      </w:r>
      <w:r>
        <w:t xml:space="preserve"> </w:t>
      </w:r>
      <w:r w:rsidRPr="000A7273">
        <w:t>onderwijs</w:t>
      </w:r>
      <w:r>
        <w:t>,</w:t>
      </w:r>
      <w:r w:rsidRPr="000A7273">
        <w:t xml:space="preserve"> </w:t>
      </w:r>
      <w:r>
        <w:t xml:space="preserve">die sinds 2010 een feit is. In het voorjaar 2013 komt de derde jaarlijkse oproep voor </w:t>
      </w:r>
      <w:proofErr w:type="spellStart"/>
      <w:r>
        <w:t>studenttutoringprojecten</w:t>
      </w:r>
      <w:proofErr w:type="spellEnd"/>
      <w:r>
        <w:t xml:space="preserve"> waarop </w:t>
      </w:r>
      <w:proofErr w:type="spellStart"/>
      <w:r>
        <w:t>hogeronderwijsinstellingen</w:t>
      </w:r>
      <w:proofErr w:type="spellEnd"/>
      <w:r>
        <w:t xml:space="preserve"> kunnen intekenen. De subsidie stimuleert de praktijk waarbij studenten hoger onderwijs op regelmatige basis kinderen en jongeren uit kwetsbare gezinnen op een kwaliteitsvolle manier ondersteunen bij het leren </w:t>
      </w:r>
      <w:proofErr w:type="spellStart"/>
      <w:r>
        <w:t>leren</w:t>
      </w:r>
      <w:proofErr w:type="spellEnd"/>
      <w:r>
        <w:t xml:space="preserve">. </w:t>
      </w:r>
    </w:p>
    <w:p w:rsidR="005B6CA9" w:rsidRDefault="005B6CA9" w:rsidP="005B6CA9">
      <w:pPr>
        <w:ind w:left="360"/>
        <w:jc w:val="both"/>
      </w:pPr>
    </w:p>
    <w:p w:rsidR="00D834AB" w:rsidRDefault="00D834AB" w:rsidP="002967F2">
      <w:pPr>
        <w:numPr>
          <w:ilvl w:val="0"/>
          <w:numId w:val="4"/>
        </w:numPr>
        <w:jc w:val="both"/>
      </w:pPr>
      <w:r>
        <w:t xml:space="preserve">Ik sloot met de drie </w:t>
      </w:r>
      <w:r w:rsidRPr="00814E00">
        <w:rPr>
          <w:bCs/>
        </w:rPr>
        <w:t>ouderkoepelverenigingen</w:t>
      </w:r>
      <w:r>
        <w:t xml:space="preserve"> in 2011 een nieuwe beheersovereenko</w:t>
      </w:r>
      <w:r w:rsidR="00D40E17">
        <w:t>mst af voor de periode 2011-2014</w:t>
      </w:r>
      <w:r>
        <w:t xml:space="preserve">. Naast hun basiswerking vroeg ik hen om zich te focussen op enkele nieuwe thema’s zoals het opzetten van een goed onthaalbeleid, acties uit te werken omtrent het nieuwe inschrijvingsrecht en de talennota. Deze thema’s kunnen in de loop van de beheersovereenkomst jaarlijks gewijzigd/uitgebreid worden. Tot slot dring ik er bij de ouderkoepelverenigingen op aan om een grotere betrokkenheid van alle ouders na te streven.  </w:t>
      </w:r>
      <w:r w:rsidRPr="00D834AB">
        <w:t xml:space="preserve">Dit </w:t>
      </w:r>
      <w:r>
        <w:t>school</w:t>
      </w:r>
      <w:r w:rsidRPr="00D834AB">
        <w:t xml:space="preserve">jaar zal ik de ouderparticipatie verder versterken. Hiervoor vraag ik de ouderkoepels maximaal in te zetten op de ondersteuning van ouderraden. Daarnaast wens ik </w:t>
      </w:r>
      <w:r w:rsidR="00512B87">
        <w:t xml:space="preserve">ondermeer </w:t>
      </w:r>
      <w:r w:rsidRPr="00D834AB">
        <w:t>de ouderraad - via de wijziging van het participatiedecreet - bij adviezen op eigen initiatief, recht op een gemotiveerd antwoord te geven.</w:t>
      </w:r>
    </w:p>
    <w:p w:rsidR="005B6CA9" w:rsidRDefault="005B6CA9" w:rsidP="005B6CA9">
      <w:pPr>
        <w:jc w:val="both"/>
      </w:pPr>
    </w:p>
    <w:p w:rsidR="00DF2E81" w:rsidRDefault="00DF2E81" w:rsidP="002967F2">
      <w:pPr>
        <w:numPr>
          <w:ilvl w:val="0"/>
          <w:numId w:val="4"/>
        </w:numPr>
        <w:jc w:val="both"/>
      </w:pPr>
      <w:r>
        <w:t xml:space="preserve">Zoals ik hier al eerder heb vermeld, heeft een domeinoverschrijdende werkgroep op mijn vraag een nota voorbereid die antwoordt op de vraag hoe we vanuit de Vlaamse Overheid één </w:t>
      </w:r>
      <w:r>
        <w:lastRenderedPageBreak/>
        <w:t>coherent Brede Schoolbeleid kunnen voeren, rekening houdend met de eigenheid van alle beleidsdomeinen. Brede School is per definitie een lokaal verhaal; de noden kunnen lokaal erg verschillen en jeugdzorg kan zeker een partner zijn in het Brede Schoolverhaal. Precies omwille van die lokale differentiatie, wil ik samen met mijn collega’s in de Vlaamse Regering eerder het ontstaan en de werking van Brede Scholen stimuleren dan te reguleren hoe Brede Scholen moeten werken.</w:t>
      </w:r>
    </w:p>
    <w:p w:rsidR="00DF2E81" w:rsidRDefault="00DF2E81" w:rsidP="005B6CA9">
      <w:pPr>
        <w:ind w:left="360"/>
        <w:jc w:val="both"/>
      </w:pPr>
      <w:r>
        <w:t>Op dit ogenblik stem ik met mijn collega-ministers verder af over de ontwerptekst van de werkgroep in de hoop om in de nabije toekomst een gezamenlijke tekst van de regering te lanceren.</w:t>
      </w:r>
    </w:p>
    <w:p w:rsidR="002967F2" w:rsidRDefault="002967F2" w:rsidP="002967F2">
      <w:pPr>
        <w:ind w:left="720"/>
        <w:jc w:val="both"/>
      </w:pPr>
    </w:p>
    <w:p w:rsidR="007320A9" w:rsidRDefault="007320A9" w:rsidP="002967F2">
      <w:pPr>
        <w:numPr>
          <w:ilvl w:val="0"/>
          <w:numId w:val="4"/>
        </w:numPr>
        <w:jc w:val="both"/>
      </w:pPr>
    </w:p>
    <w:p w:rsidR="003B22E8" w:rsidRDefault="007320A9" w:rsidP="005B6CA9">
      <w:pPr>
        <w:numPr>
          <w:ilvl w:val="1"/>
          <w:numId w:val="4"/>
        </w:numPr>
        <w:jc w:val="both"/>
      </w:pPr>
      <w:r>
        <w:t>Hiervoor verwijs ik naar het antwoord op vraag a)</w:t>
      </w:r>
    </w:p>
    <w:p w:rsidR="00E844E4" w:rsidRDefault="007320A9" w:rsidP="002967F2">
      <w:pPr>
        <w:numPr>
          <w:ilvl w:val="1"/>
          <w:numId w:val="4"/>
        </w:numPr>
        <w:jc w:val="both"/>
      </w:pPr>
      <w:r>
        <w:t xml:space="preserve">Preventieve gezondheidszorg is één van de vier begeleidingsdomeinen van de CLB. De invulling hiervan gebeurt in overleg met mijn collega van Welzijn en Volksgezondheid.  </w:t>
      </w:r>
    </w:p>
    <w:p w:rsidR="00257992" w:rsidRDefault="007320A9" w:rsidP="002967F2">
      <w:pPr>
        <w:numPr>
          <w:ilvl w:val="1"/>
          <w:numId w:val="4"/>
        </w:numPr>
        <w:jc w:val="both"/>
      </w:pPr>
      <w:r w:rsidRPr="007320A9">
        <w:t xml:space="preserve">Mijn diensten plannen de samenwerking met Kind en Gezin te intensifiëren en structureler vorm te geven. Dat moet voor diverse gezamenlijke uitdagingen een meerwaarde betekenen. </w:t>
      </w:r>
      <w:r w:rsidR="00E844E4">
        <w:t>Ik volg in dat verband ondermeer de initiatieven om te komen tot zgn. Huizen van het Kind mee op.</w:t>
      </w:r>
    </w:p>
    <w:p w:rsidR="0078171E" w:rsidRDefault="0078171E" w:rsidP="002967F2">
      <w:pPr>
        <w:numPr>
          <w:ilvl w:val="1"/>
          <w:numId w:val="4"/>
        </w:numPr>
        <w:jc w:val="both"/>
      </w:pPr>
      <w:r>
        <w:t>Hiervoor verwijs</w:t>
      </w:r>
      <w:r w:rsidR="00F637E9">
        <w:t xml:space="preserve"> ik naar het antwoord op vraag a</w:t>
      </w:r>
      <w:r>
        <w:t>)</w:t>
      </w:r>
    </w:p>
    <w:p w:rsidR="0078171E" w:rsidRDefault="0078171E" w:rsidP="002967F2">
      <w:pPr>
        <w:numPr>
          <w:ilvl w:val="1"/>
          <w:numId w:val="4"/>
        </w:numPr>
        <w:jc w:val="both"/>
      </w:pPr>
      <w:r>
        <w:t>In het kader van het nieuwe decreet IJH en de inwerk</w:t>
      </w:r>
      <w:r w:rsidR="003905AB">
        <w:t>ing</w:t>
      </w:r>
      <w:r>
        <w:t xml:space="preserve">treding van de intersectorale toegangspoort in januari 2014, wordt momenteel de laatste hand gelegd aan een nieuwe modulering voor alle sectoren binnen IJH.  Mijn collega van welzijn trekt dit dossier.  </w:t>
      </w:r>
      <w:r w:rsidR="00E844E4">
        <w:t xml:space="preserve">Het betreft in ieder geval een vereenvoudiging van het bestaande systeem. </w:t>
      </w:r>
    </w:p>
    <w:p w:rsidR="0078171E" w:rsidRDefault="0078171E" w:rsidP="002967F2">
      <w:pPr>
        <w:numPr>
          <w:ilvl w:val="1"/>
          <w:numId w:val="4"/>
        </w:numPr>
        <w:jc w:val="both"/>
      </w:pPr>
      <w:r>
        <w:t>Zie het antwoord bij vraag c)</w:t>
      </w:r>
    </w:p>
    <w:p w:rsidR="00E844E4" w:rsidRDefault="00E844E4" w:rsidP="00E844E4">
      <w:pPr>
        <w:numPr>
          <w:ilvl w:val="1"/>
          <w:numId w:val="4"/>
        </w:numPr>
        <w:jc w:val="both"/>
      </w:pPr>
      <w:r>
        <w:t xml:space="preserve">De competentieontwikkeling en begeleiding van de medewerkers in de centra vormt onderdeel van het personeelsbeleid van de individuele </w:t>
      </w:r>
      <w:proofErr w:type="spellStart"/>
      <w:r>
        <w:t>CLB’s</w:t>
      </w:r>
      <w:proofErr w:type="spellEnd"/>
      <w:r>
        <w:t xml:space="preserve">.  Hiervoor kan beroep gedaan worden op de pedagogische begeleidingsdiensten, die een eigen aanbod aan vorming en nascholing hebben en die ook kunnen doorverwijzen naar andere relevante vormingsinitiatieven. Daarnaast worden er, op initiatief van of ondersteund door de overheid, ook heel wat vormingsmomenten </w:t>
      </w:r>
      <w:proofErr w:type="spellStart"/>
      <w:r>
        <w:t>georganiseerd.Zo</w:t>
      </w:r>
      <w:proofErr w:type="spellEnd"/>
      <w:r>
        <w:t xml:space="preserve"> wordt er momenteel een vormingsplan omtrent het nieuwe decreet IJH uitgewerkt, in overleg met de CLB-sector. </w:t>
      </w:r>
    </w:p>
    <w:p w:rsidR="00E844E4" w:rsidRDefault="00E844E4" w:rsidP="005B6CA9">
      <w:pPr>
        <w:ind w:left="1080"/>
        <w:jc w:val="both"/>
      </w:pPr>
      <w:r>
        <w:t xml:space="preserve">Ook ondersteun ik ook al gedurende een aantal jaren projecten zoals bv. het project ‘Protocollering van de diagnostiek’, waarbij </w:t>
      </w:r>
      <w:r w:rsidRPr="0078171E">
        <w:t>handelingsgerichte diagnostische protocollen worden ontwikkeld</w:t>
      </w:r>
      <w:r>
        <w:t xml:space="preserve">. Deze protocollen ondersteunen de CLB-medewerkers in hun werk.  </w:t>
      </w:r>
    </w:p>
    <w:p w:rsidR="005B6CA9" w:rsidRDefault="005B6CA9" w:rsidP="005B6CA9">
      <w:pPr>
        <w:ind w:left="1080"/>
        <w:jc w:val="both"/>
      </w:pPr>
    </w:p>
    <w:p w:rsidR="003B22E8" w:rsidRDefault="003B22E8" w:rsidP="002967F2">
      <w:pPr>
        <w:numPr>
          <w:ilvl w:val="0"/>
          <w:numId w:val="4"/>
        </w:numPr>
        <w:jc w:val="both"/>
      </w:pPr>
      <w:r>
        <w:t>Ik verwijs voor deze vraag naar het antwoord op vraag b). Aanvullend kan ik hier nog stellen dat het de bedoeling is om bij de oriëntering naar het buitengewoon onderwijs ook rekening te houden met een analyse van de maatregelen die al genomen zijn in het gewoon onderwijs. Het kan niet dat een ontoereikend zorgbeleid in een school mede oorzaak is van een doorverwijzing. Ik wil het kwaliteitstoezicht op het doorverwijsgedrag van de CLB’s versterken. Op basis van een betere kwantitatieve monitoring moet de onderwijsinspectie zowel binnen de reguliere doorlichtingen als op ad hoc basis een beoordeling kunnen doen van het verwijsgedrag van de centra.</w:t>
      </w:r>
    </w:p>
    <w:p w:rsidR="003B22E8" w:rsidRDefault="003B22E8" w:rsidP="005B6CA9">
      <w:pPr>
        <w:ind w:left="360"/>
        <w:jc w:val="both"/>
      </w:pPr>
      <w:r>
        <w:t>Waar het gaat over classificerende diagnostiek wens ik dat de onderwijsinspectie daarover afstemt met de zorginspectie.</w:t>
      </w:r>
    </w:p>
    <w:p w:rsidR="005B6CA9" w:rsidRDefault="005B6CA9" w:rsidP="005B6CA9">
      <w:pPr>
        <w:ind w:left="360"/>
        <w:jc w:val="both"/>
      </w:pPr>
    </w:p>
    <w:p w:rsidR="003B22E8" w:rsidRDefault="003B22E8" w:rsidP="00E844E4">
      <w:pPr>
        <w:numPr>
          <w:ilvl w:val="0"/>
          <w:numId w:val="4"/>
        </w:numPr>
        <w:jc w:val="both"/>
      </w:pPr>
      <w:r>
        <w:t xml:space="preserve">Over de situatie van de internaten in het algemeen en de internaten binnen het Gemeenschapsonderwijs die jongeren uit het buitengewoon onderwijs opvangen in het bijzonder zijn er me in het recente verleden verschillende vragen gesteld. </w:t>
      </w:r>
    </w:p>
    <w:p w:rsidR="003B22E8" w:rsidRDefault="003B22E8" w:rsidP="002967F2">
      <w:pPr>
        <w:numPr>
          <w:ilvl w:val="0"/>
          <w:numId w:val="5"/>
        </w:numPr>
        <w:jc w:val="both"/>
      </w:pPr>
      <w:r>
        <w:t>Commissie voor Onderwijs en Gelijke Kansen, Vergadering van 14/06/2012, Vraag om uitleg van mevrouw Helga Stevens - 1804 (2011-2012)</w:t>
      </w:r>
    </w:p>
    <w:p w:rsidR="003B22E8" w:rsidRDefault="003B22E8" w:rsidP="002967F2">
      <w:pPr>
        <w:numPr>
          <w:ilvl w:val="0"/>
          <w:numId w:val="5"/>
        </w:numPr>
        <w:jc w:val="both"/>
      </w:pPr>
      <w:r>
        <w:t xml:space="preserve">Commissie voor Onderwijs en Gelijke Kansen, Vergadering van 24/05/2012, Vragen om uitleg van de heer Peter </w:t>
      </w:r>
      <w:proofErr w:type="spellStart"/>
      <w:r>
        <w:t>Gysbrechts</w:t>
      </w:r>
      <w:proofErr w:type="spellEnd"/>
      <w:r>
        <w:t xml:space="preserve"> - 1818 (2011-2012), de heer Wim </w:t>
      </w:r>
      <w:proofErr w:type="spellStart"/>
      <w:r>
        <w:t>Wienen</w:t>
      </w:r>
      <w:proofErr w:type="spellEnd"/>
      <w:r>
        <w:t xml:space="preserve"> - 1823 (2011-2012)en mevrouw Vera Celis - 1897 (2011-2012)</w:t>
      </w:r>
    </w:p>
    <w:p w:rsidR="003B22E8" w:rsidRDefault="003B22E8" w:rsidP="002967F2">
      <w:pPr>
        <w:numPr>
          <w:ilvl w:val="0"/>
          <w:numId w:val="5"/>
        </w:numPr>
        <w:jc w:val="both"/>
      </w:pPr>
      <w:r>
        <w:t xml:space="preserve">Schriftelijke vraag 666 van, 6 juli 2012 van volksvertegenwoordiger Kathleen Deckx </w:t>
      </w:r>
    </w:p>
    <w:p w:rsidR="003B22E8" w:rsidRDefault="003B22E8" w:rsidP="002967F2">
      <w:pPr>
        <w:numPr>
          <w:ilvl w:val="0"/>
          <w:numId w:val="5"/>
        </w:numPr>
        <w:jc w:val="both"/>
      </w:pPr>
      <w:r>
        <w:t>Schriftelijke vraag 735 van 5 september 2012 van volksvertegenwoordiger Jos De Meyer</w:t>
      </w:r>
    </w:p>
    <w:p w:rsidR="003B22E8" w:rsidRDefault="003B22E8" w:rsidP="002967F2">
      <w:pPr>
        <w:numPr>
          <w:ilvl w:val="0"/>
          <w:numId w:val="5"/>
        </w:numPr>
        <w:jc w:val="both"/>
      </w:pPr>
      <w:r>
        <w:lastRenderedPageBreak/>
        <w:t>Actualiteitsdebat op 03/10/2012 over de onderfinanciering van de internaten voor buitengewoon onderwijs en de opvangcentra in het Gemeenschapsonderwijs (GO!)</w:t>
      </w:r>
    </w:p>
    <w:p w:rsidR="003B22E8" w:rsidRDefault="003B22E8" w:rsidP="002967F2">
      <w:pPr>
        <w:numPr>
          <w:ilvl w:val="0"/>
          <w:numId w:val="5"/>
        </w:numPr>
        <w:jc w:val="both"/>
      </w:pPr>
      <w:r>
        <w:t>Commissie voor Onderwijs en Gelijke Kansen, Vergadering van 18/10/2012, Vraag om uitleg van de heer Jos De Meyer – 70 (2012-2013)</w:t>
      </w:r>
    </w:p>
    <w:p w:rsidR="003B22E8" w:rsidRDefault="003B22E8" w:rsidP="002967F2">
      <w:pPr>
        <w:numPr>
          <w:ilvl w:val="0"/>
          <w:numId w:val="5"/>
        </w:numPr>
        <w:jc w:val="both"/>
      </w:pPr>
      <w:r>
        <w:t xml:space="preserve">Commissie voor Onderwijs en Gelijke Kansen, Vergadering van 06/12/2012, Vraag om uitleg van mevrouw Helga Stevens </w:t>
      </w:r>
      <w:r w:rsidR="00E844E4">
        <w:t>–</w:t>
      </w:r>
      <w:r>
        <w:t xml:space="preserve"> 294</w:t>
      </w:r>
      <w:r w:rsidR="00E844E4">
        <w:t xml:space="preserve"> </w:t>
      </w:r>
      <w:r>
        <w:t>(2012-2013)</w:t>
      </w:r>
    </w:p>
    <w:p w:rsidR="003B22E8" w:rsidRDefault="003B22E8" w:rsidP="005B6CA9">
      <w:pPr>
        <w:ind w:left="426"/>
        <w:jc w:val="both"/>
      </w:pPr>
      <w:r>
        <w:t>Telkens leest en hoort u in mijn antwoord dat we ons bewust zijn van de thematiek en de problematiek en dat we deze nu ook aanpakken.</w:t>
      </w:r>
    </w:p>
    <w:p w:rsidR="003B22E8" w:rsidRDefault="003B22E8" w:rsidP="005B6CA9">
      <w:pPr>
        <w:ind w:left="426"/>
        <w:jc w:val="both"/>
      </w:pPr>
      <w:r>
        <w:t xml:space="preserve">Ikzelf en, afhankelijk van het deelaspect, </w:t>
      </w:r>
      <w:r w:rsidR="003905AB">
        <w:t xml:space="preserve">mijn </w:t>
      </w:r>
      <w:r>
        <w:t>collega Vandeurzen werken nu aan:</w:t>
      </w:r>
    </w:p>
    <w:p w:rsidR="003B22E8" w:rsidRDefault="003B22E8" w:rsidP="002967F2">
      <w:pPr>
        <w:numPr>
          <w:ilvl w:val="0"/>
          <w:numId w:val="6"/>
        </w:numPr>
        <w:jc w:val="both"/>
      </w:pPr>
      <w:r>
        <w:t>Maatregelen op korte termijn om een oplossing te bieden aan de meest dringende problemen binnen de opvangcentra van het Gemeenschapsonderwijs. Voor de concrete maatregelen verwijs ik graag naar het verslag van de gemeenschappelijke commissie Onderwijs en Welzijn van 27 november 2012 waar deze maatregelen toegelicht werden.</w:t>
      </w:r>
    </w:p>
    <w:p w:rsidR="003B22E8" w:rsidRDefault="003B22E8" w:rsidP="002967F2">
      <w:pPr>
        <w:numPr>
          <w:ilvl w:val="0"/>
          <w:numId w:val="6"/>
        </w:numPr>
        <w:jc w:val="both"/>
      </w:pPr>
      <w:r>
        <w:t>Oplossingen voor de knelpunten (o.a. met betrekking tot het leerlingenvervoer) binnen onderwijs die het gevolg zijn van de ontwikkelingen (meer flexibel hanteren van verschillende zorgvormen) binnen het beleidsdomein Welzijn rond de multifunctionele centra (MFC).</w:t>
      </w:r>
    </w:p>
    <w:p w:rsidR="003B22E8" w:rsidRDefault="003B22E8" w:rsidP="002967F2">
      <w:pPr>
        <w:numPr>
          <w:ilvl w:val="0"/>
          <w:numId w:val="6"/>
        </w:numPr>
        <w:jc w:val="both"/>
      </w:pPr>
      <w:r>
        <w:t>Een, versnelde, transitie van de (semi-) residentiële opvang van jongeren met een beperking binnen het Gemeenschapsonderwijs, in de subsidieregeling en de regelgeving van het beleidsdomein Welzijn. Dit doen we in nauw overleg met het GO! en de verschillende administraties.</w:t>
      </w:r>
    </w:p>
    <w:p w:rsidR="003B22E8" w:rsidRDefault="003B22E8" w:rsidP="002967F2">
      <w:pPr>
        <w:numPr>
          <w:ilvl w:val="0"/>
          <w:numId w:val="6"/>
        </w:numPr>
        <w:jc w:val="both"/>
      </w:pPr>
      <w:r>
        <w:t>Een omvattend kader over de residentiële opvang van jongeren binnen het onderwijs en we hebben daarbij oog voor de triade onderwijs, logies en desgevallend (therapeutische) begeleiding die ook binnen die voorzieningen in enige mate aanwezig kan zijn.</w:t>
      </w:r>
    </w:p>
    <w:p w:rsidR="003B22E8" w:rsidRDefault="003B22E8" w:rsidP="005B6CA9">
      <w:pPr>
        <w:ind w:left="360"/>
        <w:jc w:val="both"/>
      </w:pPr>
      <w:r>
        <w:t>De in de vraag opgesomde elementen 1) opvoedingsondersteuning, 2) omkaderingsnormen, 3) middelen voor renovatie en nieuwbouw en 4) professionalisering maken onderdeel uit van elk hierboven beschreven deelaspect.</w:t>
      </w:r>
    </w:p>
    <w:p w:rsidR="005B6CA9" w:rsidRDefault="005B6CA9" w:rsidP="005B6CA9">
      <w:pPr>
        <w:ind w:left="360"/>
        <w:jc w:val="both"/>
      </w:pPr>
    </w:p>
    <w:p w:rsidR="00257992" w:rsidRDefault="00257992" w:rsidP="002967F2">
      <w:pPr>
        <w:numPr>
          <w:ilvl w:val="0"/>
          <w:numId w:val="4"/>
        </w:numPr>
        <w:jc w:val="both"/>
      </w:pPr>
      <w:r>
        <w:t xml:space="preserve">Tussen 1 mei 2009 en 31 augustus 2012 werd een subsidie vastgelegd door de minister van Welzijn, Volksgezondheid en Gezin voor de uitvoering van de coaching van secundaire scholen voor het realiseren van een beleid op vlak van geestelijke gezondheid. Hierbij werden scholen die daarom vroegen ondersteund om een geestelijk gezondheidsbeleid uit te werken of bij te sturen. Vanaf 1 september 2012 tot 31 december 2013 wordt er gewerkt aan een vervolgtraject. Hiervoor wordt er nauw samengewerkt met de pedagogische begeleidingsdiensten </w:t>
      </w:r>
      <w:r w:rsidR="00D25115">
        <w:t xml:space="preserve">en de CLB-centrumnetten. </w:t>
      </w:r>
    </w:p>
    <w:p w:rsidR="00257992" w:rsidRDefault="00257992" w:rsidP="005B6CA9">
      <w:pPr>
        <w:ind w:left="360"/>
        <w:jc w:val="both"/>
      </w:pPr>
      <w:r>
        <w:t xml:space="preserve">Doel van het vervolgproject is om de ervaring van de coaches </w:t>
      </w:r>
      <w:r w:rsidR="002C03B9">
        <w:t>m</w:t>
      </w:r>
      <w:r w:rsidR="00E844E4">
        <w:t>.</w:t>
      </w:r>
      <w:r w:rsidR="002C03B9">
        <w:t>b</w:t>
      </w:r>
      <w:r w:rsidR="00E844E4">
        <w:t>.</w:t>
      </w:r>
      <w:r w:rsidR="002C03B9">
        <w:t>t</w:t>
      </w:r>
      <w:r w:rsidR="00E844E4">
        <w:t>.</w:t>
      </w:r>
      <w:r>
        <w:t xml:space="preserve"> het werken aan een geestelijk gezondheidsbeleid op school, niet te laten verloren gaan, maar die ervaring over te dragen aan de reguliere schoolondersteuners binnen het CLB en de PBD.</w:t>
      </w:r>
    </w:p>
    <w:p w:rsidR="00257992" w:rsidRDefault="00257992" w:rsidP="005B6CA9">
      <w:pPr>
        <w:ind w:left="360"/>
        <w:jc w:val="both"/>
      </w:pPr>
      <w:r>
        <w:t>Onderwijs en Welzijn werken hiervoor samen een operationele begeleidingsmethodiek uit, die inspeelt op de noden van scholen, rekening houdend met de expertise bij de coaches van afgelopen jaren, de bestaande knowhow van PBD en CLB en de reguliere werking van de schoolondersteuners. In eerste instantie zullen de coaches zich dus niet meer richten op een rechtstreekse werking in de scholen, maar op expertise-overdracht en begeleiding van de ondersteuners binnen onderwijs.</w:t>
      </w:r>
    </w:p>
    <w:p w:rsidR="003B22E8" w:rsidRDefault="00257992" w:rsidP="005B6CA9">
      <w:pPr>
        <w:ind w:left="360"/>
        <w:jc w:val="both"/>
      </w:pPr>
      <w:r>
        <w:t>De coaching van scholen werd geëvalueerd door de minister bevoegd voor Volksgezondheid. De resultaten van de evaluatie zijn echter nog niet met Onderwijs besproken.</w:t>
      </w:r>
    </w:p>
    <w:p w:rsidR="005B6CA9" w:rsidRDefault="005B6CA9" w:rsidP="005B6CA9">
      <w:pPr>
        <w:ind w:left="360"/>
        <w:jc w:val="both"/>
      </w:pPr>
    </w:p>
    <w:p w:rsidR="003B22E8" w:rsidRDefault="003B22E8" w:rsidP="002967F2">
      <w:pPr>
        <w:numPr>
          <w:ilvl w:val="0"/>
          <w:numId w:val="4"/>
        </w:numPr>
        <w:jc w:val="both"/>
        <w:rPr>
          <w:color w:val="000000"/>
        </w:rPr>
      </w:pPr>
      <w:r>
        <w:t xml:space="preserve">Op 09/03/12 werd het actieplan “Spijbelen en andere vormen van grensoverschrijdend gedrag” als mededeling op de </w:t>
      </w:r>
      <w:r w:rsidR="00E844E4">
        <w:t>Vlaamse Regering</w:t>
      </w:r>
      <w:r>
        <w:t xml:space="preserve"> gebracht. Op 29/03/2012 werd het actieplan besproken in de commissie onderwijs en gelijke kansen.  </w:t>
      </w:r>
      <w:r>
        <w:rPr>
          <w:color w:val="000000"/>
        </w:rPr>
        <w:t>De focus van dit nieuwe actieplan werd – in tegenstelling tot het vorige spijbelactieplan – verbreed van enkel spijbelen naar alle vormen van grensoverschrijde</w:t>
      </w:r>
      <w:r w:rsidR="005B6CA9">
        <w:rPr>
          <w:color w:val="000000"/>
        </w:rPr>
        <w:t>nd gedrag op en rond de school.</w:t>
      </w:r>
      <w:r>
        <w:rPr>
          <w:color w:val="000000"/>
        </w:rPr>
        <w:t xml:space="preserve"> Dit vanuit het idee dat de verschillende vormen </w:t>
      </w:r>
      <w:r>
        <w:rPr>
          <w:color w:val="000000"/>
        </w:rPr>
        <w:lastRenderedPageBreak/>
        <w:t>van grensoverschrijdend gedrag vaak dezelfde oorzaken hebben en vaak om dezelfde aanpak, oplossingen en betrokken partners vragen. Per verschijningsvorm van grensoverschrijdend gedrag worden er wel eigen accenten gelegd, maar de grote lijnen gelden voor alle vormen. Binnen dit actieplan richt ik mij ook tot enkele doelgroepen die mijn bijzondere aandacht vragen.</w:t>
      </w:r>
      <w:r w:rsidR="008B6603">
        <w:rPr>
          <w:color w:val="000000"/>
        </w:rPr>
        <w:t xml:space="preserve"> De voorgestelde acties situeren zich, net als in het voorgaande actieplan, op een continuüm van informeren/sensibiliseren – preventie – begeleiding – sanctionering.  </w:t>
      </w:r>
    </w:p>
    <w:p w:rsidR="005B6CA9" w:rsidRDefault="005B6CA9" w:rsidP="005B6CA9">
      <w:pPr>
        <w:jc w:val="both"/>
        <w:rPr>
          <w:color w:val="000000"/>
        </w:rPr>
      </w:pPr>
    </w:p>
    <w:p w:rsidR="008B6603" w:rsidRDefault="008B6603" w:rsidP="002967F2">
      <w:pPr>
        <w:numPr>
          <w:ilvl w:val="0"/>
          <w:numId w:val="4"/>
        </w:numPr>
        <w:jc w:val="both"/>
      </w:pPr>
      <w:r>
        <w:t xml:space="preserve">Samen met mijn collega van Welzijn werkte ik in 2011-2012 aan een geïntegreerd beleidskader voor schoolvervangende onderwijsprogramma’s. Hiervoor hebben we in eerste instantie het bestaande aanbod aan schoolvervangende onderwijsprogramma’s binnen welzijnsvoorzieningen geëvalueerd. We brachten de huidige kwaliteit, doelgroepen, het bereik, de toegang, de kostprijs en de inbedding van deze programma’s in kaart. Ook kregen we een duidelijk zicht op de knelpunten en hiaten die er bestaan. Daarnaast hebben we ook aandacht besteed aan jongeren die nog binnen het reguliere onderwijs zitten, maar hier dreigen uit de boot te vallen (bijvoorbeeld </w:t>
      </w:r>
      <w:r w:rsidR="00E844E4">
        <w:t>bij</w:t>
      </w:r>
      <w:r>
        <w:t xml:space="preserve"> definitieve uitsluiting)</w:t>
      </w:r>
      <w:r w:rsidR="002C03B9">
        <w:t>.</w:t>
      </w:r>
      <w:r>
        <w:t xml:space="preserve"> Op 20 april 2012 werd in een mededeling aan de Vlaamse Regering een tussentijdse stand van zaken voorgesteld en afspraken gemaakt met betrekking tot het garanderen van de rechten van minderjarigen binnen de vrijwillige en gedwongen hulpverlening. Concreet werd gesteld dat er zou ingezet worden op drie sporen:</w:t>
      </w:r>
    </w:p>
    <w:p w:rsidR="008B6603" w:rsidRDefault="008B6603" w:rsidP="002967F2">
      <w:pPr>
        <w:numPr>
          <w:ilvl w:val="0"/>
          <w:numId w:val="7"/>
        </w:numPr>
        <w:jc w:val="both"/>
      </w:pPr>
      <w:r>
        <w:t>Via een doorgedreven samenwerking tussen onderwijs en welzijn mogelijk maken dat het recht op leren voor zoveel mogelijk jongeren gegarandeerd wordt binnen het reguliere onderwijs;</w:t>
      </w:r>
    </w:p>
    <w:p w:rsidR="008B6603" w:rsidRDefault="008B6603" w:rsidP="002967F2">
      <w:pPr>
        <w:numPr>
          <w:ilvl w:val="0"/>
          <w:numId w:val="7"/>
        </w:numPr>
        <w:jc w:val="both"/>
      </w:pPr>
      <w:r>
        <w:t>Komen tot een continuüm aan trajecten op maat voor jongeren die toch tijdelijk zouden uitvallen op school;</w:t>
      </w:r>
    </w:p>
    <w:p w:rsidR="008B6603" w:rsidRDefault="008B6603" w:rsidP="002967F2">
      <w:pPr>
        <w:numPr>
          <w:ilvl w:val="0"/>
          <w:numId w:val="7"/>
        </w:numPr>
        <w:jc w:val="both"/>
      </w:pPr>
      <w:r>
        <w:t>Uitklaren wie binnen het geheel de regiefunctie kan opnemen.</w:t>
      </w:r>
    </w:p>
    <w:p w:rsidR="008B6603" w:rsidRDefault="008B6603" w:rsidP="005B6CA9">
      <w:pPr>
        <w:ind w:left="360"/>
        <w:jc w:val="both"/>
      </w:pPr>
      <w:r>
        <w:t xml:space="preserve">Een stuurgroep met vertegenwoordiging van de betrokken kabinetten en administraties werkt aan de uitrol van deze 3 sporen. In afwachting van nieuwe regelgeving rond het continuüm aan trajecten op maat voor jongeren, is de driejaarlijkse looptijd van de huidige time-outprojecten die door onderwijs en welzijn gefinancierd worden, en die normaal gezien dit schooljaar afliep, met 1 extra schooljaar verlengd.  </w:t>
      </w:r>
    </w:p>
    <w:p w:rsidR="005B6CA9" w:rsidRDefault="005B6CA9" w:rsidP="005B6CA9">
      <w:pPr>
        <w:ind w:left="360"/>
        <w:jc w:val="both"/>
      </w:pPr>
    </w:p>
    <w:p w:rsidR="003B22E8" w:rsidRDefault="008B6603" w:rsidP="002967F2">
      <w:pPr>
        <w:numPr>
          <w:ilvl w:val="0"/>
          <w:numId w:val="4"/>
        </w:numPr>
        <w:jc w:val="both"/>
      </w:pPr>
      <w:r>
        <w:t>Zie antwoord op vraag n)</w:t>
      </w:r>
    </w:p>
    <w:p w:rsidR="005B6CA9" w:rsidRDefault="005B6CA9" w:rsidP="005B6CA9">
      <w:pPr>
        <w:jc w:val="both"/>
      </w:pPr>
    </w:p>
    <w:p w:rsidR="003B22E8" w:rsidRDefault="0045746F" w:rsidP="002967F2">
      <w:pPr>
        <w:numPr>
          <w:ilvl w:val="0"/>
          <w:numId w:val="4"/>
        </w:numPr>
        <w:jc w:val="both"/>
      </w:pPr>
      <w:r w:rsidRPr="0045746F">
        <w:t>Er zijn geen specifieke maatregelen genomen. Via het reguliere systeem van kwaliteitszorg wordt nagegaan of de nodige beroepscompetenties in het curriculum zijn opgenomen.</w:t>
      </w:r>
      <w:bookmarkStart w:id="6" w:name="_GoBack"/>
      <w:bookmarkEnd w:id="6"/>
    </w:p>
    <w:sectPr w:rsidR="003B22E8"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FF3"/>
    <w:multiLevelType w:val="hybridMultilevel"/>
    <w:tmpl w:val="19AE6BFA"/>
    <w:lvl w:ilvl="0" w:tplc="CE7275F0">
      <w:start w:val="1"/>
      <w:numFmt w:val="lowerLetter"/>
      <w:lvlText w:val="%1)"/>
      <w:lvlJc w:val="left"/>
      <w:pPr>
        <w:ind w:left="360" w:hanging="360"/>
      </w:pPr>
      <w:rPr>
        <w:rFonts w:hint="default"/>
        <w:i w:val="0"/>
      </w:rPr>
    </w:lvl>
    <w:lvl w:ilvl="1" w:tplc="0813000F">
      <w:start w:val="1"/>
      <w:numFmt w:val="decimal"/>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0D0108FC"/>
    <w:multiLevelType w:val="hybridMultilevel"/>
    <w:tmpl w:val="95AEE3D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1E2810D3"/>
    <w:multiLevelType w:val="hybridMultilevel"/>
    <w:tmpl w:val="3416BC1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4">
    <w:nsid w:val="78B45FDA"/>
    <w:multiLevelType w:val="hybridMultilevel"/>
    <w:tmpl w:val="4876296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nsid w:val="7A333F4C"/>
    <w:multiLevelType w:val="hybridMultilevel"/>
    <w:tmpl w:val="F96AEB5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3"/>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14ACC"/>
    <w:rsid w:val="000430D1"/>
    <w:rsid w:val="000976E9"/>
    <w:rsid w:val="000C4E8C"/>
    <w:rsid w:val="000D708B"/>
    <w:rsid w:val="000F3532"/>
    <w:rsid w:val="00126F03"/>
    <w:rsid w:val="00210C07"/>
    <w:rsid w:val="00237F5D"/>
    <w:rsid w:val="00257992"/>
    <w:rsid w:val="002967F2"/>
    <w:rsid w:val="002C03B9"/>
    <w:rsid w:val="002C429C"/>
    <w:rsid w:val="00326A58"/>
    <w:rsid w:val="003905AB"/>
    <w:rsid w:val="0039780D"/>
    <w:rsid w:val="003B22E8"/>
    <w:rsid w:val="003E507B"/>
    <w:rsid w:val="0045746F"/>
    <w:rsid w:val="004F011C"/>
    <w:rsid w:val="00512B87"/>
    <w:rsid w:val="005B6CA9"/>
    <w:rsid w:val="005E38CA"/>
    <w:rsid w:val="00626447"/>
    <w:rsid w:val="006563FB"/>
    <w:rsid w:val="006A30F4"/>
    <w:rsid w:val="0071248C"/>
    <w:rsid w:val="007252C7"/>
    <w:rsid w:val="007320A9"/>
    <w:rsid w:val="00774547"/>
    <w:rsid w:val="0078171E"/>
    <w:rsid w:val="007A5AF8"/>
    <w:rsid w:val="00801DA2"/>
    <w:rsid w:val="00814E00"/>
    <w:rsid w:val="0082088C"/>
    <w:rsid w:val="008B6603"/>
    <w:rsid w:val="008D1BFB"/>
    <w:rsid w:val="008D5DB4"/>
    <w:rsid w:val="00920D92"/>
    <w:rsid w:val="009347E0"/>
    <w:rsid w:val="0093558D"/>
    <w:rsid w:val="009D7043"/>
    <w:rsid w:val="009F1E78"/>
    <w:rsid w:val="00A721EA"/>
    <w:rsid w:val="00AA25B9"/>
    <w:rsid w:val="00AC78A6"/>
    <w:rsid w:val="00B21B45"/>
    <w:rsid w:val="00B45EB2"/>
    <w:rsid w:val="00BE425A"/>
    <w:rsid w:val="00C91441"/>
    <w:rsid w:val="00D25115"/>
    <w:rsid w:val="00D40E17"/>
    <w:rsid w:val="00D71D99"/>
    <w:rsid w:val="00D754F2"/>
    <w:rsid w:val="00D834AB"/>
    <w:rsid w:val="00DB41C0"/>
    <w:rsid w:val="00DC4DB6"/>
    <w:rsid w:val="00DF2E81"/>
    <w:rsid w:val="00E55200"/>
    <w:rsid w:val="00E70482"/>
    <w:rsid w:val="00E844E4"/>
    <w:rsid w:val="00E85C8D"/>
    <w:rsid w:val="00F637E9"/>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E507B"/>
    <w:pPr>
      <w:shd w:val="clear" w:color="auto" w:fill="000080"/>
    </w:pPr>
    <w:rPr>
      <w:rFonts w:ascii="Tahoma" w:hAnsi="Tahoma" w:cs="Tahoma"/>
      <w:sz w:val="20"/>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Zwaar">
    <w:name w:val="Strong"/>
    <w:uiPriority w:val="22"/>
    <w:qFormat/>
    <w:rsid w:val="00A721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E507B"/>
    <w:pPr>
      <w:shd w:val="clear" w:color="auto" w:fill="000080"/>
    </w:pPr>
    <w:rPr>
      <w:rFonts w:ascii="Tahoma" w:hAnsi="Tahoma" w:cs="Tahoma"/>
      <w:sz w:val="20"/>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Zwaar">
    <w:name w:val="Strong"/>
    <w:uiPriority w:val="22"/>
    <w:qFormat/>
    <w:rsid w:val="00A721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7990">
      <w:bodyDiv w:val="1"/>
      <w:marLeft w:val="0"/>
      <w:marRight w:val="0"/>
      <w:marTop w:val="0"/>
      <w:marBottom w:val="0"/>
      <w:divBdr>
        <w:top w:val="none" w:sz="0" w:space="0" w:color="auto"/>
        <w:left w:val="none" w:sz="0" w:space="0" w:color="auto"/>
        <w:bottom w:val="none" w:sz="0" w:space="0" w:color="auto"/>
        <w:right w:val="none" w:sz="0" w:space="0" w:color="auto"/>
      </w:divBdr>
    </w:div>
    <w:div w:id="751775072">
      <w:bodyDiv w:val="1"/>
      <w:marLeft w:val="0"/>
      <w:marRight w:val="0"/>
      <w:marTop w:val="0"/>
      <w:marBottom w:val="0"/>
      <w:divBdr>
        <w:top w:val="none" w:sz="0" w:space="0" w:color="auto"/>
        <w:left w:val="none" w:sz="0" w:space="0" w:color="auto"/>
        <w:bottom w:val="none" w:sz="0" w:space="0" w:color="auto"/>
        <w:right w:val="none" w:sz="0" w:space="0" w:color="auto"/>
      </w:divBdr>
    </w:div>
    <w:div w:id="172903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4</TotalTime>
  <Pages>5</Pages>
  <Words>2701</Words>
  <Characters>15600</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18265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2011-05-24T11:14:00Z</cp:lastPrinted>
  <dcterms:created xsi:type="dcterms:W3CDTF">2012-12-06T14:40:00Z</dcterms:created>
  <dcterms:modified xsi:type="dcterms:W3CDTF">2012-12-11T10:47:00Z</dcterms:modified>
</cp:coreProperties>
</file>