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C474AA">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22895">
        <w:rPr>
          <w:b w:val="0"/>
        </w:rPr>
        <w:t>62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D22895">
        <w:rPr>
          <w:b w:val="0"/>
        </w:rPr>
        <w:t>16</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C474AA">
        <w:rPr>
          <w:rStyle w:val="AntwoordNaamMinisterChar"/>
        </w:rPr>
        <w:t>v</w:t>
      </w:r>
      <w:r w:rsidR="00D22895">
        <w:rPr>
          <w:rStyle w:val="AntwoordNaamMinisterChar"/>
        </w:rPr>
        <w:t>era</w:t>
      </w:r>
      <w:r w:rsidR="00C474AA">
        <w:rPr>
          <w:rStyle w:val="AntwoordNaamMinisterChar"/>
        </w:rPr>
        <w:t xml:space="preserve"> j</w:t>
      </w:r>
      <w:r w:rsidR="00D22895">
        <w:rPr>
          <w:rStyle w:val="AntwoordNaamMinisterChar"/>
        </w:rPr>
        <w:t>ans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85E7C" w:rsidRDefault="00B85E7C" w:rsidP="00206236">
      <w:pPr>
        <w:pStyle w:val="Lijstalinea"/>
        <w:numPr>
          <w:ilvl w:val="0"/>
          <w:numId w:val="18"/>
        </w:numPr>
        <w:ind w:left="426" w:hanging="426"/>
        <w:jc w:val="both"/>
        <w:rPr>
          <w:szCs w:val="22"/>
        </w:rPr>
      </w:pPr>
      <w:r>
        <w:rPr>
          <w:szCs w:val="22"/>
        </w:rPr>
        <w:lastRenderedPageBreak/>
        <w:t xml:space="preserve">De thuislozenzorg in Vlaanderen is intersectoraal georganiseerd. Dit heeft als gevolg dat we niet beschikken over relevante cijfergegevens met betrekking tot het aantal dak- en thuislozen over deze sectoren heen. Zowel de huisvestingsactoren, de Openbare Centra voor Maatschappelijk Welzijn als de Centra voor Algemeen Welzijnswerk hebben een zeer actieve rol in de bestrijding van dak- en thuisloosheid. Daarnaast dragen belendende sectoren als de geestelijke gezondheidszorg, de sector van personen met een handicap, jongerenwelzijn, … ook een steentje bij om deze problematiek aan te pakken. </w:t>
      </w:r>
    </w:p>
    <w:p w:rsidR="00B85E7C" w:rsidRDefault="00B85E7C" w:rsidP="00B85E7C">
      <w:pPr>
        <w:pStyle w:val="Lijstalinea"/>
        <w:ind w:left="426"/>
        <w:jc w:val="both"/>
        <w:rPr>
          <w:szCs w:val="22"/>
        </w:rPr>
      </w:pPr>
      <w:r>
        <w:rPr>
          <w:szCs w:val="22"/>
        </w:rPr>
        <w:t>Het is onze bedoeling om deze doelgroep beter in kaart te brengen. Een eerste stap werd in dit verband reeds gezet in 2011. De onderzoeksinstelling LUCAS beschrijft in het eindrapport “</w:t>
      </w:r>
      <w:r w:rsidRPr="00865514">
        <w:rPr>
          <w:i/>
          <w:szCs w:val="22"/>
        </w:rPr>
        <w:t>Ontwikkelen en uittesten van een monitoringsinstrument</w:t>
      </w:r>
      <w:r>
        <w:rPr>
          <w:szCs w:val="22"/>
        </w:rPr>
        <w:t>” (</w:t>
      </w:r>
      <w:proofErr w:type="spellStart"/>
      <w:r>
        <w:rPr>
          <w:szCs w:val="22"/>
        </w:rPr>
        <w:t>Robeyns</w:t>
      </w:r>
      <w:proofErr w:type="spellEnd"/>
      <w:r>
        <w:rPr>
          <w:szCs w:val="22"/>
        </w:rPr>
        <w:t xml:space="preserve">, </w:t>
      </w:r>
      <w:proofErr w:type="spellStart"/>
      <w:r>
        <w:rPr>
          <w:szCs w:val="22"/>
        </w:rPr>
        <w:t>Demaerschalk</w:t>
      </w:r>
      <w:proofErr w:type="spellEnd"/>
      <w:r>
        <w:rPr>
          <w:szCs w:val="22"/>
        </w:rPr>
        <w:t xml:space="preserve"> en Hermans, 2012) enkele mogelijke pistes om het gebrek aan cijfermateriaal op efficiënte wijze te ondervangen. </w:t>
      </w:r>
    </w:p>
    <w:p w:rsidR="00B85E7C" w:rsidRDefault="00B85E7C" w:rsidP="00B85E7C">
      <w:pPr>
        <w:pStyle w:val="Lijstalinea"/>
        <w:ind w:left="426"/>
        <w:jc w:val="both"/>
        <w:rPr>
          <w:szCs w:val="22"/>
        </w:rPr>
      </w:pPr>
    </w:p>
    <w:p w:rsidR="00B85E7C" w:rsidRDefault="00B85E7C" w:rsidP="00206236">
      <w:pPr>
        <w:pStyle w:val="Lijstalinea"/>
        <w:numPr>
          <w:ilvl w:val="0"/>
          <w:numId w:val="18"/>
        </w:numPr>
        <w:ind w:left="426" w:hanging="426"/>
        <w:jc w:val="both"/>
        <w:rPr>
          <w:szCs w:val="22"/>
        </w:rPr>
      </w:pPr>
      <w:r>
        <w:rPr>
          <w:szCs w:val="22"/>
        </w:rPr>
        <w:t xml:space="preserve">De residentiële opvanginitiatieven zijn zeer divers. Het aanbod bestaat zowel uit residentiële als ambulante </w:t>
      </w:r>
      <w:proofErr w:type="spellStart"/>
      <w:r>
        <w:rPr>
          <w:szCs w:val="22"/>
        </w:rPr>
        <w:t>aanbodsvormen</w:t>
      </w:r>
      <w:proofErr w:type="spellEnd"/>
      <w:r>
        <w:rPr>
          <w:szCs w:val="22"/>
        </w:rPr>
        <w:t xml:space="preserve"> en  verspreid over verschillende sectoren. Om een degelijk beeld te krijgen van het bestaande aanbod in de thuislozenzorg werken we momenteel aan een monitoringsinstrument. Dit instrument wil op een intersectorale wijze alle </w:t>
      </w:r>
      <w:proofErr w:type="spellStart"/>
      <w:r>
        <w:rPr>
          <w:szCs w:val="22"/>
        </w:rPr>
        <w:t>aanbodsvormen</w:t>
      </w:r>
      <w:proofErr w:type="spellEnd"/>
      <w:r>
        <w:rPr>
          <w:szCs w:val="22"/>
        </w:rPr>
        <w:t xml:space="preserve"> en hun capaciteit in kaart brengen. Het intersectorale karakter van de thuislozenzorg verplichtte de onderzoekers (LUCAS) om eerst eenzelfde intersectorale taal te ontwikkelen om alle </w:t>
      </w:r>
      <w:proofErr w:type="spellStart"/>
      <w:r>
        <w:rPr>
          <w:szCs w:val="22"/>
        </w:rPr>
        <w:t>aanbodsvormen</w:t>
      </w:r>
      <w:proofErr w:type="spellEnd"/>
      <w:r>
        <w:rPr>
          <w:szCs w:val="22"/>
        </w:rPr>
        <w:t xml:space="preserve"> op een eenduidige wijze te kunnen weergeven. Dit leidde tot een intersectorale set van modules. Momenteel wordt het instrument uitgetest in de provincie Oost-Vlaanderen. Tot op vandaag hebben we enkel zicht op het residentieel opvang- en begeleidingsaanbod binnen het Algemeen Welzijnswerk. Als bijlage 1 vindt u een tabel met de capaciteit per provincie en per opvangvorm voor de werkjaren 2009 tot en met 2011. De doelgroep werd gevat in de opvangvorm.</w:t>
      </w:r>
    </w:p>
    <w:p w:rsidR="00B85E7C" w:rsidRPr="00C904CE" w:rsidRDefault="00B85E7C" w:rsidP="00B85E7C">
      <w:pPr>
        <w:pStyle w:val="Lijstalinea"/>
        <w:ind w:left="426"/>
        <w:rPr>
          <w:szCs w:val="22"/>
        </w:rPr>
      </w:pPr>
    </w:p>
    <w:p w:rsidR="00B85E7C" w:rsidRDefault="00B85E7C" w:rsidP="00206236">
      <w:pPr>
        <w:pStyle w:val="Lijstalinea"/>
        <w:numPr>
          <w:ilvl w:val="0"/>
          <w:numId w:val="18"/>
        </w:numPr>
        <w:ind w:left="426" w:hanging="426"/>
        <w:jc w:val="both"/>
        <w:rPr>
          <w:szCs w:val="22"/>
        </w:rPr>
      </w:pPr>
      <w:r w:rsidRPr="004B73E4">
        <w:rPr>
          <w:szCs w:val="22"/>
        </w:rPr>
        <w:t xml:space="preserve">De gemiddelde bezettingsgraad van de residentiële opvanginitiatieven binnen het Algemeen Welzijnswerk vindt u in bijlage.  </w:t>
      </w:r>
    </w:p>
    <w:p w:rsidR="00B85E7C" w:rsidRPr="004B73E4" w:rsidRDefault="00B85E7C" w:rsidP="00B85E7C">
      <w:pPr>
        <w:jc w:val="both"/>
        <w:rPr>
          <w:szCs w:val="22"/>
        </w:rPr>
      </w:pPr>
    </w:p>
    <w:p w:rsidR="00B85E7C" w:rsidRDefault="00B85E7C" w:rsidP="00206236">
      <w:pPr>
        <w:pStyle w:val="Lijstalinea"/>
        <w:numPr>
          <w:ilvl w:val="0"/>
          <w:numId w:val="18"/>
        </w:numPr>
        <w:ind w:left="426" w:hanging="426"/>
        <w:jc w:val="both"/>
        <w:rPr>
          <w:szCs w:val="22"/>
        </w:rPr>
      </w:pPr>
      <w:r>
        <w:rPr>
          <w:szCs w:val="22"/>
        </w:rPr>
        <w:t>Binnen het Algemeen Welzijnswerk zijn er geen eenduidige verklaringen omtrent sommige significante verschillen in de bezettingsgraad. De oorzaken van lagere bezettingsgraden liggen veelal in renovatie-acties van één of meerdere kamers/studio’s waardoor deze tijdelijk niet beschikbaar zijn.</w:t>
      </w:r>
    </w:p>
    <w:p w:rsidR="00B85E7C" w:rsidRDefault="00B85E7C" w:rsidP="00B85E7C">
      <w:pPr>
        <w:pStyle w:val="Lijstalinea"/>
      </w:pPr>
    </w:p>
    <w:p w:rsidR="00B85E7C" w:rsidRPr="00E36444" w:rsidRDefault="00B85E7C" w:rsidP="00206236">
      <w:pPr>
        <w:pStyle w:val="Lijstalinea"/>
        <w:numPr>
          <w:ilvl w:val="0"/>
          <w:numId w:val="18"/>
        </w:numPr>
        <w:ind w:left="426" w:hanging="426"/>
        <w:jc w:val="both"/>
        <w:rPr>
          <w:szCs w:val="22"/>
        </w:rPr>
      </w:pPr>
      <w:r>
        <w:t xml:space="preserve">Het Steunpunt Algemeen Welzijnswerk (expertise- en ondersteuningscentrum voor de Centra voor Algemeen Welzijnswerk) heeft de regionale </w:t>
      </w:r>
      <w:proofErr w:type="spellStart"/>
      <w:r>
        <w:t>good</w:t>
      </w:r>
      <w:proofErr w:type="spellEnd"/>
      <w:r>
        <w:t xml:space="preserve"> </w:t>
      </w:r>
      <w:proofErr w:type="spellStart"/>
      <w:r>
        <w:t>practices</w:t>
      </w:r>
      <w:proofErr w:type="spellEnd"/>
      <w:r>
        <w:t xml:space="preserve"> verzameld van lokale/regionale (intersectorale) samenwerkingsverbanden/netwerken die bijdragen tot de aanpak van de problematiek van dak- en thuisloosheid (zoals de samenwerking met drughulpverlening, sociale huisvesting, psychiatrische ziekenhuizen, geestelijke gezondheidszorg, justitie, jongerenwelzijn, straathoekwerk, …). Ze rondt een uitgebreide beschrijving van deze goede praktijken af en analyseert waarom bepaalde praktijken succesvol zijn en andere niet. Ze gaat ook na welke praktijken eventueel overdraagbaar zijn naar andere regio’s. </w:t>
      </w:r>
    </w:p>
    <w:p w:rsidR="00B85E7C" w:rsidRDefault="00B85E7C" w:rsidP="00B85E7C">
      <w:pPr>
        <w:pStyle w:val="Lijstalinea"/>
      </w:pPr>
    </w:p>
    <w:p w:rsidR="00B85E7C" w:rsidRDefault="00B85E7C" w:rsidP="00206236">
      <w:pPr>
        <w:ind w:left="426"/>
        <w:jc w:val="both"/>
      </w:pPr>
      <w:r>
        <w:t xml:space="preserve">Om de regionale samenwerkingsverbanden inzake dak- en thuisloosheid te verbeteren en te stimuleren, zijn we een partnerschap aangegaan met de Vlaamse provincies, de </w:t>
      </w:r>
    </w:p>
    <w:p w:rsidR="00B85E7C" w:rsidRPr="00E36444" w:rsidRDefault="00B85E7C" w:rsidP="00206236">
      <w:pPr>
        <w:ind w:left="426"/>
        <w:jc w:val="both"/>
        <w:rPr>
          <w:szCs w:val="22"/>
        </w:rPr>
      </w:pPr>
      <w:r w:rsidRPr="00E36444">
        <w:lastRenderedPageBreak/>
        <w:t>Vlaamse Gemeenschapscommissie, De Vereniging van Vlaamse Steden en Gemeenten en de Vlaamse overheid. Dit partnership heeft volgende opdrachten:</w:t>
      </w:r>
    </w:p>
    <w:p w:rsidR="00B85E7C" w:rsidRPr="00E36444" w:rsidRDefault="00B85E7C" w:rsidP="00B85E7C">
      <w:pPr>
        <w:pStyle w:val="Lijstalinea"/>
        <w:numPr>
          <w:ilvl w:val="0"/>
          <w:numId w:val="19"/>
        </w:numPr>
        <w:jc w:val="both"/>
        <w:rPr>
          <w:szCs w:val="22"/>
        </w:rPr>
      </w:pPr>
      <w:r w:rsidRPr="00E36444">
        <w:rPr>
          <w:szCs w:val="22"/>
        </w:rPr>
        <w:t>inventariseren, stimuleren en ondersteunen van noodzakelijke / mogelijke (intersectorale) samenwerkingsverbanden en ontwikkelingen;</w:t>
      </w:r>
    </w:p>
    <w:p w:rsidR="00B85E7C" w:rsidRPr="00E36444" w:rsidRDefault="00B85E7C" w:rsidP="00B85E7C">
      <w:pPr>
        <w:pStyle w:val="Lijstalinea"/>
        <w:numPr>
          <w:ilvl w:val="0"/>
          <w:numId w:val="19"/>
        </w:numPr>
        <w:contextualSpacing w:val="0"/>
        <w:jc w:val="both"/>
        <w:rPr>
          <w:szCs w:val="22"/>
        </w:rPr>
      </w:pPr>
      <w:r w:rsidRPr="00E36444">
        <w:rPr>
          <w:szCs w:val="22"/>
        </w:rPr>
        <w:t>ondersteunen van (eventuele) veranderingstrajecten en optimaliseren van het huidig aanbod;</w:t>
      </w:r>
    </w:p>
    <w:p w:rsidR="00B85E7C" w:rsidRPr="00E36444" w:rsidRDefault="00B85E7C" w:rsidP="00B85E7C">
      <w:pPr>
        <w:pStyle w:val="Lijstalinea"/>
        <w:numPr>
          <w:ilvl w:val="0"/>
          <w:numId w:val="19"/>
        </w:numPr>
        <w:contextualSpacing w:val="0"/>
        <w:jc w:val="both"/>
        <w:rPr>
          <w:szCs w:val="22"/>
        </w:rPr>
      </w:pPr>
      <w:r w:rsidRPr="00E36444">
        <w:rPr>
          <w:szCs w:val="22"/>
        </w:rPr>
        <w:t>uitbouwen van winter- en/of noodopvang;</w:t>
      </w:r>
    </w:p>
    <w:p w:rsidR="00B85E7C" w:rsidRPr="00E36444" w:rsidRDefault="00B85E7C" w:rsidP="00B85E7C">
      <w:pPr>
        <w:pStyle w:val="Lijstalinea"/>
        <w:numPr>
          <w:ilvl w:val="0"/>
          <w:numId w:val="19"/>
        </w:numPr>
        <w:contextualSpacing w:val="0"/>
        <w:jc w:val="both"/>
        <w:rPr>
          <w:szCs w:val="22"/>
        </w:rPr>
      </w:pPr>
      <w:r w:rsidRPr="00E36444">
        <w:rPr>
          <w:szCs w:val="22"/>
        </w:rPr>
        <w:t>signaleren van structurele tekortkomingen.</w:t>
      </w:r>
    </w:p>
    <w:p w:rsidR="00B85E7C" w:rsidRPr="00206236" w:rsidRDefault="00B85E7C" w:rsidP="00B85E7C">
      <w:pPr>
        <w:jc w:val="both"/>
        <w:rPr>
          <w:szCs w:val="22"/>
          <w:lang w:val="nl-BE"/>
        </w:rPr>
      </w:pPr>
    </w:p>
    <w:p w:rsidR="00B85E7C" w:rsidRDefault="00B85E7C" w:rsidP="00206236">
      <w:pPr>
        <w:ind w:left="360"/>
        <w:jc w:val="both"/>
      </w:pPr>
      <w:r>
        <w:t>De uiteindelijke bedoeling ligt in de verwezenlijking van een duurzame intersectorale samenwerkingsverbanden en netwerken In Vlaanderen en Brussel waarin, verschillend van regio tot regio, de dak- en thuislozenproblematiek wordt aangepakt en opgevolgd.</w:t>
      </w:r>
    </w:p>
    <w:p w:rsidR="00B85E7C" w:rsidRDefault="00B85E7C" w:rsidP="00B85E7C"/>
    <w:p w:rsidR="00B85E7C" w:rsidRDefault="00B85E7C" w:rsidP="00B85E7C">
      <w:pPr>
        <w:ind w:left="360"/>
        <w:jc w:val="both"/>
      </w:pPr>
      <w:r>
        <w:t>We hebben daarnaast, in het kader van de komende winterperiode, opnieuw een schrijven gericht aan de Gedeputeerden van Welzijn waarin we gevraagd hebben om, in overleg met alle betrokken actoren, in het bijzonder de OCMW voorzitters en burgemeesters, (</w:t>
      </w:r>
      <w:proofErr w:type="spellStart"/>
      <w:r>
        <w:t>inter</w:t>
      </w:r>
      <w:proofErr w:type="spellEnd"/>
      <w:r>
        <w:t>-)gemeentelijke initiatieven te nemen/te stimuleren die de samenwerking ondersteunen en stimuleren tussen lokale overheden en lokale en regionale hulpverleningsorganisaties actief op het terrein van dienst- en hulpverlening naar dak- en thuislozen.</w:t>
      </w:r>
    </w:p>
    <w:p w:rsidR="00B85E7C" w:rsidRDefault="00B85E7C" w:rsidP="00B85E7C">
      <w:pPr>
        <w:ind w:left="360"/>
        <w:jc w:val="both"/>
        <w:rPr>
          <w:szCs w:val="22"/>
        </w:rPr>
      </w:pPr>
      <w:r>
        <w:rPr>
          <w:szCs w:val="22"/>
        </w:rPr>
        <w:t xml:space="preserve"> </w:t>
      </w:r>
    </w:p>
    <w:p w:rsidR="00206236" w:rsidRDefault="00206236" w:rsidP="00B85E7C">
      <w:pPr>
        <w:ind w:left="360"/>
        <w:jc w:val="both"/>
        <w:rPr>
          <w:szCs w:val="22"/>
        </w:rPr>
      </w:pPr>
    </w:p>
    <w:p w:rsidR="00B85E7C" w:rsidRPr="00206236" w:rsidRDefault="00B85E7C" w:rsidP="00B85E7C">
      <w:pPr>
        <w:jc w:val="both"/>
        <w:rPr>
          <w:rFonts w:ascii="Times New Roman Vet" w:hAnsi="Times New Roman Vet"/>
          <w:b/>
          <w:smallCaps/>
          <w:color w:val="FF0000"/>
          <w:szCs w:val="22"/>
        </w:rPr>
      </w:pPr>
      <w:r w:rsidRPr="00206236">
        <w:rPr>
          <w:rFonts w:ascii="Times New Roman Vet" w:hAnsi="Times New Roman Vet"/>
          <w:b/>
          <w:smallCaps/>
          <w:color w:val="FF0000"/>
          <w:szCs w:val="22"/>
        </w:rPr>
        <w:t>bijlage</w:t>
      </w:r>
    </w:p>
    <w:p w:rsidR="00206236" w:rsidRDefault="00206236" w:rsidP="00B85E7C">
      <w:pPr>
        <w:ind w:firstLine="708"/>
        <w:jc w:val="both"/>
        <w:rPr>
          <w:szCs w:val="22"/>
        </w:rPr>
      </w:pPr>
    </w:p>
    <w:p w:rsidR="00B85E7C" w:rsidRPr="00206236" w:rsidRDefault="00B85E7C" w:rsidP="00206236">
      <w:pPr>
        <w:pStyle w:val="Lijstalinea"/>
        <w:numPr>
          <w:ilvl w:val="0"/>
          <w:numId w:val="21"/>
        </w:numPr>
        <w:jc w:val="both"/>
        <w:rPr>
          <w:szCs w:val="22"/>
        </w:rPr>
      </w:pPr>
      <w:r w:rsidRPr="00206236">
        <w:rPr>
          <w:szCs w:val="22"/>
        </w:rPr>
        <w:t>tabblad 1: capaciteit residentiële opvangvormen binnen Algemeen Welzijnswerk</w:t>
      </w:r>
    </w:p>
    <w:p w:rsidR="00B85E7C" w:rsidRDefault="00B85E7C" w:rsidP="00206236">
      <w:pPr>
        <w:ind w:left="360"/>
        <w:jc w:val="both"/>
        <w:rPr>
          <w:szCs w:val="22"/>
        </w:rPr>
      </w:pPr>
      <w:r>
        <w:rPr>
          <w:szCs w:val="22"/>
        </w:rPr>
        <w:t>tabblad 2: bezettingsgraad opvangvormen binnen Algemeen Welzijnswerk</w:t>
      </w:r>
      <w:bookmarkStart w:id="6" w:name="_GoBack"/>
      <w:bookmarkEnd w:id="6"/>
    </w:p>
    <w:sectPr w:rsidR="00B85E7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2D" w:rsidRDefault="00EB242D">
      <w:r>
        <w:separator/>
      </w:r>
    </w:p>
  </w:endnote>
  <w:endnote w:type="continuationSeparator" w:id="0">
    <w:p w:rsidR="00EB242D" w:rsidRDefault="00EB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2D" w:rsidRDefault="00EB242D">
      <w:r>
        <w:separator/>
      </w:r>
    </w:p>
  </w:footnote>
  <w:footnote w:type="continuationSeparator" w:id="0">
    <w:p w:rsidR="00EB242D" w:rsidRDefault="00EB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40462F0"/>
    <w:multiLevelType w:val="hybridMultilevel"/>
    <w:tmpl w:val="A36E51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EA70860"/>
    <w:multiLevelType w:val="hybridMultilevel"/>
    <w:tmpl w:val="D6AE7F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AFC10E4"/>
    <w:multiLevelType w:val="hybridMultilevel"/>
    <w:tmpl w:val="CA0A9C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CE06464"/>
    <w:multiLevelType w:val="hybridMultilevel"/>
    <w:tmpl w:val="946C6A54"/>
    <w:lvl w:ilvl="0" w:tplc="E85800C2">
      <w:numFmt w:val="bullet"/>
      <w:lvlText w:val="-"/>
      <w:lvlJc w:val="left"/>
      <w:pPr>
        <w:ind w:left="720" w:hanging="360"/>
      </w:pPr>
      <w:rPr>
        <w:rFonts w:ascii="Calibri" w:eastAsia="Times New Roman"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3"/>
  </w:num>
  <w:num w:numId="2">
    <w:abstractNumId w:val="13"/>
  </w:num>
  <w:num w:numId="3">
    <w:abstractNumId w:val="10"/>
  </w:num>
  <w:num w:numId="4">
    <w:abstractNumId w:val="3"/>
  </w:num>
  <w:num w:numId="5">
    <w:abstractNumId w:val="17"/>
  </w:num>
  <w:num w:numId="6">
    <w:abstractNumId w:val="15"/>
  </w:num>
  <w:num w:numId="7">
    <w:abstractNumId w:val="0"/>
  </w:num>
  <w:num w:numId="8">
    <w:abstractNumId w:val="2"/>
  </w:num>
  <w:num w:numId="9">
    <w:abstractNumId w:val="14"/>
  </w:num>
  <w:num w:numId="10">
    <w:abstractNumId w:val="8"/>
  </w:num>
  <w:num w:numId="11">
    <w:abstractNumId w:val="11"/>
  </w:num>
  <w:num w:numId="12">
    <w:abstractNumId w:val="7"/>
  </w:num>
  <w:num w:numId="13">
    <w:abstractNumId w:val="5"/>
  </w:num>
  <w:num w:numId="14">
    <w:abstractNumId w:val="9"/>
  </w:num>
  <w:num w:numId="15">
    <w:abstractNumId w:val="6"/>
  </w:num>
  <w:num w:numId="16">
    <w:abstractNumId w:val="4"/>
  </w:num>
  <w:num w:numId="17">
    <w:abstractNumId w:val="1"/>
  </w:num>
  <w:num w:numId="18">
    <w:abstractNumId w:val="1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EC"/>
    <w:rsid w:val="00010B37"/>
    <w:rsid w:val="00017A38"/>
    <w:rsid w:val="0002649B"/>
    <w:rsid w:val="000402DE"/>
    <w:rsid w:val="00050DEC"/>
    <w:rsid w:val="00084366"/>
    <w:rsid w:val="0009102B"/>
    <w:rsid w:val="000976E9"/>
    <w:rsid w:val="000B43B3"/>
    <w:rsid w:val="000C4E8C"/>
    <w:rsid w:val="000C7C6C"/>
    <w:rsid w:val="000F3532"/>
    <w:rsid w:val="000F5552"/>
    <w:rsid w:val="00101681"/>
    <w:rsid w:val="00126CC3"/>
    <w:rsid w:val="00174411"/>
    <w:rsid w:val="001770D4"/>
    <w:rsid w:val="001A654E"/>
    <w:rsid w:val="001C211C"/>
    <w:rsid w:val="00206236"/>
    <w:rsid w:val="00210C07"/>
    <w:rsid w:val="00250C88"/>
    <w:rsid w:val="0025145A"/>
    <w:rsid w:val="00263A8F"/>
    <w:rsid w:val="002648D4"/>
    <w:rsid w:val="00270695"/>
    <w:rsid w:val="002812CD"/>
    <w:rsid w:val="00291F05"/>
    <w:rsid w:val="002A27A5"/>
    <w:rsid w:val="00310E1A"/>
    <w:rsid w:val="00316596"/>
    <w:rsid w:val="00326A58"/>
    <w:rsid w:val="00340BDC"/>
    <w:rsid w:val="00355B81"/>
    <w:rsid w:val="00394054"/>
    <w:rsid w:val="003B45FE"/>
    <w:rsid w:val="003D7B9E"/>
    <w:rsid w:val="003F5ED2"/>
    <w:rsid w:val="004037CA"/>
    <w:rsid w:val="00403E9A"/>
    <w:rsid w:val="00421318"/>
    <w:rsid w:val="00422BB7"/>
    <w:rsid w:val="004337D3"/>
    <w:rsid w:val="00445E81"/>
    <w:rsid w:val="00451B61"/>
    <w:rsid w:val="004545D6"/>
    <w:rsid w:val="004777FD"/>
    <w:rsid w:val="004C4F7A"/>
    <w:rsid w:val="004C554A"/>
    <w:rsid w:val="004C6A17"/>
    <w:rsid w:val="004D00C7"/>
    <w:rsid w:val="004E6F83"/>
    <w:rsid w:val="0050163F"/>
    <w:rsid w:val="00526536"/>
    <w:rsid w:val="00572762"/>
    <w:rsid w:val="005A5E23"/>
    <w:rsid w:val="005C4E46"/>
    <w:rsid w:val="005E38CA"/>
    <w:rsid w:val="005F09EF"/>
    <w:rsid w:val="006454B2"/>
    <w:rsid w:val="006563FB"/>
    <w:rsid w:val="006640D2"/>
    <w:rsid w:val="006717AF"/>
    <w:rsid w:val="0067306B"/>
    <w:rsid w:val="00685FDE"/>
    <w:rsid w:val="006B3EE5"/>
    <w:rsid w:val="006B7A39"/>
    <w:rsid w:val="006E223F"/>
    <w:rsid w:val="00703E55"/>
    <w:rsid w:val="0071248C"/>
    <w:rsid w:val="00715E0D"/>
    <w:rsid w:val="007252C7"/>
    <w:rsid w:val="00765FE2"/>
    <w:rsid w:val="00766407"/>
    <w:rsid w:val="007902C7"/>
    <w:rsid w:val="00796356"/>
    <w:rsid w:val="007A07CF"/>
    <w:rsid w:val="007C007C"/>
    <w:rsid w:val="007F0C63"/>
    <w:rsid w:val="007F6352"/>
    <w:rsid w:val="00800EE1"/>
    <w:rsid w:val="00822F1B"/>
    <w:rsid w:val="008356C7"/>
    <w:rsid w:val="00837915"/>
    <w:rsid w:val="00855ED0"/>
    <w:rsid w:val="00856C90"/>
    <w:rsid w:val="00864305"/>
    <w:rsid w:val="00865514"/>
    <w:rsid w:val="00884FA1"/>
    <w:rsid w:val="008860F8"/>
    <w:rsid w:val="00887F9E"/>
    <w:rsid w:val="008C6746"/>
    <w:rsid w:val="008D5DB4"/>
    <w:rsid w:val="0090401E"/>
    <w:rsid w:val="00905982"/>
    <w:rsid w:val="00921BFC"/>
    <w:rsid w:val="009347E0"/>
    <w:rsid w:val="009455AD"/>
    <w:rsid w:val="00952C2D"/>
    <w:rsid w:val="00976F3C"/>
    <w:rsid w:val="00987BBD"/>
    <w:rsid w:val="009A11AA"/>
    <w:rsid w:val="009D7043"/>
    <w:rsid w:val="009F0511"/>
    <w:rsid w:val="00A04B1F"/>
    <w:rsid w:val="00A04E1C"/>
    <w:rsid w:val="00A22807"/>
    <w:rsid w:val="00A2736D"/>
    <w:rsid w:val="00A64695"/>
    <w:rsid w:val="00A86C48"/>
    <w:rsid w:val="00AC19C1"/>
    <w:rsid w:val="00AC4E76"/>
    <w:rsid w:val="00AE721D"/>
    <w:rsid w:val="00AF6BEF"/>
    <w:rsid w:val="00B14702"/>
    <w:rsid w:val="00B246FE"/>
    <w:rsid w:val="00B45EB2"/>
    <w:rsid w:val="00B55E0E"/>
    <w:rsid w:val="00B70344"/>
    <w:rsid w:val="00B85E7C"/>
    <w:rsid w:val="00B915D2"/>
    <w:rsid w:val="00B936AA"/>
    <w:rsid w:val="00BE425A"/>
    <w:rsid w:val="00BF330F"/>
    <w:rsid w:val="00C00755"/>
    <w:rsid w:val="00C17BAF"/>
    <w:rsid w:val="00C26239"/>
    <w:rsid w:val="00C474AA"/>
    <w:rsid w:val="00C57362"/>
    <w:rsid w:val="00C70531"/>
    <w:rsid w:val="00C7570D"/>
    <w:rsid w:val="00C77630"/>
    <w:rsid w:val="00C904CE"/>
    <w:rsid w:val="00C91441"/>
    <w:rsid w:val="00C92969"/>
    <w:rsid w:val="00C95EE0"/>
    <w:rsid w:val="00CA50F3"/>
    <w:rsid w:val="00CA6539"/>
    <w:rsid w:val="00CC532C"/>
    <w:rsid w:val="00CE4D99"/>
    <w:rsid w:val="00D04FBF"/>
    <w:rsid w:val="00D10499"/>
    <w:rsid w:val="00D22895"/>
    <w:rsid w:val="00D249A8"/>
    <w:rsid w:val="00D549F3"/>
    <w:rsid w:val="00D65CEC"/>
    <w:rsid w:val="00D71D99"/>
    <w:rsid w:val="00D754F2"/>
    <w:rsid w:val="00D86F22"/>
    <w:rsid w:val="00DB41C0"/>
    <w:rsid w:val="00DC2940"/>
    <w:rsid w:val="00DC4DB6"/>
    <w:rsid w:val="00DD0684"/>
    <w:rsid w:val="00DF23EB"/>
    <w:rsid w:val="00E26FA5"/>
    <w:rsid w:val="00E55200"/>
    <w:rsid w:val="00E644F0"/>
    <w:rsid w:val="00E80CC0"/>
    <w:rsid w:val="00E85C8D"/>
    <w:rsid w:val="00EA32C7"/>
    <w:rsid w:val="00EB242D"/>
    <w:rsid w:val="00EB4635"/>
    <w:rsid w:val="00EC59DD"/>
    <w:rsid w:val="00ED4D74"/>
    <w:rsid w:val="00F262A3"/>
    <w:rsid w:val="00F379B3"/>
    <w:rsid w:val="00F608EE"/>
    <w:rsid w:val="00F826BA"/>
    <w:rsid w:val="00F85CC6"/>
    <w:rsid w:val="00FA29D6"/>
    <w:rsid w:val="00FD5BF4"/>
    <w:rsid w:val="00FE5406"/>
    <w:rsid w:val="00FF6C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styleId="Lijstalinea">
    <w:name w:val="List Paragraph"/>
    <w:basedOn w:val="Standaard"/>
    <w:uiPriority w:val="34"/>
    <w:qFormat/>
    <w:rsid w:val="00D22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styleId="Lijstalinea">
    <w:name w:val="List Paragraph"/>
    <w:basedOn w:val="Standaard"/>
    <w:uiPriority w:val="34"/>
    <w:qFormat/>
    <w:rsid w:val="00D2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839005891">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2</TotalTime>
  <Pages>2</Pages>
  <Words>636</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lastModifiedBy>Nathalie De Keyzer</cp:lastModifiedBy>
  <cp:revision>3</cp:revision>
  <cp:lastPrinted>2012-12-04T13:37:00Z</cp:lastPrinted>
  <dcterms:created xsi:type="dcterms:W3CDTF">2012-12-04T13:37:00Z</dcterms:created>
  <dcterms:modified xsi:type="dcterms:W3CDTF">2012-12-06T14:29:00Z</dcterms:modified>
</cp:coreProperties>
</file>