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48" w:rsidRDefault="009B3748" w:rsidP="009B3748">
      <w:pPr>
        <w:pStyle w:val="msolistparagraph0"/>
        <w:ind w:left="0"/>
        <w:jc w:val="center"/>
        <w:rPr>
          <w:b/>
          <w:lang w:val="nl-NL"/>
        </w:rPr>
      </w:pPr>
      <w:r>
        <w:rPr>
          <w:b/>
          <w:lang w:val="nl-NL"/>
        </w:rPr>
        <w:t>Specifieke</w:t>
      </w:r>
      <w:r w:rsidRPr="009B3748">
        <w:rPr>
          <w:b/>
          <w:lang w:val="nl-NL"/>
        </w:rPr>
        <w:t xml:space="preserve"> mandaten van het EIF</w:t>
      </w:r>
    </w:p>
    <w:p w:rsidR="009B3748" w:rsidRPr="009B3748" w:rsidRDefault="009B3748" w:rsidP="009B3748">
      <w:pPr>
        <w:pStyle w:val="msolistparagraph0"/>
        <w:ind w:left="0"/>
        <w:rPr>
          <w:lang w:val="nl-NL"/>
        </w:rPr>
      </w:pPr>
    </w:p>
    <w:p w:rsidR="009B3748" w:rsidRDefault="009B3748" w:rsidP="009B3748">
      <w:pPr>
        <w:pStyle w:val="msolistparagraph0"/>
        <w:ind w:left="0"/>
        <w:rPr>
          <w:lang w:val="nl-NL"/>
        </w:rPr>
      </w:pPr>
      <w:r w:rsidRPr="009B3748">
        <w:rPr>
          <w:lang w:val="nl-NL"/>
        </w:rPr>
        <w:t>Overzicht</w:t>
      </w:r>
      <w:r>
        <w:rPr>
          <w:lang w:val="nl-NL"/>
        </w:rPr>
        <w:t xml:space="preserve"> van de speciale mandaten van het EIF, het bedrag dat ermee samengaat en de instelling die het mandaat heeft toegekend, </w:t>
      </w:r>
      <w:proofErr w:type="gramStart"/>
      <w:r>
        <w:rPr>
          <w:lang w:val="nl-NL"/>
        </w:rPr>
        <w:t>met name</w:t>
      </w:r>
      <w:proofErr w:type="gramEnd"/>
      <w:r>
        <w:rPr>
          <w:lang w:val="nl-NL"/>
        </w:rPr>
        <w:t xml:space="preserve"> de Europese Investeringsbank (EIB) of de Europese Commissie (EC)</w:t>
      </w:r>
      <w:r w:rsidR="00644075">
        <w:rPr>
          <w:lang w:val="nl-NL"/>
        </w:rPr>
        <w:t>.</w:t>
      </w:r>
    </w:p>
    <w:p w:rsidR="009B3748" w:rsidRDefault="009B3748" w:rsidP="009B3748">
      <w:pPr>
        <w:pStyle w:val="msolistparagraph0"/>
        <w:ind w:left="0"/>
        <w:rPr>
          <w:lang w:val="nl-NL"/>
        </w:rPr>
      </w:pPr>
    </w:p>
    <w:tbl>
      <w:tblPr>
        <w:tblStyle w:val="Tabelraster"/>
        <w:tblW w:w="0" w:type="auto"/>
        <w:tblLook w:val="01E0"/>
      </w:tblPr>
      <w:tblGrid>
        <w:gridCol w:w="3096"/>
        <w:gridCol w:w="3096"/>
        <w:gridCol w:w="3096"/>
      </w:tblGrid>
      <w:tr w:rsidR="009B3748" w:rsidRPr="00644075" w:rsidTr="009B3748">
        <w:tc>
          <w:tcPr>
            <w:tcW w:w="3096" w:type="dxa"/>
          </w:tcPr>
          <w:p w:rsidR="009B3748" w:rsidRPr="00644075" w:rsidRDefault="009B3748" w:rsidP="00644075">
            <w:pPr>
              <w:pStyle w:val="msolistparagraph0"/>
              <w:spacing w:before="120" w:after="120"/>
              <w:ind w:left="0"/>
              <w:jc w:val="center"/>
              <w:rPr>
                <w:b/>
                <w:lang w:val="nl-NL"/>
              </w:rPr>
            </w:pPr>
            <w:r w:rsidRPr="00644075">
              <w:rPr>
                <w:b/>
                <w:lang w:val="nl-NL"/>
              </w:rPr>
              <w:t>Mandaat</w:t>
            </w:r>
          </w:p>
        </w:tc>
        <w:tc>
          <w:tcPr>
            <w:tcW w:w="3096" w:type="dxa"/>
          </w:tcPr>
          <w:p w:rsidR="009B3748" w:rsidRPr="00644075" w:rsidRDefault="009B3748" w:rsidP="00644075">
            <w:pPr>
              <w:pStyle w:val="msolistparagraph0"/>
              <w:spacing w:before="120" w:after="120"/>
              <w:ind w:left="0"/>
              <w:jc w:val="center"/>
              <w:rPr>
                <w:b/>
                <w:lang w:val="nl-NL"/>
              </w:rPr>
            </w:pPr>
            <w:r w:rsidRPr="00644075">
              <w:rPr>
                <w:b/>
                <w:lang w:val="nl-NL"/>
              </w:rPr>
              <w:t>Bedrag</w:t>
            </w:r>
          </w:p>
        </w:tc>
        <w:tc>
          <w:tcPr>
            <w:tcW w:w="3096" w:type="dxa"/>
          </w:tcPr>
          <w:p w:rsidR="009B3748" w:rsidRPr="00644075" w:rsidRDefault="009B3748" w:rsidP="00644075">
            <w:pPr>
              <w:pStyle w:val="msolistparagraph0"/>
              <w:spacing w:before="120" w:after="120"/>
              <w:ind w:left="0"/>
              <w:jc w:val="center"/>
              <w:rPr>
                <w:b/>
                <w:lang w:val="nl-NL"/>
              </w:rPr>
            </w:pPr>
            <w:r w:rsidRPr="00644075">
              <w:rPr>
                <w:b/>
                <w:lang w:val="nl-NL"/>
              </w:rPr>
              <w:t>Mandaatgever</w:t>
            </w:r>
          </w:p>
        </w:tc>
      </w:tr>
      <w:tr w:rsidR="009B3748" w:rsidTr="009B3748">
        <w:tc>
          <w:tcPr>
            <w:tcW w:w="3096" w:type="dxa"/>
          </w:tcPr>
          <w:p w:rsidR="009B3748" w:rsidRDefault="009B3748" w:rsidP="00644075">
            <w:pPr>
              <w:pStyle w:val="msolistparagraph0"/>
              <w:spacing w:before="120" w:after="120"/>
              <w:ind w:left="0"/>
              <w:rPr>
                <w:lang w:val="nl-NL"/>
              </w:rPr>
            </w:pPr>
            <w:r w:rsidRPr="009B3748">
              <w:rPr>
                <w:lang w:val="nl-NL"/>
              </w:rPr>
              <w:t>Risicokapitaal</w:t>
            </w:r>
          </w:p>
        </w:tc>
        <w:tc>
          <w:tcPr>
            <w:tcW w:w="3096" w:type="dxa"/>
          </w:tcPr>
          <w:p w:rsidR="009B3748" w:rsidRDefault="009B3748" w:rsidP="00644075">
            <w:pPr>
              <w:pStyle w:val="msolistparagraph0"/>
              <w:spacing w:before="120" w:after="120"/>
              <w:ind w:left="0"/>
              <w:rPr>
                <w:lang w:val="nl-NL"/>
              </w:rPr>
            </w:pPr>
            <w:r>
              <w:rPr>
                <w:lang w:val="nl-NL"/>
              </w:rPr>
              <w:t>EUR 5 miljard</w:t>
            </w:r>
          </w:p>
        </w:tc>
        <w:tc>
          <w:tcPr>
            <w:tcW w:w="3096" w:type="dxa"/>
          </w:tcPr>
          <w:p w:rsidR="009B3748" w:rsidRDefault="009B3748" w:rsidP="00644075">
            <w:pPr>
              <w:pStyle w:val="msolistparagraph0"/>
              <w:spacing w:before="120" w:after="120"/>
              <w:ind w:left="0"/>
              <w:rPr>
                <w:lang w:val="nl-NL"/>
              </w:rPr>
            </w:pPr>
            <w:r>
              <w:rPr>
                <w:lang w:val="nl-NL"/>
              </w:rPr>
              <w:t>EIB</w:t>
            </w:r>
          </w:p>
        </w:tc>
      </w:tr>
      <w:tr w:rsidR="009B3748" w:rsidTr="009B3748">
        <w:tc>
          <w:tcPr>
            <w:tcW w:w="3096" w:type="dxa"/>
          </w:tcPr>
          <w:p w:rsidR="009B3748" w:rsidRPr="009B3748" w:rsidRDefault="009B3748" w:rsidP="00644075">
            <w:pPr>
              <w:pStyle w:val="msolistparagraph0"/>
              <w:spacing w:before="120" w:after="120"/>
              <w:ind w:left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Equity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mezannine</w:t>
            </w:r>
            <w:proofErr w:type="spellEnd"/>
          </w:p>
        </w:tc>
        <w:tc>
          <w:tcPr>
            <w:tcW w:w="3096" w:type="dxa"/>
          </w:tcPr>
          <w:p w:rsidR="009B3748" w:rsidRDefault="009B3748" w:rsidP="00644075">
            <w:pPr>
              <w:pStyle w:val="msolistparagraph0"/>
              <w:spacing w:before="120" w:after="120"/>
              <w:ind w:left="0"/>
              <w:rPr>
                <w:lang w:val="nl-NL"/>
              </w:rPr>
            </w:pPr>
            <w:r>
              <w:rPr>
                <w:lang w:val="nl-NL"/>
              </w:rPr>
              <w:t>EUR 1 miljard</w:t>
            </w:r>
          </w:p>
        </w:tc>
        <w:tc>
          <w:tcPr>
            <w:tcW w:w="3096" w:type="dxa"/>
          </w:tcPr>
          <w:p w:rsidR="009B3748" w:rsidRDefault="009B3748" w:rsidP="00644075">
            <w:pPr>
              <w:pStyle w:val="msolistparagraph0"/>
              <w:spacing w:before="120" w:after="120"/>
              <w:ind w:left="0"/>
              <w:rPr>
                <w:lang w:val="nl-NL"/>
              </w:rPr>
            </w:pPr>
            <w:r>
              <w:rPr>
                <w:lang w:val="nl-NL"/>
              </w:rPr>
              <w:t>EIB en EC</w:t>
            </w:r>
          </w:p>
        </w:tc>
      </w:tr>
      <w:tr w:rsidR="009B3748" w:rsidTr="009B3748">
        <w:tc>
          <w:tcPr>
            <w:tcW w:w="3096" w:type="dxa"/>
          </w:tcPr>
          <w:p w:rsidR="009B3748" w:rsidRDefault="009B3748" w:rsidP="00644075">
            <w:pPr>
              <w:pStyle w:val="msolistparagraph0"/>
              <w:spacing w:before="120" w:after="120"/>
              <w:ind w:left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Progress</w:t>
            </w:r>
            <w:proofErr w:type="spellEnd"/>
            <w:r>
              <w:rPr>
                <w:lang w:val="nl-NL"/>
              </w:rPr>
              <w:t xml:space="preserve"> microfinanciering</w:t>
            </w:r>
          </w:p>
        </w:tc>
        <w:tc>
          <w:tcPr>
            <w:tcW w:w="3096" w:type="dxa"/>
          </w:tcPr>
          <w:p w:rsidR="009B3748" w:rsidRDefault="009B3748" w:rsidP="00644075">
            <w:pPr>
              <w:pStyle w:val="msolistparagraph0"/>
              <w:spacing w:before="120" w:after="120"/>
              <w:ind w:left="0"/>
              <w:rPr>
                <w:lang w:val="nl-NL"/>
              </w:rPr>
            </w:pPr>
            <w:r>
              <w:rPr>
                <w:lang w:val="nl-NL"/>
              </w:rPr>
              <w:t>EUR 200 miljoen</w:t>
            </w:r>
          </w:p>
        </w:tc>
        <w:tc>
          <w:tcPr>
            <w:tcW w:w="3096" w:type="dxa"/>
          </w:tcPr>
          <w:p w:rsidR="009B3748" w:rsidRDefault="009B3748" w:rsidP="00644075">
            <w:pPr>
              <w:pStyle w:val="msolistparagraph0"/>
              <w:spacing w:before="120" w:after="120"/>
              <w:ind w:left="0"/>
              <w:rPr>
                <w:lang w:val="nl-NL"/>
              </w:rPr>
            </w:pPr>
            <w:r>
              <w:rPr>
                <w:lang w:val="nl-NL"/>
              </w:rPr>
              <w:t>EIB en EC</w:t>
            </w:r>
          </w:p>
        </w:tc>
      </w:tr>
      <w:tr w:rsidR="009B3748" w:rsidTr="009B3748">
        <w:tc>
          <w:tcPr>
            <w:tcW w:w="3096" w:type="dxa"/>
          </w:tcPr>
          <w:p w:rsidR="009B3748" w:rsidRDefault="009B3748" w:rsidP="00644075">
            <w:pPr>
              <w:pStyle w:val="msolistparagraph0"/>
              <w:spacing w:before="120" w:after="120"/>
              <w:ind w:left="0"/>
              <w:rPr>
                <w:lang w:val="nl-NL"/>
              </w:rPr>
            </w:pPr>
            <w:r>
              <w:rPr>
                <w:lang w:val="nl-NL"/>
              </w:rPr>
              <w:t>CIP (risicokapitaal en garanties)</w:t>
            </w:r>
          </w:p>
        </w:tc>
        <w:tc>
          <w:tcPr>
            <w:tcW w:w="3096" w:type="dxa"/>
          </w:tcPr>
          <w:p w:rsidR="009B3748" w:rsidRDefault="009B3748" w:rsidP="00644075">
            <w:pPr>
              <w:pStyle w:val="msolistparagraph0"/>
              <w:spacing w:before="120" w:after="120"/>
              <w:ind w:left="0"/>
              <w:rPr>
                <w:lang w:val="nl-NL"/>
              </w:rPr>
            </w:pPr>
            <w:r>
              <w:rPr>
                <w:lang w:val="nl-NL"/>
              </w:rPr>
              <w:t>EUR 1,1 miljard</w:t>
            </w:r>
          </w:p>
        </w:tc>
        <w:tc>
          <w:tcPr>
            <w:tcW w:w="3096" w:type="dxa"/>
          </w:tcPr>
          <w:p w:rsidR="009B3748" w:rsidRDefault="009B3748" w:rsidP="00644075">
            <w:pPr>
              <w:pStyle w:val="msolistparagraph0"/>
              <w:spacing w:before="120" w:after="120"/>
              <w:ind w:left="0"/>
              <w:rPr>
                <w:lang w:val="nl-NL"/>
              </w:rPr>
            </w:pPr>
            <w:r>
              <w:rPr>
                <w:lang w:val="nl-NL"/>
              </w:rPr>
              <w:t>EC</w:t>
            </w:r>
          </w:p>
        </w:tc>
      </w:tr>
      <w:tr w:rsidR="009B3748" w:rsidRPr="009B3748" w:rsidTr="009B3748">
        <w:tc>
          <w:tcPr>
            <w:tcW w:w="3096" w:type="dxa"/>
          </w:tcPr>
          <w:p w:rsidR="009B3748" w:rsidRPr="009B3748" w:rsidRDefault="009B3748" w:rsidP="00644075">
            <w:pPr>
              <w:pStyle w:val="msolistparagraph0"/>
              <w:spacing w:before="120" w:after="120"/>
              <w:ind w:left="0"/>
            </w:pPr>
            <w:r w:rsidRPr="009B3748">
              <w:t>Risk Sharing Finance Facility / Risk Sharing Instrument</w:t>
            </w:r>
          </w:p>
        </w:tc>
        <w:tc>
          <w:tcPr>
            <w:tcW w:w="3096" w:type="dxa"/>
          </w:tcPr>
          <w:p w:rsidR="009B3748" w:rsidRPr="009B3748" w:rsidRDefault="009B3748" w:rsidP="00644075">
            <w:pPr>
              <w:pStyle w:val="msolistparagraph0"/>
              <w:spacing w:before="120" w:after="120"/>
              <w:ind w:left="0"/>
            </w:pPr>
            <w:r>
              <w:t xml:space="preserve">EUR 150 </w:t>
            </w:r>
            <w:proofErr w:type="spellStart"/>
            <w:r>
              <w:t>miljoen</w:t>
            </w:r>
            <w:proofErr w:type="spellEnd"/>
          </w:p>
        </w:tc>
        <w:tc>
          <w:tcPr>
            <w:tcW w:w="3096" w:type="dxa"/>
          </w:tcPr>
          <w:p w:rsidR="009B3748" w:rsidRPr="009B3748" w:rsidRDefault="009B3748" w:rsidP="00644075">
            <w:pPr>
              <w:pStyle w:val="msolistparagraph0"/>
              <w:spacing w:before="120" w:after="120"/>
              <w:ind w:left="0"/>
            </w:pPr>
            <w:r>
              <w:t>EC</w:t>
            </w:r>
          </w:p>
        </w:tc>
      </w:tr>
      <w:tr w:rsidR="009B3748" w:rsidRPr="009B3748" w:rsidTr="009B3748">
        <w:tc>
          <w:tcPr>
            <w:tcW w:w="3096" w:type="dxa"/>
          </w:tcPr>
          <w:p w:rsidR="009B3748" w:rsidRPr="009B3748" w:rsidRDefault="009B3748" w:rsidP="00644075">
            <w:pPr>
              <w:pStyle w:val="msolistparagraph0"/>
              <w:spacing w:before="120" w:after="120"/>
              <w:ind w:left="0"/>
              <w:rPr>
                <w:lang w:val="nl-BE"/>
              </w:rPr>
            </w:pPr>
            <w:r w:rsidRPr="009B3748">
              <w:rPr>
                <w:lang w:val="nl-BE"/>
              </w:rPr>
              <w:t xml:space="preserve">JEREMIE programma (via Structuurfondsen en </w:t>
            </w:r>
            <w:proofErr w:type="spellStart"/>
            <w:r w:rsidRPr="009B3748">
              <w:rPr>
                <w:lang w:val="nl-BE"/>
              </w:rPr>
              <w:t>KMO’s</w:t>
            </w:r>
            <w:proofErr w:type="spellEnd"/>
            <w:r w:rsidRPr="009B3748">
              <w:rPr>
                <w:lang w:val="nl-BE"/>
              </w:rPr>
              <w:t>)</w:t>
            </w:r>
          </w:p>
        </w:tc>
        <w:tc>
          <w:tcPr>
            <w:tcW w:w="3096" w:type="dxa"/>
          </w:tcPr>
          <w:p w:rsidR="009B3748" w:rsidRPr="009B3748" w:rsidRDefault="009B3748" w:rsidP="00644075">
            <w:pPr>
              <w:pStyle w:val="msolistparagraph0"/>
              <w:spacing w:before="120" w:after="120"/>
              <w:ind w:left="0"/>
              <w:rPr>
                <w:lang w:val="nl-BE"/>
              </w:rPr>
            </w:pPr>
            <w:r>
              <w:rPr>
                <w:lang w:val="nl-BE"/>
              </w:rPr>
              <w:t>EUR 1,5 miljard</w:t>
            </w:r>
          </w:p>
        </w:tc>
        <w:tc>
          <w:tcPr>
            <w:tcW w:w="3096" w:type="dxa"/>
          </w:tcPr>
          <w:p w:rsidR="009B3748" w:rsidRPr="009B3748" w:rsidRDefault="009B3748" w:rsidP="00644075">
            <w:pPr>
              <w:pStyle w:val="msolistparagraph0"/>
              <w:spacing w:before="120" w:after="120"/>
              <w:ind w:left="0"/>
              <w:rPr>
                <w:lang w:val="nl-BE"/>
              </w:rPr>
            </w:pPr>
            <w:r>
              <w:rPr>
                <w:lang w:val="nl-BE"/>
              </w:rPr>
              <w:t>EC</w:t>
            </w:r>
          </w:p>
        </w:tc>
      </w:tr>
      <w:tr w:rsidR="009B3748" w:rsidRPr="009B3748" w:rsidTr="009B3748">
        <w:tc>
          <w:tcPr>
            <w:tcW w:w="3096" w:type="dxa"/>
          </w:tcPr>
          <w:p w:rsidR="009B3748" w:rsidRPr="009B3748" w:rsidRDefault="009B3748" w:rsidP="00644075">
            <w:pPr>
              <w:pStyle w:val="msolistparagraph0"/>
              <w:spacing w:before="120" w:after="120"/>
              <w:ind w:left="0"/>
              <w:rPr>
                <w:lang w:val="nl-BE"/>
              </w:rPr>
            </w:pPr>
            <w:r>
              <w:rPr>
                <w:lang w:val="nl-BE"/>
              </w:rPr>
              <w:t>JASMINE (technische assistentie microfinanciering</w:t>
            </w:r>
            <w:r w:rsidR="00644075">
              <w:rPr>
                <w:lang w:val="nl-BE"/>
              </w:rPr>
              <w:t>)</w:t>
            </w:r>
          </w:p>
        </w:tc>
        <w:tc>
          <w:tcPr>
            <w:tcW w:w="3096" w:type="dxa"/>
          </w:tcPr>
          <w:p w:rsidR="009B3748" w:rsidRDefault="009B3748" w:rsidP="00644075">
            <w:pPr>
              <w:pStyle w:val="msolistparagraph0"/>
              <w:spacing w:before="120" w:after="120"/>
              <w:ind w:left="0"/>
              <w:rPr>
                <w:lang w:val="nl-BE"/>
              </w:rPr>
            </w:pPr>
            <w:r>
              <w:rPr>
                <w:lang w:val="nl-BE"/>
              </w:rPr>
              <w:t>Niet beschikbaar</w:t>
            </w:r>
          </w:p>
        </w:tc>
        <w:tc>
          <w:tcPr>
            <w:tcW w:w="3096" w:type="dxa"/>
          </w:tcPr>
          <w:p w:rsidR="009B3748" w:rsidRDefault="00644075" w:rsidP="00644075">
            <w:pPr>
              <w:pStyle w:val="msolistparagraph0"/>
              <w:spacing w:before="120" w:after="120"/>
              <w:ind w:left="0"/>
              <w:rPr>
                <w:lang w:val="nl-BE"/>
              </w:rPr>
            </w:pPr>
            <w:r>
              <w:rPr>
                <w:lang w:val="nl-BE"/>
              </w:rPr>
              <w:t>EC</w:t>
            </w:r>
          </w:p>
        </w:tc>
      </w:tr>
      <w:tr w:rsidR="00027A5B" w:rsidRPr="009B3748" w:rsidTr="009B3748">
        <w:tc>
          <w:tcPr>
            <w:tcW w:w="3096" w:type="dxa"/>
          </w:tcPr>
          <w:p w:rsidR="00027A5B" w:rsidRDefault="00027A5B" w:rsidP="00644075">
            <w:pPr>
              <w:pStyle w:val="msolistparagraph0"/>
              <w:spacing w:before="120" w:after="120"/>
              <w:ind w:left="0"/>
              <w:rPr>
                <w:lang w:val="nl-BE"/>
              </w:rPr>
            </w:pPr>
            <w:r>
              <w:rPr>
                <w:lang w:val="nl-BE"/>
              </w:rPr>
              <w:t>Bilaterale overeenkomsten met lidstaten</w:t>
            </w:r>
          </w:p>
        </w:tc>
        <w:tc>
          <w:tcPr>
            <w:tcW w:w="3096" w:type="dxa"/>
          </w:tcPr>
          <w:p w:rsidR="00027A5B" w:rsidRDefault="00027A5B" w:rsidP="00644075">
            <w:pPr>
              <w:pStyle w:val="msolistparagraph0"/>
              <w:spacing w:before="120" w:after="120"/>
              <w:ind w:left="0"/>
              <w:rPr>
                <w:lang w:val="nl-BE"/>
              </w:rPr>
            </w:pPr>
            <w:r>
              <w:rPr>
                <w:lang w:val="nl-BE"/>
              </w:rPr>
              <w:t>Niet beschikbaar</w:t>
            </w:r>
          </w:p>
        </w:tc>
        <w:tc>
          <w:tcPr>
            <w:tcW w:w="3096" w:type="dxa"/>
          </w:tcPr>
          <w:p w:rsidR="00027A5B" w:rsidRDefault="00027A5B" w:rsidP="00644075">
            <w:pPr>
              <w:pStyle w:val="msolistparagraph0"/>
              <w:spacing w:before="120" w:after="120"/>
              <w:ind w:left="0"/>
              <w:rPr>
                <w:lang w:val="nl-BE"/>
              </w:rPr>
            </w:pPr>
            <w:r>
              <w:rPr>
                <w:lang w:val="nl-BE"/>
              </w:rPr>
              <w:t>Niet beschikbaar</w:t>
            </w:r>
          </w:p>
        </w:tc>
      </w:tr>
    </w:tbl>
    <w:p w:rsidR="009B3748" w:rsidRPr="009B3748" w:rsidRDefault="009B3748" w:rsidP="009B3748">
      <w:pPr>
        <w:pStyle w:val="msolistparagraph0"/>
        <w:ind w:left="0"/>
        <w:rPr>
          <w:lang w:val="nl-BE"/>
        </w:rPr>
      </w:pPr>
    </w:p>
    <w:p w:rsidR="00EA5A12" w:rsidRPr="009B3748" w:rsidRDefault="00EA5A12"/>
    <w:sectPr w:rsidR="00EA5A12" w:rsidRPr="009B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6AF8"/>
    <w:multiLevelType w:val="hybridMultilevel"/>
    <w:tmpl w:val="394A1D2C"/>
    <w:lvl w:ilvl="0" w:tplc="1854AB90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3748"/>
    <w:rsid w:val="00027A5B"/>
    <w:rsid w:val="0046445E"/>
    <w:rsid w:val="004B32B6"/>
    <w:rsid w:val="00644075"/>
    <w:rsid w:val="0071290E"/>
    <w:rsid w:val="007E3E9C"/>
    <w:rsid w:val="009B3748"/>
    <w:rsid w:val="00EA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msolistparagraph0">
    <w:name w:val="msolistparagraph"/>
    <w:basedOn w:val="Standaard"/>
    <w:rsid w:val="009B3748"/>
    <w:pPr>
      <w:ind w:left="720"/>
    </w:pPr>
    <w:rPr>
      <w:lang w:val="en-US" w:eastAsia="en-US"/>
    </w:rPr>
  </w:style>
  <w:style w:type="table" w:styleId="Tabelraster">
    <w:name w:val="Table Grid"/>
    <w:basedOn w:val="Standaardtabel"/>
    <w:rsid w:val="009B3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Specifieke mandaten van het EIF</vt:lpstr>
    </vt:vector>
  </TitlesOfParts>
  <Company>Federal Public Foreign Affairs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Specifieke mandaten van het EIF</dc:title>
  <dc:creator>boutek</dc:creator>
  <cp:lastModifiedBy>Eigenaar</cp:lastModifiedBy>
  <cp:revision>2</cp:revision>
  <dcterms:created xsi:type="dcterms:W3CDTF">2012-10-17T08:31:00Z</dcterms:created>
  <dcterms:modified xsi:type="dcterms:W3CDTF">2012-10-17T08:31:00Z</dcterms:modified>
</cp:coreProperties>
</file>