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12" w:rsidRPr="00A8473D" w:rsidRDefault="00547412" w:rsidP="00A2698A">
      <w:pPr>
        <w:jc w:val="both"/>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547412" w:rsidRDefault="00547412" w:rsidP="00A2698A">
      <w:pPr>
        <w:pStyle w:val="StandaardSV"/>
        <w:rPr>
          <w:smallCaps/>
        </w:rPr>
      </w:pPr>
      <w:r w:rsidRPr="00A8473D">
        <w:rPr>
          <w:smallCaps/>
          <w:szCs w:val="22"/>
          <w:lang w:val="nl-BE"/>
        </w:rPr>
        <w:t xml:space="preserve">minister-president van de </w:t>
      </w:r>
      <w:proofErr w:type="spellStart"/>
      <w:r w:rsidRPr="00A8473D">
        <w:rPr>
          <w:smallCaps/>
          <w:szCs w:val="22"/>
          <w:lang w:val="nl-BE"/>
        </w:rPr>
        <w:t>vlaamse</w:t>
      </w:r>
      <w:proofErr w:type="spellEnd"/>
      <w:r w:rsidRPr="00A8473D">
        <w:rPr>
          <w:smallCaps/>
          <w:szCs w:val="22"/>
          <w:lang w:val="nl-BE"/>
        </w:rPr>
        <w:t xml:space="preserve"> regering, </w:t>
      </w:r>
      <w:proofErr w:type="spellStart"/>
      <w:r w:rsidRPr="00A8473D">
        <w:rPr>
          <w:smallCaps/>
          <w:szCs w:val="22"/>
          <w:lang w:val="nl-BE"/>
        </w:rPr>
        <w:t>vlaams</w:t>
      </w:r>
      <w:proofErr w:type="spellEnd"/>
      <w:r w:rsidRPr="00A8473D">
        <w:rPr>
          <w:smallCaps/>
          <w:szCs w:val="22"/>
          <w:lang w:val="nl-BE"/>
        </w:rPr>
        <w:t xml:space="preserve"> minister van economie, buitenlands beleid, landbouw en plattelandsbeleid</w:t>
      </w:r>
    </w:p>
    <w:p w:rsidR="00547412" w:rsidRDefault="00547412" w:rsidP="00A2698A">
      <w:pPr>
        <w:pBdr>
          <w:bottom w:val="single" w:sz="4" w:space="1" w:color="auto"/>
        </w:pBdr>
        <w:rPr>
          <w:sz w:val="22"/>
        </w:rPr>
      </w:pPr>
    </w:p>
    <w:p w:rsidR="00547412" w:rsidRDefault="00547412" w:rsidP="00A2698A">
      <w:pPr>
        <w:rPr>
          <w:sz w:val="22"/>
        </w:rPr>
      </w:pPr>
    </w:p>
    <w:p w:rsidR="00547412" w:rsidRPr="00EB78CA" w:rsidRDefault="00547412" w:rsidP="00A2698A">
      <w:pPr>
        <w:rPr>
          <w:b/>
          <w:smallCaps/>
          <w:sz w:val="22"/>
          <w:szCs w:val="22"/>
        </w:rPr>
      </w:pPr>
      <w:r w:rsidRPr="00EB78CA">
        <w:rPr>
          <w:b/>
          <w:smallCaps/>
          <w:sz w:val="22"/>
          <w:szCs w:val="22"/>
        </w:rPr>
        <w:t>antwoord</w:t>
      </w:r>
    </w:p>
    <w:p w:rsidR="00547412" w:rsidRPr="00EB78CA" w:rsidRDefault="00547412" w:rsidP="00A2698A">
      <w:pPr>
        <w:rPr>
          <w:sz w:val="22"/>
          <w:szCs w:val="22"/>
        </w:rPr>
      </w:pPr>
      <w:r w:rsidRPr="00EB78CA">
        <w:rPr>
          <w:sz w:val="22"/>
          <w:szCs w:val="22"/>
        </w:rPr>
        <w:t xml:space="preserve">op vraag nr. </w:t>
      </w:r>
      <w:r>
        <w:rPr>
          <w:sz w:val="22"/>
        </w:rPr>
        <w:t>525</w:t>
      </w:r>
      <w:r w:rsidRPr="00EB78CA">
        <w:rPr>
          <w:sz w:val="22"/>
          <w:szCs w:val="22"/>
        </w:rPr>
        <w:t xml:space="preserve"> van </w:t>
      </w:r>
      <w:r>
        <w:rPr>
          <w:sz w:val="22"/>
        </w:rPr>
        <w:t>17 september 2012</w:t>
      </w:r>
    </w:p>
    <w:p w:rsidR="00547412" w:rsidRDefault="00547412" w:rsidP="00A2698A">
      <w:pPr>
        <w:rPr>
          <w:sz w:val="22"/>
        </w:rPr>
      </w:pPr>
      <w:r w:rsidRPr="00EB78CA">
        <w:rPr>
          <w:sz w:val="22"/>
          <w:szCs w:val="22"/>
        </w:rPr>
        <w:t xml:space="preserve">van </w:t>
      </w:r>
      <w:r>
        <w:rPr>
          <w:b/>
          <w:smallCaps/>
          <w:sz w:val="22"/>
        </w:rPr>
        <w:t>koen van den heuvel</w:t>
      </w:r>
    </w:p>
    <w:p w:rsidR="00547412" w:rsidRDefault="00547412" w:rsidP="00A2698A">
      <w:pPr>
        <w:pBdr>
          <w:bottom w:val="single" w:sz="4" w:space="1" w:color="auto"/>
        </w:pBdr>
        <w:jc w:val="both"/>
        <w:rPr>
          <w:sz w:val="22"/>
        </w:rPr>
      </w:pPr>
    </w:p>
    <w:p w:rsidR="00547412" w:rsidRPr="006115B9" w:rsidRDefault="00547412" w:rsidP="00356213">
      <w:pPr>
        <w:rPr>
          <w:sz w:val="22"/>
          <w:szCs w:val="22"/>
        </w:rPr>
      </w:pPr>
    </w:p>
    <w:p w:rsidR="00547412" w:rsidRPr="006115B9" w:rsidRDefault="00547412" w:rsidP="00356213">
      <w:pPr>
        <w:pStyle w:val="StandaardSV"/>
        <w:jc w:val="left"/>
        <w:rPr>
          <w:bCs/>
          <w:szCs w:val="22"/>
          <w:lang w:eastAsia="nl-BE"/>
        </w:rPr>
      </w:pPr>
    </w:p>
    <w:p w:rsidR="00547412" w:rsidRPr="006115B9" w:rsidRDefault="00547412" w:rsidP="006279C9">
      <w:pPr>
        <w:pStyle w:val="StandaardSV"/>
        <w:numPr>
          <w:ilvl w:val="0"/>
          <w:numId w:val="33"/>
        </w:numPr>
        <w:rPr>
          <w:szCs w:val="22"/>
          <w:lang w:eastAsia="nl-BE"/>
        </w:rPr>
      </w:pPr>
      <w:r w:rsidRPr="006115B9">
        <w:rPr>
          <w:szCs w:val="22"/>
          <w:lang w:eastAsia="nl-BE"/>
        </w:rPr>
        <w:t xml:space="preserve">Voor een overzicht vanaf 2005 wordt verwezen naar </w:t>
      </w:r>
      <w:r>
        <w:rPr>
          <w:szCs w:val="22"/>
          <w:lang w:eastAsia="nl-BE"/>
        </w:rPr>
        <w:t xml:space="preserve">de </w:t>
      </w:r>
      <w:r w:rsidRPr="0088579B">
        <w:rPr>
          <w:szCs w:val="22"/>
          <w:u w:val="single"/>
          <w:lang w:eastAsia="nl-BE"/>
        </w:rPr>
        <w:t>bijlage</w:t>
      </w:r>
      <w:r w:rsidRPr="006115B9">
        <w:rPr>
          <w:szCs w:val="22"/>
          <w:lang w:eastAsia="nl-BE"/>
        </w:rPr>
        <w:t>. De gegevens in dit overzicht we</w:t>
      </w:r>
      <w:r w:rsidRPr="006115B9">
        <w:rPr>
          <w:szCs w:val="22"/>
          <w:lang w:eastAsia="nl-BE"/>
        </w:rPr>
        <w:t>r</w:t>
      </w:r>
      <w:r w:rsidRPr="006115B9">
        <w:rPr>
          <w:szCs w:val="22"/>
          <w:lang w:eastAsia="nl-BE"/>
        </w:rPr>
        <w:t>den ons beschikbaar gesteld door het EIF zelf.</w:t>
      </w:r>
    </w:p>
    <w:p w:rsidR="0061622D" w:rsidRPr="006115B9" w:rsidRDefault="0061622D" w:rsidP="006279C9">
      <w:pPr>
        <w:pStyle w:val="StandaardSV"/>
        <w:rPr>
          <w:szCs w:val="22"/>
          <w:lang w:eastAsia="nl-BE"/>
        </w:rPr>
      </w:pPr>
    </w:p>
    <w:p w:rsidR="00547412" w:rsidRPr="006115B9" w:rsidRDefault="00547412" w:rsidP="006279C9">
      <w:pPr>
        <w:pStyle w:val="StandaardSV"/>
        <w:numPr>
          <w:ilvl w:val="0"/>
          <w:numId w:val="33"/>
        </w:numPr>
        <w:rPr>
          <w:szCs w:val="22"/>
          <w:lang w:eastAsia="nl-BE"/>
        </w:rPr>
      </w:pPr>
      <w:r>
        <w:rPr>
          <w:szCs w:val="22"/>
          <w:lang w:eastAsia="nl-BE"/>
        </w:rPr>
        <w:t>De eigen middelen van het EIF</w:t>
      </w:r>
      <w:r w:rsidRPr="006115B9">
        <w:rPr>
          <w:rStyle w:val="Voetnootmarkering"/>
          <w:szCs w:val="22"/>
          <w:lang w:eastAsia="nl-BE"/>
        </w:rPr>
        <w:footnoteReference w:id="1"/>
      </w:r>
      <w:r w:rsidRPr="006115B9">
        <w:rPr>
          <w:szCs w:val="22"/>
          <w:lang w:eastAsia="nl-BE"/>
        </w:rPr>
        <w:t xml:space="preserve"> </w:t>
      </w:r>
      <w:r>
        <w:rPr>
          <w:szCs w:val="22"/>
          <w:lang w:eastAsia="nl-BE"/>
        </w:rPr>
        <w:t xml:space="preserve">bedragen </w:t>
      </w:r>
      <w:r w:rsidRPr="006115B9">
        <w:rPr>
          <w:szCs w:val="22"/>
          <w:lang w:eastAsia="nl-BE"/>
        </w:rPr>
        <w:t xml:space="preserve">3 miljard euro </w:t>
      </w:r>
      <w:r>
        <w:rPr>
          <w:szCs w:val="22"/>
          <w:lang w:eastAsia="nl-BE"/>
        </w:rPr>
        <w:t xml:space="preserve">die </w:t>
      </w:r>
      <w:r w:rsidRPr="006115B9">
        <w:rPr>
          <w:szCs w:val="22"/>
          <w:lang w:eastAsia="nl-BE"/>
        </w:rPr>
        <w:t>als volgt word</w:t>
      </w:r>
      <w:r>
        <w:rPr>
          <w:szCs w:val="22"/>
          <w:lang w:eastAsia="nl-BE"/>
        </w:rPr>
        <w:t>en</w:t>
      </w:r>
      <w:r w:rsidRPr="006115B9">
        <w:rPr>
          <w:szCs w:val="22"/>
          <w:lang w:eastAsia="nl-BE"/>
        </w:rPr>
        <w:t xml:space="preserve"> ingebracht:</w:t>
      </w:r>
    </w:p>
    <w:p w:rsidR="00547412" w:rsidRPr="006115B9" w:rsidRDefault="00547412" w:rsidP="006279C9">
      <w:pPr>
        <w:pStyle w:val="StandaardSV"/>
        <w:numPr>
          <w:ilvl w:val="0"/>
          <w:numId w:val="32"/>
        </w:numPr>
        <w:rPr>
          <w:szCs w:val="22"/>
          <w:lang w:eastAsia="nl-BE"/>
        </w:rPr>
      </w:pPr>
      <w:r w:rsidRPr="006115B9">
        <w:rPr>
          <w:szCs w:val="22"/>
          <w:lang w:eastAsia="nl-BE"/>
        </w:rPr>
        <w:t>6</w:t>
      </w:r>
      <w:r>
        <w:rPr>
          <w:szCs w:val="22"/>
          <w:lang w:eastAsia="nl-BE"/>
        </w:rPr>
        <w:t>2,1</w:t>
      </w:r>
      <w:r w:rsidRPr="006115B9">
        <w:rPr>
          <w:szCs w:val="22"/>
          <w:lang w:eastAsia="nl-BE"/>
        </w:rPr>
        <w:t>% wordt ingebracht door de Europese Investeringsbank (EIB);</w:t>
      </w:r>
    </w:p>
    <w:p w:rsidR="00547412" w:rsidRPr="006115B9" w:rsidRDefault="00547412" w:rsidP="006279C9">
      <w:pPr>
        <w:pStyle w:val="StandaardSV"/>
        <w:numPr>
          <w:ilvl w:val="0"/>
          <w:numId w:val="32"/>
        </w:numPr>
        <w:rPr>
          <w:szCs w:val="22"/>
          <w:lang w:eastAsia="nl-BE"/>
        </w:rPr>
      </w:pPr>
      <w:r w:rsidRPr="006115B9">
        <w:rPr>
          <w:szCs w:val="22"/>
          <w:lang w:eastAsia="nl-BE"/>
        </w:rPr>
        <w:t xml:space="preserve">30% wordt ingebracht door de </w:t>
      </w:r>
      <w:r>
        <w:rPr>
          <w:szCs w:val="22"/>
          <w:lang w:eastAsia="nl-BE"/>
        </w:rPr>
        <w:t xml:space="preserve">Europese Unie (EU), vertegenwoordigd door de </w:t>
      </w:r>
      <w:r w:rsidRPr="006115B9">
        <w:rPr>
          <w:szCs w:val="22"/>
          <w:lang w:eastAsia="nl-BE"/>
        </w:rPr>
        <w:t>Europese Commissie</w:t>
      </w:r>
      <w:r>
        <w:rPr>
          <w:szCs w:val="22"/>
          <w:lang w:eastAsia="nl-BE"/>
        </w:rPr>
        <w:t xml:space="preserve"> (EC)</w:t>
      </w:r>
      <w:r w:rsidRPr="006115B9">
        <w:rPr>
          <w:szCs w:val="22"/>
          <w:lang w:eastAsia="nl-BE"/>
        </w:rPr>
        <w:t>;</w:t>
      </w:r>
    </w:p>
    <w:p w:rsidR="00547412" w:rsidRPr="006115B9" w:rsidRDefault="00547412" w:rsidP="006279C9">
      <w:pPr>
        <w:pStyle w:val="StandaardSV"/>
        <w:numPr>
          <w:ilvl w:val="0"/>
          <w:numId w:val="32"/>
        </w:numPr>
        <w:rPr>
          <w:szCs w:val="22"/>
          <w:lang w:eastAsia="nl-BE"/>
        </w:rPr>
      </w:pPr>
      <w:r>
        <w:rPr>
          <w:szCs w:val="22"/>
          <w:lang w:eastAsia="nl-BE"/>
        </w:rPr>
        <w:t>7,9</w:t>
      </w:r>
      <w:r w:rsidRPr="006115B9">
        <w:rPr>
          <w:szCs w:val="22"/>
          <w:lang w:eastAsia="nl-BE"/>
        </w:rPr>
        <w:t>% wordt ingebracht</w:t>
      </w:r>
      <w:r>
        <w:rPr>
          <w:szCs w:val="22"/>
          <w:lang w:eastAsia="nl-BE"/>
        </w:rPr>
        <w:t xml:space="preserve"> door 24 financiële instellingen uit 15 landen</w:t>
      </w:r>
      <w:r>
        <w:rPr>
          <w:rStyle w:val="Voetnootmarkering"/>
          <w:szCs w:val="22"/>
          <w:lang w:eastAsia="nl-BE"/>
        </w:rPr>
        <w:footnoteReference w:id="2"/>
      </w:r>
      <w:r>
        <w:rPr>
          <w:szCs w:val="22"/>
          <w:lang w:eastAsia="nl-BE"/>
        </w:rPr>
        <w:t>. Hier zijn geen Belgische instellingen bij betrokken.</w:t>
      </w:r>
    </w:p>
    <w:p w:rsidR="00547412" w:rsidRDefault="00547412" w:rsidP="006279C9">
      <w:pPr>
        <w:pStyle w:val="StandaardSV"/>
        <w:ind w:left="360"/>
        <w:rPr>
          <w:szCs w:val="22"/>
          <w:lang w:eastAsia="nl-BE"/>
        </w:rPr>
      </w:pPr>
    </w:p>
    <w:p w:rsidR="00547412" w:rsidRDefault="00547412" w:rsidP="006279C9">
      <w:pPr>
        <w:pStyle w:val="StandaardSV"/>
        <w:ind w:left="360"/>
        <w:rPr>
          <w:szCs w:val="22"/>
          <w:lang w:eastAsia="nl-BE"/>
        </w:rPr>
      </w:pPr>
      <w:r>
        <w:rPr>
          <w:szCs w:val="22"/>
          <w:lang w:eastAsia="nl-BE"/>
        </w:rPr>
        <w:t xml:space="preserve">Daarbovenop ontvangt het EIF ook specifieke mandaten vanwege de EIB of de EC om bepaalde delen van hun budget te beheren. Ook kunnen lidstaten bilaterale akkoorden sluiten met het EIF om een “fund-of-fund” op te richten. De specifieke mandaten staan opgenomen in bijlage 2. De gegevens komen van de EIB. </w:t>
      </w:r>
    </w:p>
    <w:p w:rsidR="00547412" w:rsidRDefault="00547412" w:rsidP="006279C9">
      <w:pPr>
        <w:pStyle w:val="StandaardSV"/>
        <w:ind w:left="360"/>
        <w:rPr>
          <w:szCs w:val="22"/>
          <w:lang w:eastAsia="nl-BE"/>
        </w:rPr>
      </w:pPr>
    </w:p>
    <w:p w:rsidR="00547412" w:rsidRDefault="00547412" w:rsidP="006279C9">
      <w:pPr>
        <w:pStyle w:val="StandaardSV"/>
        <w:ind w:left="360"/>
        <w:rPr>
          <w:szCs w:val="22"/>
          <w:lang w:eastAsia="nl-BE"/>
        </w:rPr>
      </w:pPr>
      <w:r>
        <w:rPr>
          <w:szCs w:val="22"/>
          <w:lang w:eastAsia="nl-BE"/>
        </w:rPr>
        <w:t>Niet alle specifieke mandaten worden meegenomen in de hiernavolgende berekeningen omdat sommige mandaten door zowel de EIB als de EC worden verleend zonder dat de onderlinge verd</w:t>
      </w:r>
      <w:r>
        <w:rPr>
          <w:szCs w:val="22"/>
          <w:lang w:eastAsia="nl-BE"/>
        </w:rPr>
        <w:t>e</w:t>
      </w:r>
      <w:r>
        <w:rPr>
          <w:szCs w:val="22"/>
          <w:lang w:eastAsia="nl-BE"/>
        </w:rPr>
        <w:t>ling is gekend, waardoor afgeleiden niet mogelijk zijn.</w:t>
      </w:r>
    </w:p>
    <w:p w:rsidR="00547412" w:rsidRDefault="00547412" w:rsidP="006279C9">
      <w:pPr>
        <w:pStyle w:val="StandaardSV"/>
        <w:ind w:left="360"/>
        <w:rPr>
          <w:szCs w:val="22"/>
          <w:lang w:eastAsia="nl-BE"/>
        </w:rPr>
      </w:pPr>
    </w:p>
    <w:p w:rsidR="00547412" w:rsidRPr="006115B9" w:rsidRDefault="00547412" w:rsidP="006279C9">
      <w:pPr>
        <w:pStyle w:val="StandaardSV"/>
        <w:ind w:left="360"/>
        <w:rPr>
          <w:szCs w:val="22"/>
          <w:lang w:eastAsia="nl-BE"/>
        </w:rPr>
      </w:pPr>
      <w:r>
        <w:rPr>
          <w:szCs w:val="22"/>
          <w:lang w:eastAsia="nl-BE"/>
        </w:rPr>
        <w:t xml:space="preserve">Er is geen directe bijdrage van België tot het EIF. Wat de indirecte inbreng betreft, kunnen we slechts </w:t>
      </w:r>
      <w:r w:rsidRPr="006115B9">
        <w:rPr>
          <w:szCs w:val="22"/>
          <w:lang w:eastAsia="nl-BE"/>
        </w:rPr>
        <w:t xml:space="preserve">een </w:t>
      </w:r>
      <w:r>
        <w:rPr>
          <w:szCs w:val="22"/>
          <w:lang w:eastAsia="nl-BE"/>
        </w:rPr>
        <w:t xml:space="preserve">onnauwkeurige en onvolledige </w:t>
      </w:r>
      <w:r w:rsidRPr="006115B9">
        <w:rPr>
          <w:szCs w:val="22"/>
          <w:lang w:eastAsia="nl-BE"/>
        </w:rPr>
        <w:t xml:space="preserve">indicatie </w:t>
      </w:r>
      <w:r>
        <w:rPr>
          <w:szCs w:val="22"/>
          <w:lang w:eastAsia="nl-BE"/>
        </w:rPr>
        <w:t xml:space="preserve">geven </w:t>
      </w:r>
      <w:r w:rsidRPr="006115B9">
        <w:rPr>
          <w:szCs w:val="22"/>
          <w:lang w:eastAsia="nl-BE"/>
        </w:rPr>
        <w:t>(een exacte berekening</w:t>
      </w:r>
      <w:r>
        <w:rPr>
          <w:szCs w:val="22"/>
          <w:lang w:eastAsia="nl-BE"/>
        </w:rPr>
        <w:t xml:space="preserve"> maken</w:t>
      </w:r>
      <w:r w:rsidRPr="006115B9">
        <w:rPr>
          <w:szCs w:val="22"/>
          <w:lang w:eastAsia="nl-BE"/>
        </w:rPr>
        <w:t xml:space="preserve"> – laat staan tot op het niveau van Vlaanderen – is welhaast onmogelijk) </w:t>
      </w:r>
      <w:r>
        <w:rPr>
          <w:szCs w:val="22"/>
          <w:lang w:eastAsia="nl-BE"/>
        </w:rPr>
        <w:t>v</w:t>
      </w:r>
      <w:r w:rsidRPr="006115B9">
        <w:rPr>
          <w:szCs w:val="22"/>
          <w:lang w:eastAsia="nl-BE"/>
        </w:rPr>
        <w:t xml:space="preserve">an de Belgische EIF-input </w:t>
      </w:r>
      <w:r>
        <w:rPr>
          <w:szCs w:val="22"/>
          <w:lang w:eastAsia="nl-BE"/>
        </w:rPr>
        <w:t>aa</w:t>
      </w:r>
      <w:r w:rsidRPr="006115B9">
        <w:rPr>
          <w:szCs w:val="22"/>
          <w:lang w:eastAsia="nl-BE"/>
        </w:rPr>
        <w:t xml:space="preserve">n de hand van de Belgische bijdrage tot resp. het EIB-kapitaal en de </w:t>
      </w:r>
      <w:r>
        <w:rPr>
          <w:szCs w:val="22"/>
          <w:lang w:eastAsia="nl-BE"/>
        </w:rPr>
        <w:t>EU-</w:t>
      </w:r>
      <w:r w:rsidRPr="006115B9">
        <w:rPr>
          <w:szCs w:val="22"/>
          <w:lang w:eastAsia="nl-BE"/>
        </w:rPr>
        <w:t>inkomsten.</w:t>
      </w:r>
    </w:p>
    <w:p w:rsidR="00547412" w:rsidRPr="006115B9" w:rsidRDefault="00547412" w:rsidP="006279C9">
      <w:pPr>
        <w:pStyle w:val="StandaardSV"/>
        <w:ind w:left="360"/>
        <w:rPr>
          <w:szCs w:val="22"/>
          <w:lang w:eastAsia="nl-BE"/>
        </w:rPr>
      </w:pPr>
    </w:p>
    <w:p w:rsidR="00547412" w:rsidRPr="006115B9" w:rsidRDefault="00547412" w:rsidP="006279C9">
      <w:pPr>
        <w:ind w:left="360"/>
        <w:jc w:val="both"/>
        <w:rPr>
          <w:sz w:val="22"/>
          <w:szCs w:val="22"/>
          <w:lang w:eastAsia="nl-BE"/>
        </w:rPr>
      </w:pPr>
      <w:r w:rsidRPr="006115B9">
        <w:rPr>
          <w:sz w:val="22"/>
          <w:szCs w:val="22"/>
          <w:lang w:eastAsia="nl-BE"/>
        </w:rPr>
        <w:t>Het EIB-kapitaal</w:t>
      </w:r>
      <w:r w:rsidRPr="006115B9">
        <w:rPr>
          <w:rStyle w:val="Voetnootmarkering"/>
          <w:sz w:val="22"/>
          <w:szCs w:val="22"/>
          <w:lang w:eastAsia="nl-BE"/>
        </w:rPr>
        <w:footnoteReference w:id="3"/>
      </w:r>
      <w:r w:rsidRPr="006115B9">
        <w:rPr>
          <w:sz w:val="22"/>
          <w:szCs w:val="22"/>
          <w:lang w:eastAsia="nl-BE"/>
        </w:rPr>
        <w:t xml:space="preserve"> (232,39 miljard euro) is geplaatst door de 27 EU-lidstaten die de </w:t>
      </w:r>
      <w:r>
        <w:rPr>
          <w:sz w:val="22"/>
          <w:szCs w:val="22"/>
          <w:lang w:eastAsia="nl-BE"/>
        </w:rPr>
        <w:t>a</w:t>
      </w:r>
      <w:r w:rsidRPr="006115B9">
        <w:rPr>
          <w:sz w:val="22"/>
          <w:szCs w:val="22"/>
          <w:lang w:eastAsia="nl-BE"/>
        </w:rPr>
        <w:t>andeelho</w:t>
      </w:r>
      <w:r w:rsidRPr="006115B9">
        <w:rPr>
          <w:sz w:val="22"/>
          <w:szCs w:val="22"/>
          <w:lang w:eastAsia="nl-BE"/>
        </w:rPr>
        <w:t>u</w:t>
      </w:r>
      <w:r w:rsidRPr="006115B9">
        <w:rPr>
          <w:sz w:val="22"/>
          <w:szCs w:val="22"/>
          <w:lang w:eastAsia="nl-BE"/>
        </w:rPr>
        <w:t xml:space="preserve">ders </w:t>
      </w:r>
      <w:r>
        <w:rPr>
          <w:sz w:val="22"/>
          <w:szCs w:val="22"/>
          <w:lang w:eastAsia="nl-BE"/>
        </w:rPr>
        <w:t xml:space="preserve">van de EIB </w:t>
      </w:r>
      <w:r w:rsidRPr="006115B9">
        <w:rPr>
          <w:sz w:val="22"/>
          <w:szCs w:val="22"/>
          <w:lang w:eastAsia="nl-BE"/>
        </w:rPr>
        <w:t>zijn. Het aandeel in het EIB-kapitaal van elke lidstaat is gebaseerd op het econ</w:t>
      </w:r>
      <w:r w:rsidRPr="006115B9">
        <w:rPr>
          <w:sz w:val="22"/>
          <w:szCs w:val="22"/>
          <w:lang w:eastAsia="nl-BE"/>
        </w:rPr>
        <w:t>o</w:t>
      </w:r>
      <w:r w:rsidRPr="006115B9">
        <w:rPr>
          <w:sz w:val="22"/>
          <w:szCs w:val="22"/>
          <w:lang w:eastAsia="nl-BE"/>
        </w:rPr>
        <w:t>mische gewicht van de desbetreffende lidstaat op het moment van zijn toetreding tot de EU. Co</w:t>
      </w:r>
      <w:r w:rsidRPr="006115B9">
        <w:rPr>
          <w:sz w:val="22"/>
          <w:szCs w:val="22"/>
          <w:lang w:eastAsia="nl-BE"/>
        </w:rPr>
        <w:t>n</w:t>
      </w:r>
      <w:r w:rsidRPr="006115B9">
        <w:rPr>
          <w:sz w:val="22"/>
          <w:szCs w:val="22"/>
          <w:lang w:eastAsia="nl-BE"/>
        </w:rPr>
        <w:t xml:space="preserve">form die verdeelsleutel bedraagt de Belgische contributie tot het EIB-kapitaal </w:t>
      </w:r>
      <w:r w:rsidRPr="006115B9">
        <w:rPr>
          <w:b/>
          <w:sz w:val="22"/>
          <w:szCs w:val="22"/>
          <w:lang w:eastAsia="nl-BE"/>
        </w:rPr>
        <w:t>4,5%</w:t>
      </w:r>
      <w:r w:rsidRPr="006115B9">
        <w:rPr>
          <w:sz w:val="22"/>
          <w:szCs w:val="22"/>
          <w:lang w:eastAsia="nl-BE"/>
        </w:rPr>
        <w:t xml:space="preserve"> (10,42 miljard euro).</w:t>
      </w:r>
    </w:p>
    <w:p w:rsidR="00547412" w:rsidRPr="006115B9" w:rsidRDefault="00547412" w:rsidP="006279C9">
      <w:pPr>
        <w:ind w:left="360"/>
        <w:jc w:val="both"/>
        <w:rPr>
          <w:sz w:val="22"/>
          <w:szCs w:val="22"/>
          <w:lang w:eastAsia="nl-BE"/>
        </w:rPr>
      </w:pPr>
    </w:p>
    <w:p w:rsidR="00547412" w:rsidRDefault="00547412" w:rsidP="006279C9">
      <w:pPr>
        <w:ind w:left="360"/>
        <w:jc w:val="both"/>
        <w:rPr>
          <w:sz w:val="22"/>
          <w:szCs w:val="22"/>
          <w:lang w:eastAsia="nl-BE"/>
        </w:rPr>
      </w:pPr>
      <w:r w:rsidRPr="006115B9">
        <w:rPr>
          <w:sz w:val="22"/>
          <w:szCs w:val="22"/>
          <w:lang w:eastAsia="nl-BE"/>
        </w:rPr>
        <w:t xml:space="preserve">De Belgische bijdrage tot de totale EU-inkomsten kan o/a worden gevonden op de </w:t>
      </w:r>
      <w:r>
        <w:rPr>
          <w:sz w:val="22"/>
          <w:szCs w:val="22"/>
          <w:lang w:eastAsia="nl-BE"/>
        </w:rPr>
        <w:t>EC-</w:t>
      </w:r>
      <w:r w:rsidRPr="006115B9">
        <w:rPr>
          <w:sz w:val="22"/>
          <w:szCs w:val="22"/>
          <w:lang w:eastAsia="nl-BE"/>
        </w:rPr>
        <w:t xml:space="preserve">website “Financial Programming </w:t>
      </w:r>
      <w:proofErr w:type="spellStart"/>
      <w:r w:rsidRPr="006115B9">
        <w:rPr>
          <w:sz w:val="22"/>
          <w:szCs w:val="22"/>
          <w:lang w:eastAsia="nl-BE"/>
        </w:rPr>
        <w:t>and</w:t>
      </w:r>
      <w:proofErr w:type="spellEnd"/>
      <w:r w:rsidRPr="006115B9">
        <w:rPr>
          <w:sz w:val="22"/>
          <w:szCs w:val="22"/>
          <w:lang w:eastAsia="nl-BE"/>
        </w:rPr>
        <w:t xml:space="preserve"> Budget”</w:t>
      </w:r>
      <w:r w:rsidRPr="006115B9">
        <w:rPr>
          <w:rStyle w:val="Voetnootmarkering"/>
          <w:sz w:val="22"/>
          <w:szCs w:val="22"/>
          <w:lang w:eastAsia="nl-BE"/>
        </w:rPr>
        <w:footnoteReference w:id="4"/>
      </w:r>
      <w:r w:rsidRPr="006115B9">
        <w:rPr>
          <w:sz w:val="22"/>
          <w:szCs w:val="22"/>
          <w:lang w:eastAsia="nl-BE"/>
        </w:rPr>
        <w:t>.</w:t>
      </w:r>
      <w:r>
        <w:rPr>
          <w:sz w:val="22"/>
          <w:szCs w:val="22"/>
          <w:lang w:eastAsia="nl-BE"/>
        </w:rPr>
        <w:t xml:space="preserve"> In de periode 2007-2011 levert dat voor België de volge</w:t>
      </w:r>
      <w:r>
        <w:rPr>
          <w:sz w:val="22"/>
          <w:szCs w:val="22"/>
          <w:lang w:eastAsia="nl-BE"/>
        </w:rPr>
        <w:t>n</w:t>
      </w:r>
      <w:r>
        <w:rPr>
          <w:sz w:val="22"/>
          <w:szCs w:val="22"/>
          <w:lang w:eastAsia="nl-BE"/>
        </w:rPr>
        <w:t>de cijfers (bedragen in miljoen euro) op:</w:t>
      </w:r>
    </w:p>
    <w:p w:rsidR="006279C9" w:rsidRDefault="006279C9">
      <w:pPr>
        <w:rPr>
          <w:sz w:val="22"/>
          <w:szCs w:val="22"/>
          <w:lang w:eastAsia="nl-BE"/>
        </w:rPr>
      </w:pPr>
      <w:r>
        <w:rPr>
          <w:sz w:val="22"/>
          <w:szCs w:val="22"/>
          <w:lang w:eastAsia="nl-BE"/>
        </w:rPr>
        <w:br w:type="page"/>
      </w:r>
    </w:p>
    <w:p w:rsidR="00547412" w:rsidRDefault="00547412" w:rsidP="00356213">
      <w:pPr>
        <w:ind w:left="360"/>
        <w:rPr>
          <w:sz w:val="22"/>
          <w:szCs w:val="22"/>
          <w:lang w:eastAsia="nl-BE"/>
        </w:rPr>
      </w:pPr>
    </w:p>
    <w:tbl>
      <w:tblPr>
        <w:tblW w:w="4351" w:type="dxa"/>
        <w:jc w:val="center"/>
        <w:tblInd w:w="482" w:type="dxa"/>
        <w:tblCellMar>
          <w:left w:w="70" w:type="dxa"/>
          <w:right w:w="70" w:type="dxa"/>
        </w:tblCellMar>
        <w:tblLook w:val="00A0" w:firstRow="1" w:lastRow="0" w:firstColumn="1" w:lastColumn="0" w:noHBand="0" w:noVBand="0"/>
      </w:tblPr>
      <w:tblGrid>
        <w:gridCol w:w="640"/>
        <w:gridCol w:w="1474"/>
        <w:gridCol w:w="1557"/>
        <w:gridCol w:w="680"/>
      </w:tblGrid>
      <w:tr w:rsidR="00547412" w:rsidRPr="006115B9" w:rsidTr="00356213">
        <w:trPr>
          <w:trHeight w:val="70"/>
          <w:jc w:val="center"/>
        </w:trPr>
        <w:tc>
          <w:tcPr>
            <w:tcW w:w="640" w:type="dxa"/>
            <w:tcBorders>
              <w:top w:val="single" w:sz="4" w:space="0" w:color="auto"/>
              <w:left w:val="single" w:sz="4" w:space="0" w:color="auto"/>
              <w:bottom w:val="single" w:sz="4" w:space="0" w:color="auto"/>
              <w:right w:val="single" w:sz="4" w:space="0" w:color="auto"/>
            </w:tcBorders>
            <w:noWrap/>
            <w:vAlign w:val="bottom"/>
          </w:tcPr>
          <w:p w:rsidR="00547412" w:rsidRPr="006115B9" w:rsidRDefault="00547412" w:rsidP="00356213">
            <w:pPr>
              <w:jc w:val="center"/>
              <w:rPr>
                <w:b/>
                <w:color w:val="000000"/>
                <w:sz w:val="20"/>
                <w:lang w:val="nl-BE" w:eastAsia="nl-BE"/>
              </w:rPr>
            </w:pPr>
            <w:r w:rsidRPr="006115B9">
              <w:rPr>
                <w:b/>
                <w:color w:val="000000"/>
                <w:sz w:val="20"/>
                <w:lang w:val="nl-BE" w:eastAsia="nl-BE"/>
              </w:rPr>
              <w:t>Jaar</w:t>
            </w:r>
          </w:p>
        </w:tc>
        <w:tc>
          <w:tcPr>
            <w:tcW w:w="1474" w:type="dxa"/>
            <w:tcBorders>
              <w:top w:val="single" w:sz="4" w:space="0" w:color="auto"/>
              <w:left w:val="nil"/>
              <w:bottom w:val="single" w:sz="4" w:space="0" w:color="auto"/>
              <w:right w:val="single" w:sz="4" w:space="0" w:color="auto"/>
            </w:tcBorders>
            <w:noWrap/>
            <w:vAlign w:val="bottom"/>
          </w:tcPr>
          <w:p w:rsidR="00547412" w:rsidRPr="006115B9" w:rsidRDefault="00547412" w:rsidP="00356213">
            <w:pPr>
              <w:jc w:val="center"/>
              <w:rPr>
                <w:b/>
                <w:color w:val="000000"/>
                <w:sz w:val="20"/>
                <w:lang w:val="nl-BE" w:eastAsia="nl-BE"/>
              </w:rPr>
            </w:pPr>
            <w:r w:rsidRPr="006115B9">
              <w:rPr>
                <w:b/>
                <w:color w:val="000000"/>
                <w:sz w:val="20"/>
                <w:lang w:val="nl-BE" w:eastAsia="nl-BE"/>
              </w:rPr>
              <w:t>EU-inkomsten</w:t>
            </w:r>
          </w:p>
        </w:tc>
        <w:tc>
          <w:tcPr>
            <w:tcW w:w="1557" w:type="dxa"/>
            <w:tcBorders>
              <w:top w:val="single" w:sz="4" w:space="0" w:color="auto"/>
              <w:left w:val="nil"/>
              <w:bottom w:val="single" w:sz="4" w:space="0" w:color="auto"/>
              <w:right w:val="single" w:sz="4" w:space="0" w:color="auto"/>
            </w:tcBorders>
            <w:noWrap/>
            <w:vAlign w:val="bottom"/>
          </w:tcPr>
          <w:p w:rsidR="00547412" w:rsidRPr="006115B9" w:rsidRDefault="00547412" w:rsidP="00356213">
            <w:pPr>
              <w:jc w:val="center"/>
              <w:rPr>
                <w:b/>
                <w:color w:val="000000"/>
                <w:sz w:val="20"/>
                <w:lang w:val="nl-BE" w:eastAsia="nl-BE"/>
              </w:rPr>
            </w:pPr>
            <w:r w:rsidRPr="006115B9">
              <w:rPr>
                <w:b/>
                <w:color w:val="000000"/>
                <w:sz w:val="20"/>
                <w:lang w:val="nl-BE" w:eastAsia="nl-BE"/>
              </w:rPr>
              <w:t>Bijdrage België</w:t>
            </w:r>
          </w:p>
        </w:tc>
        <w:tc>
          <w:tcPr>
            <w:tcW w:w="680" w:type="dxa"/>
            <w:tcBorders>
              <w:top w:val="single" w:sz="4" w:space="0" w:color="auto"/>
              <w:left w:val="nil"/>
              <w:bottom w:val="single" w:sz="4" w:space="0" w:color="auto"/>
              <w:right w:val="single" w:sz="4" w:space="0" w:color="auto"/>
            </w:tcBorders>
            <w:noWrap/>
            <w:vAlign w:val="bottom"/>
          </w:tcPr>
          <w:p w:rsidR="00547412" w:rsidRPr="006115B9" w:rsidRDefault="00547412" w:rsidP="00356213">
            <w:pPr>
              <w:jc w:val="center"/>
              <w:rPr>
                <w:b/>
                <w:color w:val="000000"/>
                <w:sz w:val="20"/>
                <w:lang w:val="nl-BE" w:eastAsia="nl-BE"/>
              </w:rPr>
            </w:pPr>
            <w:r w:rsidRPr="006115B9">
              <w:rPr>
                <w:b/>
                <w:color w:val="000000"/>
                <w:sz w:val="20"/>
                <w:lang w:val="nl-BE" w:eastAsia="nl-BE"/>
              </w:rPr>
              <w:t>In %</w:t>
            </w:r>
          </w:p>
        </w:tc>
      </w:tr>
      <w:tr w:rsidR="00547412" w:rsidRPr="006115B9" w:rsidTr="00356213">
        <w:trPr>
          <w:trHeight w:val="70"/>
          <w:jc w:val="center"/>
        </w:trPr>
        <w:tc>
          <w:tcPr>
            <w:tcW w:w="640" w:type="dxa"/>
            <w:tcBorders>
              <w:top w:val="nil"/>
              <w:left w:val="single" w:sz="4" w:space="0" w:color="auto"/>
              <w:bottom w:val="single" w:sz="4" w:space="0" w:color="auto"/>
              <w:right w:val="single" w:sz="4" w:space="0" w:color="auto"/>
            </w:tcBorders>
            <w:noWrap/>
            <w:vAlign w:val="bottom"/>
          </w:tcPr>
          <w:p w:rsidR="00547412" w:rsidRPr="006115B9" w:rsidRDefault="00547412" w:rsidP="00356213">
            <w:pPr>
              <w:jc w:val="center"/>
              <w:rPr>
                <w:color w:val="000000"/>
                <w:sz w:val="20"/>
                <w:lang w:val="nl-BE" w:eastAsia="nl-BE"/>
              </w:rPr>
            </w:pPr>
            <w:r w:rsidRPr="006115B9">
              <w:rPr>
                <w:color w:val="000000"/>
                <w:sz w:val="20"/>
                <w:lang w:val="nl-BE" w:eastAsia="nl-BE"/>
              </w:rPr>
              <w:t>2007</w:t>
            </w:r>
          </w:p>
        </w:tc>
        <w:tc>
          <w:tcPr>
            <w:tcW w:w="1474" w:type="dxa"/>
            <w:tcBorders>
              <w:top w:val="nil"/>
              <w:left w:val="nil"/>
              <w:bottom w:val="single" w:sz="4" w:space="0" w:color="auto"/>
              <w:right w:val="single" w:sz="4" w:space="0" w:color="auto"/>
            </w:tcBorders>
            <w:noWrap/>
            <w:vAlign w:val="bottom"/>
          </w:tcPr>
          <w:p w:rsidR="00547412" w:rsidRPr="006115B9" w:rsidRDefault="00547412" w:rsidP="00356213">
            <w:pPr>
              <w:jc w:val="center"/>
              <w:rPr>
                <w:color w:val="000000"/>
                <w:sz w:val="20"/>
                <w:lang w:val="nl-BE" w:eastAsia="nl-BE"/>
              </w:rPr>
            </w:pPr>
            <w:r w:rsidRPr="006115B9">
              <w:rPr>
                <w:color w:val="000000"/>
                <w:sz w:val="20"/>
                <w:lang w:val="nl-BE" w:eastAsia="nl-BE"/>
              </w:rPr>
              <w:t>117.563,00</w:t>
            </w:r>
          </w:p>
        </w:tc>
        <w:tc>
          <w:tcPr>
            <w:tcW w:w="1557" w:type="dxa"/>
            <w:tcBorders>
              <w:top w:val="nil"/>
              <w:left w:val="nil"/>
              <w:bottom w:val="single" w:sz="4" w:space="0" w:color="auto"/>
              <w:right w:val="single" w:sz="4" w:space="0" w:color="auto"/>
            </w:tcBorders>
            <w:noWrap/>
            <w:vAlign w:val="bottom"/>
          </w:tcPr>
          <w:p w:rsidR="00547412" w:rsidRPr="006115B9" w:rsidRDefault="00547412" w:rsidP="00356213">
            <w:pPr>
              <w:jc w:val="center"/>
              <w:rPr>
                <w:color w:val="000000"/>
                <w:sz w:val="20"/>
                <w:lang w:val="nl-BE" w:eastAsia="nl-BE"/>
              </w:rPr>
            </w:pPr>
            <w:r w:rsidRPr="006115B9">
              <w:rPr>
                <w:color w:val="000000"/>
                <w:sz w:val="20"/>
                <w:lang w:val="nl-BE" w:eastAsia="nl-BE"/>
              </w:rPr>
              <w:t>2.686,80</w:t>
            </w:r>
          </w:p>
        </w:tc>
        <w:tc>
          <w:tcPr>
            <w:tcW w:w="680" w:type="dxa"/>
            <w:tcBorders>
              <w:top w:val="nil"/>
              <w:left w:val="nil"/>
              <w:bottom w:val="single" w:sz="4" w:space="0" w:color="auto"/>
              <w:right w:val="single" w:sz="4" w:space="0" w:color="auto"/>
            </w:tcBorders>
            <w:noWrap/>
            <w:vAlign w:val="bottom"/>
          </w:tcPr>
          <w:p w:rsidR="00547412" w:rsidRPr="006115B9" w:rsidRDefault="00547412" w:rsidP="00356213">
            <w:pPr>
              <w:jc w:val="center"/>
              <w:rPr>
                <w:b/>
                <w:color w:val="000000"/>
                <w:sz w:val="20"/>
                <w:lang w:val="nl-BE" w:eastAsia="nl-BE"/>
              </w:rPr>
            </w:pPr>
            <w:r w:rsidRPr="006115B9">
              <w:rPr>
                <w:b/>
                <w:color w:val="000000"/>
                <w:sz w:val="20"/>
                <w:lang w:val="nl-BE" w:eastAsia="nl-BE"/>
              </w:rPr>
              <w:t>2,3%</w:t>
            </w:r>
          </w:p>
        </w:tc>
      </w:tr>
      <w:tr w:rsidR="00547412" w:rsidRPr="006115B9" w:rsidTr="00356213">
        <w:trPr>
          <w:trHeight w:val="70"/>
          <w:jc w:val="center"/>
        </w:trPr>
        <w:tc>
          <w:tcPr>
            <w:tcW w:w="640" w:type="dxa"/>
            <w:tcBorders>
              <w:top w:val="nil"/>
              <w:left w:val="single" w:sz="4" w:space="0" w:color="auto"/>
              <w:bottom w:val="single" w:sz="4" w:space="0" w:color="auto"/>
              <w:right w:val="single" w:sz="4" w:space="0" w:color="auto"/>
            </w:tcBorders>
            <w:noWrap/>
            <w:vAlign w:val="bottom"/>
          </w:tcPr>
          <w:p w:rsidR="00547412" w:rsidRPr="006115B9" w:rsidRDefault="00547412" w:rsidP="00356213">
            <w:pPr>
              <w:jc w:val="center"/>
              <w:rPr>
                <w:color w:val="000000"/>
                <w:sz w:val="20"/>
                <w:lang w:val="nl-BE" w:eastAsia="nl-BE"/>
              </w:rPr>
            </w:pPr>
            <w:r w:rsidRPr="006115B9">
              <w:rPr>
                <w:color w:val="000000"/>
                <w:sz w:val="20"/>
                <w:lang w:val="nl-BE" w:eastAsia="nl-BE"/>
              </w:rPr>
              <w:t>2008</w:t>
            </w:r>
          </w:p>
        </w:tc>
        <w:tc>
          <w:tcPr>
            <w:tcW w:w="1474" w:type="dxa"/>
            <w:tcBorders>
              <w:top w:val="nil"/>
              <w:left w:val="nil"/>
              <w:bottom w:val="single" w:sz="4" w:space="0" w:color="auto"/>
              <w:right w:val="single" w:sz="4" w:space="0" w:color="auto"/>
            </w:tcBorders>
            <w:noWrap/>
            <w:vAlign w:val="bottom"/>
          </w:tcPr>
          <w:p w:rsidR="00547412" w:rsidRPr="006115B9" w:rsidRDefault="00547412" w:rsidP="00356213">
            <w:pPr>
              <w:jc w:val="center"/>
              <w:rPr>
                <w:color w:val="000000"/>
                <w:sz w:val="20"/>
                <w:lang w:val="nl-BE" w:eastAsia="nl-BE"/>
              </w:rPr>
            </w:pPr>
            <w:r w:rsidRPr="006115B9">
              <w:rPr>
                <w:color w:val="000000"/>
                <w:sz w:val="20"/>
                <w:lang w:val="nl-BE" w:eastAsia="nl-BE"/>
              </w:rPr>
              <w:t>121.584,40</w:t>
            </w:r>
          </w:p>
        </w:tc>
        <w:tc>
          <w:tcPr>
            <w:tcW w:w="1557" w:type="dxa"/>
            <w:tcBorders>
              <w:top w:val="nil"/>
              <w:left w:val="nil"/>
              <w:bottom w:val="single" w:sz="4" w:space="0" w:color="auto"/>
              <w:right w:val="single" w:sz="4" w:space="0" w:color="auto"/>
            </w:tcBorders>
            <w:noWrap/>
            <w:vAlign w:val="bottom"/>
          </w:tcPr>
          <w:p w:rsidR="00547412" w:rsidRPr="006115B9" w:rsidRDefault="00547412" w:rsidP="00356213">
            <w:pPr>
              <w:jc w:val="center"/>
              <w:rPr>
                <w:color w:val="000000"/>
                <w:sz w:val="20"/>
                <w:lang w:val="nl-BE" w:eastAsia="nl-BE"/>
              </w:rPr>
            </w:pPr>
            <w:r w:rsidRPr="006115B9">
              <w:rPr>
                <w:color w:val="000000"/>
                <w:sz w:val="20"/>
                <w:lang w:val="nl-BE" w:eastAsia="nl-BE"/>
              </w:rPr>
              <w:t>2.810,80</w:t>
            </w:r>
          </w:p>
        </w:tc>
        <w:tc>
          <w:tcPr>
            <w:tcW w:w="680" w:type="dxa"/>
            <w:tcBorders>
              <w:top w:val="nil"/>
              <w:left w:val="nil"/>
              <w:bottom w:val="single" w:sz="4" w:space="0" w:color="auto"/>
              <w:right w:val="single" w:sz="4" w:space="0" w:color="auto"/>
            </w:tcBorders>
            <w:noWrap/>
            <w:vAlign w:val="bottom"/>
          </w:tcPr>
          <w:p w:rsidR="00547412" w:rsidRPr="006115B9" w:rsidRDefault="00547412" w:rsidP="00356213">
            <w:pPr>
              <w:jc w:val="center"/>
              <w:rPr>
                <w:b/>
                <w:color w:val="000000"/>
                <w:sz w:val="20"/>
                <w:lang w:val="nl-BE" w:eastAsia="nl-BE"/>
              </w:rPr>
            </w:pPr>
            <w:r w:rsidRPr="006115B9">
              <w:rPr>
                <w:b/>
                <w:color w:val="000000"/>
                <w:sz w:val="20"/>
                <w:lang w:val="nl-BE" w:eastAsia="nl-BE"/>
              </w:rPr>
              <w:t>2,3%</w:t>
            </w:r>
          </w:p>
        </w:tc>
      </w:tr>
      <w:tr w:rsidR="00547412" w:rsidRPr="006115B9" w:rsidTr="00356213">
        <w:trPr>
          <w:trHeight w:val="70"/>
          <w:jc w:val="center"/>
        </w:trPr>
        <w:tc>
          <w:tcPr>
            <w:tcW w:w="640" w:type="dxa"/>
            <w:tcBorders>
              <w:top w:val="nil"/>
              <w:left w:val="single" w:sz="4" w:space="0" w:color="auto"/>
              <w:bottom w:val="single" w:sz="4" w:space="0" w:color="auto"/>
              <w:right w:val="single" w:sz="4" w:space="0" w:color="auto"/>
            </w:tcBorders>
            <w:noWrap/>
            <w:vAlign w:val="bottom"/>
          </w:tcPr>
          <w:p w:rsidR="00547412" w:rsidRPr="006115B9" w:rsidRDefault="00547412" w:rsidP="00356213">
            <w:pPr>
              <w:jc w:val="center"/>
              <w:rPr>
                <w:color w:val="000000"/>
                <w:sz w:val="20"/>
                <w:lang w:val="nl-BE" w:eastAsia="nl-BE"/>
              </w:rPr>
            </w:pPr>
            <w:r w:rsidRPr="006115B9">
              <w:rPr>
                <w:color w:val="000000"/>
                <w:sz w:val="20"/>
                <w:lang w:val="nl-BE" w:eastAsia="nl-BE"/>
              </w:rPr>
              <w:t>2009</w:t>
            </w:r>
          </w:p>
        </w:tc>
        <w:tc>
          <w:tcPr>
            <w:tcW w:w="1474" w:type="dxa"/>
            <w:tcBorders>
              <w:top w:val="nil"/>
              <w:left w:val="nil"/>
              <w:bottom w:val="single" w:sz="4" w:space="0" w:color="auto"/>
              <w:right w:val="single" w:sz="4" w:space="0" w:color="auto"/>
            </w:tcBorders>
            <w:noWrap/>
            <w:vAlign w:val="bottom"/>
          </w:tcPr>
          <w:p w:rsidR="00547412" w:rsidRPr="006115B9" w:rsidRDefault="00547412" w:rsidP="00356213">
            <w:pPr>
              <w:jc w:val="center"/>
              <w:rPr>
                <w:color w:val="000000"/>
                <w:sz w:val="20"/>
                <w:lang w:val="nl-BE" w:eastAsia="nl-BE"/>
              </w:rPr>
            </w:pPr>
            <w:r w:rsidRPr="006115B9">
              <w:rPr>
                <w:color w:val="000000"/>
                <w:sz w:val="20"/>
                <w:lang w:val="nl-BE" w:eastAsia="nl-BE"/>
              </w:rPr>
              <w:t>117.625,60</w:t>
            </w:r>
          </w:p>
        </w:tc>
        <w:tc>
          <w:tcPr>
            <w:tcW w:w="1557" w:type="dxa"/>
            <w:tcBorders>
              <w:top w:val="nil"/>
              <w:left w:val="nil"/>
              <w:bottom w:val="single" w:sz="4" w:space="0" w:color="auto"/>
              <w:right w:val="single" w:sz="4" w:space="0" w:color="auto"/>
            </w:tcBorders>
            <w:noWrap/>
            <w:vAlign w:val="bottom"/>
          </w:tcPr>
          <w:p w:rsidR="00547412" w:rsidRPr="006115B9" w:rsidRDefault="00547412" w:rsidP="00356213">
            <w:pPr>
              <w:jc w:val="center"/>
              <w:rPr>
                <w:color w:val="000000"/>
                <w:sz w:val="20"/>
                <w:lang w:val="nl-BE" w:eastAsia="nl-BE"/>
              </w:rPr>
            </w:pPr>
            <w:r w:rsidRPr="006115B9">
              <w:rPr>
                <w:color w:val="000000"/>
                <w:sz w:val="20"/>
                <w:lang w:val="nl-BE" w:eastAsia="nl-BE"/>
              </w:rPr>
              <w:t>3.238,50</w:t>
            </w:r>
          </w:p>
        </w:tc>
        <w:tc>
          <w:tcPr>
            <w:tcW w:w="680" w:type="dxa"/>
            <w:tcBorders>
              <w:top w:val="nil"/>
              <w:left w:val="nil"/>
              <w:bottom w:val="single" w:sz="4" w:space="0" w:color="auto"/>
              <w:right w:val="single" w:sz="4" w:space="0" w:color="auto"/>
            </w:tcBorders>
            <w:noWrap/>
            <w:vAlign w:val="bottom"/>
          </w:tcPr>
          <w:p w:rsidR="00547412" w:rsidRPr="006115B9" w:rsidRDefault="00547412" w:rsidP="00356213">
            <w:pPr>
              <w:jc w:val="center"/>
              <w:rPr>
                <w:b/>
                <w:color w:val="000000"/>
                <w:sz w:val="20"/>
                <w:lang w:val="nl-BE" w:eastAsia="nl-BE"/>
              </w:rPr>
            </w:pPr>
            <w:r w:rsidRPr="006115B9">
              <w:rPr>
                <w:b/>
                <w:color w:val="000000"/>
                <w:sz w:val="20"/>
                <w:lang w:val="nl-BE" w:eastAsia="nl-BE"/>
              </w:rPr>
              <w:t>2,8%</w:t>
            </w:r>
          </w:p>
        </w:tc>
      </w:tr>
      <w:tr w:rsidR="00547412" w:rsidRPr="006115B9" w:rsidTr="00356213">
        <w:trPr>
          <w:trHeight w:val="70"/>
          <w:jc w:val="center"/>
        </w:trPr>
        <w:tc>
          <w:tcPr>
            <w:tcW w:w="640" w:type="dxa"/>
            <w:tcBorders>
              <w:top w:val="nil"/>
              <w:left w:val="single" w:sz="4" w:space="0" w:color="auto"/>
              <w:bottom w:val="single" w:sz="4" w:space="0" w:color="auto"/>
              <w:right w:val="single" w:sz="4" w:space="0" w:color="auto"/>
            </w:tcBorders>
            <w:noWrap/>
            <w:vAlign w:val="bottom"/>
          </w:tcPr>
          <w:p w:rsidR="00547412" w:rsidRPr="006115B9" w:rsidRDefault="00547412" w:rsidP="00356213">
            <w:pPr>
              <w:jc w:val="center"/>
              <w:rPr>
                <w:color w:val="000000"/>
                <w:sz w:val="20"/>
                <w:lang w:val="nl-BE" w:eastAsia="nl-BE"/>
              </w:rPr>
            </w:pPr>
            <w:r w:rsidRPr="006115B9">
              <w:rPr>
                <w:color w:val="000000"/>
                <w:sz w:val="20"/>
                <w:lang w:val="nl-BE" w:eastAsia="nl-BE"/>
              </w:rPr>
              <w:t>2010</w:t>
            </w:r>
          </w:p>
        </w:tc>
        <w:tc>
          <w:tcPr>
            <w:tcW w:w="1474" w:type="dxa"/>
            <w:tcBorders>
              <w:top w:val="nil"/>
              <w:left w:val="nil"/>
              <w:bottom w:val="single" w:sz="4" w:space="0" w:color="auto"/>
              <w:right w:val="single" w:sz="4" w:space="0" w:color="auto"/>
            </w:tcBorders>
            <w:noWrap/>
            <w:vAlign w:val="bottom"/>
          </w:tcPr>
          <w:p w:rsidR="00547412" w:rsidRPr="006115B9" w:rsidRDefault="00547412" w:rsidP="00356213">
            <w:pPr>
              <w:jc w:val="center"/>
              <w:rPr>
                <w:color w:val="000000"/>
                <w:sz w:val="20"/>
                <w:lang w:val="nl-BE" w:eastAsia="nl-BE"/>
              </w:rPr>
            </w:pPr>
            <w:r w:rsidRPr="006115B9">
              <w:rPr>
                <w:color w:val="000000"/>
                <w:sz w:val="20"/>
                <w:lang w:val="nl-BE" w:eastAsia="nl-BE"/>
              </w:rPr>
              <w:t>122.955,90</w:t>
            </w:r>
          </w:p>
        </w:tc>
        <w:tc>
          <w:tcPr>
            <w:tcW w:w="1557" w:type="dxa"/>
            <w:tcBorders>
              <w:top w:val="nil"/>
              <w:left w:val="nil"/>
              <w:bottom w:val="single" w:sz="4" w:space="0" w:color="auto"/>
              <w:right w:val="single" w:sz="4" w:space="0" w:color="auto"/>
            </w:tcBorders>
            <w:noWrap/>
            <w:vAlign w:val="bottom"/>
          </w:tcPr>
          <w:p w:rsidR="00547412" w:rsidRPr="006115B9" w:rsidRDefault="00547412" w:rsidP="00356213">
            <w:pPr>
              <w:jc w:val="center"/>
              <w:rPr>
                <w:color w:val="000000"/>
                <w:sz w:val="20"/>
                <w:lang w:val="nl-BE" w:eastAsia="nl-BE"/>
              </w:rPr>
            </w:pPr>
            <w:r w:rsidRPr="006115B9">
              <w:rPr>
                <w:color w:val="000000"/>
                <w:sz w:val="20"/>
                <w:lang w:val="nl-BE" w:eastAsia="nl-BE"/>
              </w:rPr>
              <w:t>3.244,90</w:t>
            </w:r>
          </w:p>
        </w:tc>
        <w:tc>
          <w:tcPr>
            <w:tcW w:w="680" w:type="dxa"/>
            <w:tcBorders>
              <w:top w:val="nil"/>
              <w:left w:val="nil"/>
              <w:bottom w:val="single" w:sz="4" w:space="0" w:color="auto"/>
              <w:right w:val="single" w:sz="4" w:space="0" w:color="auto"/>
            </w:tcBorders>
            <w:noWrap/>
            <w:vAlign w:val="bottom"/>
          </w:tcPr>
          <w:p w:rsidR="00547412" w:rsidRPr="006115B9" w:rsidRDefault="00547412" w:rsidP="00356213">
            <w:pPr>
              <w:jc w:val="center"/>
              <w:rPr>
                <w:b/>
                <w:color w:val="000000"/>
                <w:sz w:val="20"/>
                <w:lang w:val="nl-BE" w:eastAsia="nl-BE"/>
              </w:rPr>
            </w:pPr>
            <w:r w:rsidRPr="006115B9">
              <w:rPr>
                <w:b/>
                <w:color w:val="000000"/>
                <w:sz w:val="20"/>
                <w:lang w:val="nl-BE" w:eastAsia="nl-BE"/>
              </w:rPr>
              <w:t>2,6%</w:t>
            </w:r>
          </w:p>
        </w:tc>
      </w:tr>
      <w:tr w:rsidR="00547412" w:rsidRPr="006115B9" w:rsidTr="00356213">
        <w:trPr>
          <w:trHeight w:val="70"/>
          <w:jc w:val="center"/>
        </w:trPr>
        <w:tc>
          <w:tcPr>
            <w:tcW w:w="640" w:type="dxa"/>
            <w:tcBorders>
              <w:top w:val="nil"/>
              <w:left w:val="single" w:sz="4" w:space="0" w:color="auto"/>
              <w:bottom w:val="single" w:sz="4" w:space="0" w:color="auto"/>
              <w:right w:val="single" w:sz="4" w:space="0" w:color="auto"/>
            </w:tcBorders>
            <w:noWrap/>
            <w:vAlign w:val="bottom"/>
          </w:tcPr>
          <w:p w:rsidR="00547412" w:rsidRPr="006115B9" w:rsidRDefault="00547412" w:rsidP="00356213">
            <w:pPr>
              <w:jc w:val="center"/>
              <w:rPr>
                <w:color w:val="000000"/>
                <w:sz w:val="20"/>
                <w:lang w:val="nl-BE" w:eastAsia="nl-BE"/>
              </w:rPr>
            </w:pPr>
            <w:r w:rsidRPr="006115B9">
              <w:rPr>
                <w:color w:val="000000"/>
                <w:sz w:val="20"/>
                <w:lang w:val="nl-BE" w:eastAsia="nl-BE"/>
              </w:rPr>
              <w:t>2011</w:t>
            </w:r>
          </w:p>
        </w:tc>
        <w:tc>
          <w:tcPr>
            <w:tcW w:w="1474" w:type="dxa"/>
            <w:tcBorders>
              <w:top w:val="nil"/>
              <w:left w:val="nil"/>
              <w:bottom w:val="single" w:sz="4" w:space="0" w:color="auto"/>
              <w:right w:val="single" w:sz="4" w:space="0" w:color="auto"/>
            </w:tcBorders>
            <w:noWrap/>
            <w:vAlign w:val="bottom"/>
          </w:tcPr>
          <w:p w:rsidR="00547412" w:rsidRPr="006115B9" w:rsidRDefault="00547412" w:rsidP="00356213">
            <w:pPr>
              <w:jc w:val="center"/>
              <w:rPr>
                <w:color w:val="000000"/>
                <w:sz w:val="20"/>
                <w:lang w:val="nl-BE" w:eastAsia="nl-BE"/>
              </w:rPr>
            </w:pPr>
            <w:r w:rsidRPr="006115B9">
              <w:rPr>
                <w:color w:val="000000"/>
                <w:sz w:val="20"/>
                <w:lang w:val="nl-BE" w:eastAsia="nl-BE"/>
              </w:rPr>
              <w:t>126.527,20</w:t>
            </w:r>
          </w:p>
        </w:tc>
        <w:tc>
          <w:tcPr>
            <w:tcW w:w="1557" w:type="dxa"/>
            <w:tcBorders>
              <w:top w:val="nil"/>
              <w:left w:val="nil"/>
              <w:bottom w:val="single" w:sz="4" w:space="0" w:color="auto"/>
              <w:right w:val="single" w:sz="4" w:space="0" w:color="auto"/>
            </w:tcBorders>
            <w:noWrap/>
            <w:vAlign w:val="bottom"/>
          </w:tcPr>
          <w:p w:rsidR="00547412" w:rsidRPr="006115B9" w:rsidRDefault="00547412" w:rsidP="00356213">
            <w:pPr>
              <w:jc w:val="center"/>
              <w:rPr>
                <w:color w:val="000000"/>
                <w:sz w:val="20"/>
                <w:lang w:val="nl-BE" w:eastAsia="nl-BE"/>
              </w:rPr>
            </w:pPr>
            <w:r w:rsidRPr="006115B9">
              <w:rPr>
                <w:color w:val="000000"/>
                <w:sz w:val="20"/>
                <w:lang w:val="nl-BE" w:eastAsia="nl-BE"/>
              </w:rPr>
              <w:t>3.342,90</w:t>
            </w:r>
          </w:p>
        </w:tc>
        <w:tc>
          <w:tcPr>
            <w:tcW w:w="680" w:type="dxa"/>
            <w:tcBorders>
              <w:top w:val="nil"/>
              <w:left w:val="nil"/>
              <w:bottom w:val="single" w:sz="4" w:space="0" w:color="auto"/>
              <w:right w:val="single" w:sz="4" w:space="0" w:color="auto"/>
            </w:tcBorders>
            <w:noWrap/>
            <w:vAlign w:val="bottom"/>
          </w:tcPr>
          <w:p w:rsidR="00547412" w:rsidRPr="006115B9" w:rsidRDefault="00547412" w:rsidP="00356213">
            <w:pPr>
              <w:jc w:val="center"/>
              <w:rPr>
                <w:b/>
                <w:color w:val="000000"/>
                <w:sz w:val="20"/>
                <w:lang w:val="nl-BE" w:eastAsia="nl-BE"/>
              </w:rPr>
            </w:pPr>
            <w:r w:rsidRPr="006115B9">
              <w:rPr>
                <w:b/>
                <w:color w:val="000000"/>
                <w:sz w:val="20"/>
                <w:lang w:val="nl-BE" w:eastAsia="nl-BE"/>
              </w:rPr>
              <w:t>2,6%</w:t>
            </w:r>
          </w:p>
        </w:tc>
      </w:tr>
    </w:tbl>
    <w:p w:rsidR="00547412" w:rsidRPr="0088579B" w:rsidRDefault="00547412" w:rsidP="00356213">
      <w:pPr>
        <w:ind w:left="360"/>
        <w:rPr>
          <w:sz w:val="22"/>
          <w:szCs w:val="22"/>
          <w:lang w:eastAsia="nl-BE"/>
        </w:rPr>
      </w:pPr>
    </w:p>
    <w:p w:rsidR="00547412" w:rsidRPr="0088579B" w:rsidRDefault="00547412" w:rsidP="006279C9">
      <w:pPr>
        <w:ind w:left="360"/>
        <w:jc w:val="both"/>
        <w:rPr>
          <w:sz w:val="22"/>
          <w:szCs w:val="22"/>
          <w:lang w:eastAsia="nl-BE"/>
        </w:rPr>
      </w:pPr>
      <w:r w:rsidRPr="0088579B">
        <w:rPr>
          <w:sz w:val="22"/>
          <w:szCs w:val="22"/>
          <w:lang w:eastAsia="nl-BE"/>
        </w:rPr>
        <w:t xml:space="preserve">Op basis van de hierboven vermelde Belgische bijdrage aan het EIB-kapitaal en de EU-inkomsten (waarbij het meest recente cijfer van 2,6% [werkingsjaar 2011] wordt gehanteerd) komen we uit op een Belgische input in </w:t>
      </w:r>
      <w:r>
        <w:rPr>
          <w:sz w:val="22"/>
          <w:szCs w:val="22"/>
          <w:lang w:eastAsia="nl-BE"/>
        </w:rPr>
        <w:t xml:space="preserve">de eigen middelen van </w:t>
      </w:r>
      <w:r w:rsidRPr="0088579B">
        <w:rPr>
          <w:sz w:val="22"/>
          <w:szCs w:val="22"/>
          <w:lang w:eastAsia="nl-BE"/>
        </w:rPr>
        <w:t>het EIF van 107,28 miljoen euro oftewel 3,6%.</w:t>
      </w:r>
      <w:r>
        <w:rPr>
          <w:sz w:val="22"/>
          <w:szCs w:val="22"/>
          <w:lang w:eastAsia="nl-BE"/>
        </w:rPr>
        <w:t xml:space="preserve"> Het aandeel in de specifieke mandaten van de EIB bedraagt 225 miljoen euro (4,5% van 5 miljard euro) en in die van de EC 68,9 miljoen euro (2,6% van 2,65 miljard euro).</w:t>
      </w:r>
    </w:p>
    <w:p w:rsidR="00642565" w:rsidRDefault="00642565" w:rsidP="006279C9">
      <w:pPr>
        <w:jc w:val="both"/>
        <w:rPr>
          <w:sz w:val="22"/>
          <w:szCs w:val="22"/>
          <w:lang w:eastAsia="nl-BE"/>
        </w:rPr>
      </w:pPr>
    </w:p>
    <w:p w:rsidR="00547412" w:rsidRDefault="00547412" w:rsidP="006279C9">
      <w:pPr>
        <w:ind w:left="360"/>
        <w:jc w:val="both"/>
        <w:rPr>
          <w:sz w:val="22"/>
          <w:szCs w:val="22"/>
          <w:lang w:eastAsia="nl-BE"/>
        </w:rPr>
      </w:pPr>
      <w:r w:rsidRPr="0088579B">
        <w:rPr>
          <w:sz w:val="22"/>
          <w:szCs w:val="22"/>
          <w:lang w:eastAsia="nl-BE"/>
        </w:rPr>
        <w:t>Belangrijke kanttekeningen die hierbij evenwel moeten worden gemaakt zijn (1) het feit dat de e</w:t>
      </w:r>
      <w:r w:rsidRPr="0088579B">
        <w:rPr>
          <w:sz w:val="22"/>
          <w:szCs w:val="22"/>
          <w:lang w:eastAsia="nl-BE"/>
        </w:rPr>
        <w:t>f</w:t>
      </w:r>
      <w:r w:rsidRPr="0088579B">
        <w:rPr>
          <w:sz w:val="22"/>
          <w:szCs w:val="22"/>
          <w:lang w:eastAsia="nl-BE"/>
        </w:rPr>
        <w:t>fectieve volstorting van de voorziene Belgische EIB-contributie tot op heden slechts 5% bedraagt</w:t>
      </w:r>
      <w:r>
        <w:rPr>
          <w:sz w:val="22"/>
          <w:szCs w:val="22"/>
          <w:lang w:eastAsia="nl-BE"/>
        </w:rPr>
        <w:t xml:space="preserve"> (wat de “echte” Belgische inbreng in de EIB substantieel marginaliseert) </w:t>
      </w:r>
      <w:r w:rsidRPr="0088579B">
        <w:rPr>
          <w:sz w:val="22"/>
          <w:szCs w:val="22"/>
          <w:lang w:eastAsia="nl-BE"/>
        </w:rPr>
        <w:t>en (2) de vele verschi</w:t>
      </w:r>
      <w:r w:rsidRPr="0088579B">
        <w:rPr>
          <w:sz w:val="22"/>
          <w:szCs w:val="22"/>
          <w:lang w:eastAsia="nl-BE"/>
        </w:rPr>
        <w:t>l</w:t>
      </w:r>
      <w:r w:rsidRPr="0088579B">
        <w:rPr>
          <w:sz w:val="22"/>
          <w:szCs w:val="22"/>
          <w:lang w:eastAsia="nl-BE"/>
        </w:rPr>
        <w:t>lende manieren (want afhankelijk van vele verschillende factoren) waarop de “werkelijke” Belg</w:t>
      </w:r>
      <w:r w:rsidRPr="0088579B">
        <w:rPr>
          <w:sz w:val="22"/>
          <w:szCs w:val="22"/>
          <w:lang w:eastAsia="nl-BE"/>
        </w:rPr>
        <w:t>i</w:t>
      </w:r>
      <w:r w:rsidRPr="0088579B">
        <w:rPr>
          <w:sz w:val="22"/>
          <w:szCs w:val="22"/>
          <w:lang w:eastAsia="nl-BE"/>
        </w:rPr>
        <w:t>sche EU-bijdrage kan worden berekend. Dat herleidt de hierboven gemaakte oefening tot niet meer dan een (voorzichtige) indicatie. Overigens kan meteen het nut van een dergelijke oefening in vraag worden gesteld aangezien het EIF (kapitaal)fondsen beschikbaar stelt op basis van ing</w:t>
      </w:r>
      <w:r w:rsidRPr="0088579B">
        <w:rPr>
          <w:sz w:val="22"/>
          <w:szCs w:val="22"/>
          <w:lang w:eastAsia="nl-BE"/>
        </w:rPr>
        <w:t>e</w:t>
      </w:r>
      <w:r w:rsidRPr="0088579B">
        <w:rPr>
          <w:sz w:val="22"/>
          <w:szCs w:val="22"/>
          <w:lang w:eastAsia="nl-BE"/>
        </w:rPr>
        <w:t>diende projectvoorstellen en niet op basis van “</w:t>
      </w:r>
      <w:proofErr w:type="spellStart"/>
      <w:r w:rsidRPr="0088579B">
        <w:rPr>
          <w:sz w:val="22"/>
          <w:szCs w:val="22"/>
          <w:lang w:eastAsia="nl-BE"/>
        </w:rPr>
        <w:t>juste</w:t>
      </w:r>
      <w:proofErr w:type="spellEnd"/>
      <w:r w:rsidRPr="0088579B">
        <w:rPr>
          <w:sz w:val="22"/>
          <w:szCs w:val="22"/>
          <w:lang w:eastAsia="nl-BE"/>
        </w:rPr>
        <w:t xml:space="preserve"> retour”. De </w:t>
      </w:r>
      <w:r>
        <w:rPr>
          <w:sz w:val="22"/>
          <w:szCs w:val="22"/>
          <w:lang w:eastAsia="nl-BE"/>
        </w:rPr>
        <w:t xml:space="preserve">indirect </w:t>
      </w:r>
      <w:r w:rsidRPr="0088579B">
        <w:rPr>
          <w:sz w:val="22"/>
          <w:szCs w:val="22"/>
          <w:lang w:eastAsia="nl-BE"/>
        </w:rPr>
        <w:t xml:space="preserve">in het EIF ingebrachte Belgische middelen zeggen dan ook niets over de </w:t>
      </w:r>
      <w:r>
        <w:rPr>
          <w:sz w:val="22"/>
          <w:szCs w:val="22"/>
          <w:lang w:eastAsia="nl-BE"/>
        </w:rPr>
        <w:t>besteding</w:t>
      </w:r>
      <w:r w:rsidRPr="0088579B">
        <w:rPr>
          <w:sz w:val="22"/>
          <w:szCs w:val="22"/>
          <w:lang w:eastAsia="nl-BE"/>
        </w:rPr>
        <w:t xml:space="preserve"> van EIF-middelen </w:t>
      </w:r>
      <w:r>
        <w:rPr>
          <w:sz w:val="22"/>
          <w:szCs w:val="22"/>
          <w:lang w:eastAsia="nl-BE"/>
        </w:rPr>
        <w:t>in</w:t>
      </w:r>
      <w:r w:rsidRPr="0088579B">
        <w:rPr>
          <w:sz w:val="22"/>
          <w:szCs w:val="22"/>
          <w:lang w:eastAsia="nl-BE"/>
        </w:rPr>
        <w:t xml:space="preserve"> België.</w:t>
      </w:r>
    </w:p>
    <w:p w:rsidR="00547412" w:rsidRDefault="00547412" w:rsidP="0088579B">
      <w:pPr>
        <w:ind w:left="360"/>
        <w:rPr>
          <w:sz w:val="22"/>
          <w:szCs w:val="22"/>
          <w:lang w:eastAsia="nl-BE"/>
        </w:rPr>
      </w:pPr>
    </w:p>
    <w:p w:rsidR="006279C9" w:rsidRPr="006279C9" w:rsidRDefault="006279C9" w:rsidP="0088579B">
      <w:pPr>
        <w:ind w:left="360"/>
        <w:rPr>
          <w:b/>
          <w:bCs/>
          <w:smallCaps/>
          <w:sz w:val="22"/>
          <w:szCs w:val="22"/>
          <w:u w:val="single"/>
        </w:rPr>
      </w:pPr>
    </w:p>
    <w:p w:rsidR="00547412" w:rsidRPr="006279C9" w:rsidRDefault="00547412" w:rsidP="006279C9">
      <w:pPr>
        <w:rPr>
          <w:sz w:val="22"/>
          <w:szCs w:val="22"/>
          <w:lang w:eastAsia="nl-BE"/>
        </w:rPr>
      </w:pPr>
      <w:r w:rsidRPr="006279C9">
        <w:rPr>
          <w:b/>
          <w:bCs/>
          <w:smallCaps/>
          <w:color w:val="FF0000"/>
          <w:sz w:val="22"/>
          <w:szCs w:val="22"/>
        </w:rPr>
        <w:t>bijlagen</w:t>
      </w:r>
    </w:p>
    <w:p w:rsidR="00547412" w:rsidRDefault="00547412" w:rsidP="0088579B">
      <w:pPr>
        <w:ind w:left="360"/>
        <w:rPr>
          <w:sz w:val="22"/>
          <w:szCs w:val="22"/>
          <w:lang w:eastAsia="nl-BE"/>
        </w:rPr>
      </w:pPr>
    </w:p>
    <w:p w:rsidR="00547412" w:rsidRPr="006279C9" w:rsidRDefault="00547412" w:rsidP="006279C9">
      <w:pPr>
        <w:pStyle w:val="Lijstalinea"/>
        <w:numPr>
          <w:ilvl w:val="0"/>
          <w:numId w:val="34"/>
        </w:numPr>
        <w:rPr>
          <w:sz w:val="22"/>
          <w:szCs w:val="22"/>
        </w:rPr>
      </w:pPr>
      <w:r w:rsidRPr="006279C9">
        <w:rPr>
          <w:sz w:val="22"/>
          <w:szCs w:val="22"/>
        </w:rPr>
        <w:t>Overzicht EIF-activiteiten in België v</w:t>
      </w:r>
      <w:r w:rsidR="006279C9">
        <w:rPr>
          <w:sz w:val="22"/>
          <w:szCs w:val="22"/>
        </w:rPr>
        <w:t>anaf 2005 (status oktober 2012)</w:t>
      </w:r>
      <w:bookmarkStart w:id="0" w:name="_GoBack"/>
      <w:bookmarkEnd w:id="0"/>
    </w:p>
    <w:p w:rsidR="00547412" w:rsidRPr="006279C9" w:rsidRDefault="00547412" w:rsidP="006279C9">
      <w:pPr>
        <w:pStyle w:val="Lijstalinea"/>
        <w:numPr>
          <w:ilvl w:val="0"/>
          <w:numId w:val="34"/>
        </w:numPr>
        <w:rPr>
          <w:sz w:val="22"/>
          <w:szCs w:val="22"/>
        </w:rPr>
      </w:pPr>
      <w:r w:rsidRPr="006279C9">
        <w:rPr>
          <w:sz w:val="22"/>
          <w:szCs w:val="22"/>
        </w:rPr>
        <w:t xml:space="preserve">Overzicht specifieke </w:t>
      </w:r>
      <w:proofErr w:type="spellStart"/>
      <w:r w:rsidRPr="006279C9">
        <w:rPr>
          <w:sz w:val="22"/>
          <w:szCs w:val="22"/>
        </w:rPr>
        <w:t>mandatan</w:t>
      </w:r>
      <w:proofErr w:type="spellEnd"/>
      <w:r w:rsidRPr="006279C9">
        <w:rPr>
          <w:sz w:val="22"/>
          <w:szCs w:val="22"/>
        </w:rPr>
        <w:t xml:space="preserve"> (status oktober 2012)</w:t>
      </w:r>
    </w:p>
    <w:sectPr w:rsidR="00547412" w:rsidRPr="006279C9" w:rsidSect="0086688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F9" w:rsidRDefault="00A940F9">
      <w:r>
        <w:separator/>
      </w:r>
    </w:p>
  </w:endnote>
  <w:endnote w:type="continuationSeparator" w:id="0">
    <w:p w:rsidR="00A940F9" w:rsidRDefault="00A9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F9" w:rsidRDefault="00A940F9">
      <w:r>
        <w:separator/>
      </w:r>
    </w:p>
  </w:footnote>
  <w:footnote w:type="continuationSeparator" w:id="0">
    <w:p w:rsidR="00A940F9" w:rsidRDefault="00A940F9">
      <w:r>
        <w:continuationSeparator/>
      </w:r>
    </w:p>
  </w:footnote>
  <w:footnote w:id="1">
    <w:p w:rsidR="00547412" w:rsidRDefault="00547412" w:rsidP="006115B9">
      <w:pPr>
        <w:pStyle w:val="Voetnoottekst"/>
      </w:pPr>
      <w:r w:rsidRPr="0088579B">
        <w:rPr>
          <w:rStyle w:val="Voetnootmarkering"/>
        </w:rPr>
        <w:footnoteRef/>
      </w:r>
      <w:r w:rsidRPr="0088579B">
        <w:rPr>
          <w:lang w:val="en-US"/>
        </w:rPr>
        <w:t xml:space="preserve"> </w:t>
      </w:r>
      <w:hyperlink r:id="rId1" w:history="1">
        <w:r w:rsidRPr="0088579B">
          <w:rPr>
            <w:rStyle w:val="Hyperlink"/>
            <w:lang w:val="en-US"/>
          </w:rPr>
          <w:t>http://www.eif.org/who_we_are/shareholder/index.htm</w:t>
        </w:r>
      </w:hyperlink>
      <w:r w:rsidRPr="0088579B">
        <w:rPr>
          <w:lang w:val="en-US"/>
        </w:rPr>
        <w:t>.</w:t>
      </w:r>
    </w:p>
  </w:footnote>
  <w:footnote w:id="2">
    <w:p w:rsidR="00547412" w:rsidRDefault="00547412" w:rsidP="002B0F76">
      <w:pPr>
        <w:pStyle w:val="Voetnoottekst"/>
      </w:pPr>
      <w:r w:rsidRPr="0088579B">
        <w:rPr>
          <w:rStyle w:val="Voetnootmarkering"/>
        </w:rPr>
        <w:footnoteRef/>
      </w:r>
      <w:r w:rsidRPr="00235516">
        <w:t xml:space="preserve"> </w:t>
      </w:r>
      <w:hyperlink r:id="rId2" w:history="1">
        <w:r w:rsidRPr="00235516">
          <w:rPr>
            <w:rStyle w:val="Hyperlink"/>
          </w:rPr>
          <w:t>http://www.eif.org/who_we_are/shareholder/register.htm</w:t>
        </w:r>
      </w:hyperlink>
      <w:r w:rsidRPr="00235516">
        <w:t>.</w:t>
      </w:r>
    </w:p>
  </w:footnote>
  <w:footnote w:id="3">
    <w:p w:rsidR="00547412" w:rsidRDefault="00547412" w:rsidP="006115B9">
      <w:pPr>
        <w:pStyle w:val="Voetnoottekst"/>
      </w:pPr>
      <w:r w:rsidRPr="0088579B">
        <w:rPr>
          <w:rStyle w:val="Voetnootmarkering"/>
        </w:rPr>
        <w:footnoteRef/>
      </w:r>
      <w:r w:rsidRPr="00235516">
        <w:t xml:space="preserve"> </w:t>
      </w:r>
      <w:hyperlink r:id="rId3" w:history="1">
        <w:r w:rsidRPr="00235516">
          <w:rPr>
            <w:rStyle w:val="Hyperlink"/>
          </w:rPr>
          <w:t>http://www.eib.org/about/structure/shareholders/index.htm</w:t>
        </w:r>
      </w:hyperlink>
      <w:r w:rsidRPr="00235516">
        <w:t>.</w:t>
      </w:r>
    </w:p>
  </w:footnote>
  <w:footnote w:id="4">
    <w:p w:rsidR="00547412" w:rsidRDefault="00547412">
      <w:pPr>
        <w:pStyle w:val="Voetnoottekst"/>
      </w:pPr>
      <w:r w:rsidRPr="0088579B">
        <w:rPr>
          <w:rStyle w:val="Voetnootmarkering"/>
        </w:rPr>
        <w:footnoteRef/>
      </w:r>
      <w:r w:rsidRPr="00235516">
        <w:t xml:space="preserve"> </w:t>
      </w:r>
      <w:hyperlink r:id="rId4" w:history="1">
        <w:r w:rsidRPr="00235516">
          <w:rPr>
            <w:rStyle w:val="Hyperlink"/>
          </w:rPr>
          <w:t>http://ec.europa.eu/budget/index_en.cfm</w:t>
        </w:r>
      </w:hyperlink>
      <w:r w:rsidRPr="0023551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9B227A0"/>
    <w:multiLevelType w:val="hybridMultilevel"/>
    <w:tmpl w:val="C2FAA96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D330F3A"/>
    <w:multiLevelType w:val="hybridMultilevel"/>
    <w:tmpl w:val="03FEA73C"/>
    <w:lvl w:ilvl="0" w:tplc="0813000F">
      <w:start w:val="1"/>
      <w:numFmt w:val="decimal"/>
      <w:lvlText w:val="%1."/>
      <w:lvlJc w:val="left"/>
      <w:pPr>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11CB5775"/>
    <w:multiLevelType w:val="multilevel"/>
    <w:tmpl w:val="0C848890"/>
    <w:lvl w:ilvl="0">
      <w:start w:val="1"/>
      <w:numFmt w:val="decimal"/>
      <w:pStyle w:val="Kop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6">
    <w:nsid w:val="25C8313C"/>
    <w:multiLevelType w:val="hybridMultilevel"/>
    <w:tmpl w:val="4CD290EE"/>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28434432"/>
    <w:multiLevelType w:val="hybridMultilevel"/>
    <w:tmpl w:val="BD4EE498"/>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8">
    <w:nsid w:val="2E0D65A5"/>
    <w:multiLevelType w:val="hybridMultilevel"/>
    <w:tmpl w:val="A446C45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2F1F0393"/>
    <w:multiLevelType w:val="hybridMultilevel"/>
    <w:tmpl w:val="B3E019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35F95A02"/>
    <w:multiLevelType w:val="hybridMultilevel"/>
    <w:tmpl w:val="41B8BF4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3A465110"/>
    <w:multiLevelType w:val="hybridMultilevel"/>
    <w:tmpl w:val="FDB80C3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3BF61139"/>
    <w:multiLevelType w:val="hybridMultilevel"/>
    <w:tmpl w:val="987C3D46"/>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3BFF6CA2"/>
    <w:multiLevelType w:val="hybridMultilevel"/>
    <w:tmpl w:val="74880E0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3D885D94"/>
    <w:multiLevelType w:val="hybridMultilevel"/>
    <w:tmpl w:val="5AD6447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nsid w:val="3FE272C1"/>
    <w:multiLevelType w:val="hybridMultilevel"/>
    <w:tmpl w:val="509CE2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443021BE"/>
    <w:multiLevelType w:val="hybridMultilevel"/>
    <w:tmpl w:val="7C14933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47D62EEF"/>
    <w:multiLevelType w:val="hybridMultilevel"/>
    <w:tmpl w:val="96301DC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482D3C3B"/>
    <w:multiLevelType w:val="hybridMultilevel"/>
    <w:tmpl w:val="92D0AA96"/>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0">
    <w:nsid w:val="5446446E"/>
    <w:multiLevelType w:val="hybridMultilevel"/>
    <w:tmpl w:val="AE30FA8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1">
    <w:nsid w:val="555610A4"/>
    <w:multiLevelType w:val="hybridMultilevel"/>
    <w:tmpl w:val="B22827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5E8D06DC"/>
    <w:multiLevelType w:val="hybridMultilevel"/>
    <w:tmpl w:val="8DDCA43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61360FEC"/>
    <w:multiLevelType w:val="hybridMultilevel"/>
    <w:tmpl w:val="E4506EE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4">
    <w:nsid w:val="662B51F6"/>
    <w:multiLevelType w:val="hybridMultilevel"/>
    <w:tmpl w:val="DD06DF8C"/>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5">
    <w:nsid w:val="68A128F1"/>
    <w:multiLevelType w:val="hybridMultilevel"/>
    <w:tmpl w:val="2E5E194E"/>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6">
    <w:nsid w:val="6B9C11B3"/>
    <w:multiLevelType w:val="hybridMultilevel"/>
    <w:tmpl w:val="4892988C"/>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7">
    <w:nsid w:val="6C345D3C"/>
    <w:multiLevelType w:val="hybridMultilevel"/>
    <w:tmpl w:val="0D362CF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8">
    <w:nsid w:val="6C3F0049"/>
    <w:multiLevelType w:val="hybridMultilevel"/>
    <w:tmpl w:val="9508F9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9">
    <w:nsid w:val="6CE9033D"/>
    <w:multiLevelType w:val="hybridMultilevel"/>
    <w:tmpl w:val="F7DA1E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74A9562A"/>
    <w:multiLevelType w:val="hybridMultilevel"/>
    <w:tmpl w:val="CBBEC0F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7EBA6D8D"/>
    <w:multiLevelType w:val="hybridMultilevel"/>
    <w:tmpl w:val="67FEEB1E"/>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4"/>
  </w:num>
  <w:num w:numId="2">
    <w:abstractNumId w:val="4"/>
  </w:num>
  <w:num w:numId="3">
    <w:abstractNumId w:val="0"/>
  </w:num>
  <w:num w:numId="4">
    <w:abstractNumId w:val="22"/>
  </w:num>
  <w:num w:numId="5">
    <w:abstractNumId w:val="16"/>
  </w:num>
  <w:num w:numId="6">
    <w:abstractNumId w:val="3"/>
  </w:num>
  <w:num w:numId="7">
    <w:abstractNumId w:val="28"/>
  </w:num>
  <w:num w:numId="8">
    <w:abstractNumId w:val="14"/>
  </w:num>
  <w:num w:numId="9">
    <w:abstractNumId w:val="11"/>
  </w:num>
  <w:num w:numId="10">
    <w:abstractNumId w:val="2"/>
  </w:num>
  <w:num w:numId="11">
    <w:abstractNumId w:val="10"/>
  </w:num>
  <w:num w:numId="12">
    <w:abstractNumId w:val="5"/>
  </w:num>
  <w:num w:numId="13">
    <w:abstractNumId w:val="8"/>
  </w:num>
  <w:num w:numId="14">
    <w:abstractNumId w:val="19"/>
  </w:num>
  <w:num w:numId="15">
    <w:abstractNumId w:val="9"/>
  </w:num>
  <w:num w:numId="16">
    <w:abstractNumId w:val="31"/>
  </w:num>
  <w:num w:numId="17">
    <w:abstractNumId w:val="13"/>
  </w:num>
  <w:num w:numId="18">
    <w:abstractNumId w:val="6"/>
  </w:num>
  <w:num w:numId="19">
    <w:abstractNumId w:val="20"/>
  </w:num>
  <w:num w:numId="20">
    <w:abstractNumId w:val="12"/>
  </w:num>
  <w:num w:numId="21">
    <w:abstractNumId w:val="23"/>
  </w:num>
  <w:num w:numId="22">
    <w:abstractNumId w:val="29"/>
  </w:num>
  <w:num w:numId="23">
    <w:abstractNumId w:val="1"/>
  </w:num>
  <w:num w:numId="24">
    <w:abstractNumId w:val="27"/>
  </w:num>
  <w:num w:numId="25">
    <w:abstractNumId w:val="21"/>
  </w:num>
  <w:num w:numId="26">
    <w:abstractNumId w:val="18"/>
  </w:num>
  <w:num w:numId="27">
    <w:abstractNumId w:val="17"/>
  </w:num>
  <w:num w:numId="28">
    <w:abstractNumId w:val="26"/>
  </w:num>
  <w:num w:numId="29">
    <w:abstractNumId w:val="25"/>
  </w:num>
  <w:num w:numId="30">
    <w:abstractNumId w:val="32"/>
  </w:num>
  <w:num w:numId="31">
    <w:abstractNumId w:val="7"/>
  </w:num>
  <w:num w:numId="32">
    <w:abstractNumId w:val="15"/>
  </w:num>
  <w:num w:numId="33">
    <w:abstractNumId w:val="2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F1544"/>
    <w:rsid w:val="00010B84"/>
    <w:rsid w:val="000177DF"/>
    <w:rsid w:val="00067378"/>
    <w:rsid w:val="000732FB"/>
    <w:rsid w:val="000D7FE5"/>
    <w:rsid w:val="00102476"/>
    <w:rsid w:val="001058E4"/>
    <w:rsid w:val="001561C9"/>
    <w:rsid w:val="0016148B"/>
    <w:rsid w:val="001755B2"/>
    <w:rsid w:val="001A3602"/>
    <w:rsid w:val="001C0B52"/>
    <w:rsid w:val="001D50C6"/>
    <w:rsid w:val="001F713E"/>
    <w:rsid w:val="00202FA9"/>
    <w:rsid w:val="0022667C"/>
    <w:rsid w:val="00235516"/>
    <w:rsid w:val="00250F12"/>
    <w:rsid w:val="002536A1"/>
    <w:rsid w:val="002B0F76"/>
    <w:rsid w:val="002B65A3"/>
    <w:rsid w:val="002C7444"/>
    <w:rsid w:val="002D413A"/>
    <w:rsid w:val="002F1544"/>
    <w:rsid w:val="00312D06"/>
    <w:rsid w:val="00321F10"/>
    <w:rsid w:val="0032261D"/>
    <w:rsid w:val="00323AF3"/>
    <w:rsid w:val="0034616F"/>
    <w:rsid w:val="00356213"/>
    <w:rsid w:val="003750D5"/>
    <w:rsid w:val="003B0E64"/>
    <w:rsid w:val="003B6A5C"/>
    <w:rsid w:val="00423F29"/>
    <w:rsid w:val="00444B47"/>
    <w:rsid w:val="0046761C"/>
    <w:rsid w:val="0047032B"/>
    <w:rsid w:val="00472C97"/>
    <w:rsid w:val="00477EB3"/>
    <w:rsid w:val="00487211"/>
    <w:rsid w:val="004A56C3"/>
    <w:rsid w:val="004D21E2"/>
    <w:rsid w:val="004F3708"/>
    <w:rsid w:val="00512E83"/>
    <w:rsid w:val="00540203"/>
    <w:rsid w:val="00540740"/>
    <w:rsid w:val="00547412"/>
    <w:rsid w:val="00560124"/>
    <w:rsid w:val="0058291E"/>
    <w:rsid w:val="00584758"/>
    <w:rsid w:val="005B3194"/>
    <w:rsid w:val="005C1E1D"/>
    <w:rsid w:val="005E2D1D"/>
    <w:rsid w:val="006115B9"/>
    <w:rsid w:val="0061622D"/>
    <w:rsid w:val="006279C9"/>
    <w:rsid w:val="00642565"/>
    <w:rsid w:val="006905A8"/>
    <w:rsid w:val="006A5A3E"/>
    <w:rsid w:val="006C38BC"/>
    <w:rsid w:val="006D51BD"/>
    <w:rsid w:val="006F445E"/>
    <w:rsid w:val="00723B3F"/>
    <w:rsid w:val="0072558D"/>
    <w:rsid w:val="007408E7"/>
    <w:rsid w:val="00766C70"/>
    <w:rsid w:val="00814454"/>
    <w:rsid w:val="00842183"/>
    <w:rsid w:val="00866884"/>
    <w:rsid w:val="0088579B"/>
    <w:rsid w:val="008A6DA3"/>
    <w:rsid w:val="008E3430"/>
    <w:rsid w:val="00950EDD"/>
    <w:rsid w:val="009511C4"/>
    <w:rsid w:val="009563EA"/>
    <w:rsid w:val="00995A04"/>
    <w:rsid w:val="00995F79"/>
    <w:rsid w:val="009A6335"/>
    <w:rsid w:val="009B793A"/>
    <w:rsid w:val="00A2698A"/>
    <w:rsid w:val="00A8473D"/>
    <w:rsid w:val="00A926C0"/>
    <w:rsid w:val="00A940F9"/>
    <w:rsid w:val="00AD549A"/>
    <w:rsid w:val="00B16D19"/>
    <w:rsid w:val="00BB2A82"/>
    <w:rsid w:val="00BB38B7"/>
    <w:rsid w:val="00BB6E27"/>
    <w:rsid w:val="00BE315B"/>
    <w:rsid w:val="00C625C9"/>
    <w:rsid w:val="00CA0F2E"/>
    <w:rsid w:val="00CC0742"/>
    <w:rsid w:val="00CE2DB2"/>
    <w:rsid w:val="00CE5C0A"/>
    <w:rsid w:val="00D10A53"/>
    <w:rsid w:val="00D428A8"/>
    <w:rsid w:val="00D44CA5"/>
    <w:rsid w:val="00D533F7"/>
    <w:rsid w:val="00D5568D"/>
    <w:rsid w:val="00D61A12"/>
    <w:rsid w:val="00D67BAF"/>
    <w:rsid w:val="00D93F3E"/>
    <w:rsid w:val="00DA3A9B"/>
    <w:rsid w:val="00DE405B"/>
    <w:rsid w:val="00E00182"/>
    <w:rsid w:val="00E14A39"/>
    <w:rsid w:val="00E55DC9"/>
    <w:rsid w:val="00E67B21"/>
    <w:rsid w:val="00E839E8"/>
    <w:rsid w:val="00E83D6E"/>
    <w:rsid w:val="00EA3B93"/>
    <w:rsid w:val="00EB0A62"/>
    <w:rsid w:val="00EB78CA"/>
    <w:rsid w:val="00ED774A"/>
    <w:rsid w:val="00FA0384"/>
    <w:rsid w:val="00FB7096"/>
    <w:rsid w:val="00FD17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6884"/>
    <w:rPr>
      <w:sz w:val="24"/>
      <w:szCs w:val="20"/>
      <w:lang w:val="nl-NL" w:eastAsia="nl-NL"/>
    </w:rPr>
  </w:style>
  <w:style w:type="paragraph" w:styleId="Kop1">
    <w:name w:val="heading 1"/>
    <w:basedOn w:val="Standaard"/>
    <w:next w:val="Standaard"/>
    <w:link w:val="Kop1Char"/>
    <w:uiPriority w:val="99"/>
    <w:qFormat/>
    <w:rsid w:val="00866884"/>
    <w:pPr>
      <w:keepNext/>
      <w:numPr>
        <w:numId w:val="2"/>
      </w:numPr>
      <w:jc w:val="both"/>
      <w:outlineLvl w:val="0"/>
    </w:pPr>
    <w:rPr>
      <w:b/>
      <w:caps/>
    </w:rPr>
  </w:style>
  <w:style w:type="paragraph" w:styleId="Kop2">
    <w:name w:val="heading 2"/>
    <w:basedOn w:val="Standaard"/>
    <w:next w:val="Standaard"/>
    <w:link w:val="Kop2Char"/>
    <w:uiPriority w:val="99"/>
    <w:qFormat/>
    <w:rsid w:val="00866884"/>
    <w:pPr>
      <w:keepNext/>
      <w:tabs>
        <w:tab w:val="num" w:pos="567"/>
      </w:tabs>
      <w:ind w:left="567" w:hanging="567"/>
      <w:outlineLvl w:val="1"/>
    </w:pPr>
    <w:rPr>
      <w:b/>
    </w:rPr>
  </w:style>
  <w:style w:type="paragraph" w:styleId="Kop3">
    <w:name w:val="heading 3"/>
    <w:basedOn w:val="Standaard"/>
    <w:next w:val="Standaard"/>
    <w:link w:val="Kop3Char"/>
    <w:uiPriority w:val="99"/>
    <w:qFormat/>
    <w:rsid w:val="00866884"/>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72A9"/>
    <w:rPr>
      <w:rFonts w:asciiTheme="majorHAnsi" w:eastAsiaTheme="majorEastAsia" w:hAnsiTheme="majorHAnsi" w:cstheme="majorBidi"/>
      <w:b/>
      <w:bCs/>
      <w:kern w:val="32"/>
      <w:sz w:val="32"/>
      <w:szCs w:val="32"/>
      <w:lang w:val="nl-NL" w:eastAsia="nl-NL"/>
    </w:rPr>
  </w:style>
  <w:style w:type="character" w:customStyle="1" w:styleId="Kop2Char">
    <w:name w:val="Kop 2 Char"/>
    <w:basedOn w:val="Standaardalinea-lettertype"/>
    <w:link w:val="Kop2"/>
    <w:uiPriority w:val="9"/>
    <w:semiHidden/>
    <w:rsid w:val="005472A9"/>
    <w:rPr>
      <w:rFonts w:asciiTheme="majorHAnsi" w:eastAsiaTheme="majorEastAsia" w:hAnsiTheme="majorHAnsi" w:cstheme="majorBidi"/>
      <w:b/>
      <w:bCs/>
      <w:i/>
      <w:iCs/>
      <w:sz w:val="28"/>
      <w:szCs w:val="28"/>
      <w:lang w:val="nl-NL" w:eastAsia="nl-NL"/>
    </w:rPr>
  </w:style>
  <w:style w:type="character" w:customStyle="1" w:styleId="Kop3Char">
    <w:name w:val="Kop 3 Char"/>
    <w:basedOn w:val="Standaardalinea-lettertype"/>
    <w:link w:val="Kop3"/>
    <w:uiPriority w:val="9"/>
    <w:semiHidden/>
    <w:rsid w:val="005472A9"/>
    <w:rPr>
      <w:rFonts w:asciiTheme="majorHAnsi" w:eastAsiaTheme="majorEastAsia" w:hAnsiTheme="majorHAnsi" w:cstheme="majorBidi"/>
      <w:b/>
      <w:bCs/>
      <w:sz w:val="26"/>
      <w:szCs w:val="26"/>
      <w:lang w:val="nl-NL" w:eastAsia="nl-NL"/>
    </w:rPr>
  </w:style>
  <w:style w:type="paragraph" w:styleId="Adresenvelop">
    <w:name w:val="envelope address"/>
    <w:basedOn w:val="Standaard"/>
    <w:uiPriority w:val="99"/>
    <w:rsid w:val="00866884"/>
    <w:pPr>
      <w:framePr w:w="7920" w:h="1980" w:hRule="exact" w:hSpace="141" w:wrap="auto" w:hAnchor="page" w:xAlign="center" w:yAlign="bottom"/>
      <w:ind w:left="2880"/>
    </w:pPr>
  </w:style>
  <w:style w:type="paragraph" w:styleId="Afzender">
    <w:name w:val="envelope return"/>
    <w:basedOn w:val="Standaard"/>
    <w:uiPriority w:val="99"/>
    <w:rsid w:val="00866884"/>
  </w:style>
  <w:style w:type="paragraph" w:styleId="Inhopg1">
    <w:name w:val="toc 1"/>
    <w:basedOn w:val="Standaard"/>
    <w:next w:val="Standaard"/>
    <w:autoRedefine/>
    <w:uiPriority w:val="99"/>
    <w:semiHidden/>
    <w:rsid w:val="00866884"/>
    <w:pPr>
      <w:tabs>
        <w:tab w:val="right" w:leader="dot" w:pos="9741"/>
      </w:tabs>
      <w:spacing w:before="180" w:after="180"/>
      <w:ind w:left="567" w:hanging="567"/>
    </w:pPr>
    <w:rPr>
      <w:b/>
      <w:caps/>
      <w:noProof/>
    </w:rPr>
  </w:style>
  <w:style w:type="paragraph" w:styleId="Inhopg2">
    <w:name w:val="toc 2"/>
    <w:basedOn w:val="Standaard"/>
    <w:next w:val="Standaard"/>
    <w:autoRedefine/>
    <w:uiPriority w:val="99"/>
    <w:semiHidden/>
    <w:rsid w:val="00866884"/>
    <w:pPr>
      <w:tabs>
        <w:tab w:val="right" w:leader="dot" w:pos="9741"/>
      </w:tabs>
      <w:spacing w:before="80" w:after="80"/>
      <w:ind w:left="1134" w:hanging="567"/>
    </w:pPr>
    <w:rPr>
      <w:noProof/>
    </w:rPr>
  </w:style>
  <w:style w:type="paragraph" w:styleId="Inhopg3">
    <w:name w:val="toc 3"/>
    <w:basedOn w:val="Standaard"/>
    <w:next w:val="Standaard"/>
    <w:autoRedefine/>
    <w:uiPriority w:val="99"/>
    <w:semiHidden/>
    <w:rsid w:val="00866884"/>
    <w:pPr>
      <w:tabs>
        <w:tab w:val="right" w:leader="dot" w:pos="9741"/>
      </w:tabs>
      <w:spacing w:before="40" w:after="40"/>
      <w:ind w:left="1701" w:hanging="567"/>
    </w:pPr>
    <w:rPr>
      <w:i/>
    </w:rPr>
  </w:style>
  <w:style w:type="paragraph" w:styleId="Plattetekst2">
    <w:name w:val="Body Text 2"/>
    <w:basedOn w:val="Standaard"/>
    <w:link w:val="Plattetekst2Char"/>
    <w:uiPriority w:val="99"/>
    <w:rsid w:val="00866884"/>
    <w:pPr>
      <w:jc w:val="both"/>
    </w:pPr>
    <w:rPr>
      <w:i/>
      <w:sz w:val="22"/>
    </w:rPr>
  </w:style>
  <w:style w:type="character" w:customStyle="1" w:styleId="Plattetekst2Char">
    <w:name w:val="Platte tekst 2 Char"/>
    <w:basedOn w:val="Standaardalinea-lettertype"/>
    <w:link w:val="Plattetekst2"/>
    <w:uiPriority w:val="99"/>
    <w:semiHidden/>
    <w:rsid w:val="005472A9"/>
    <w:rPr>
      <w:sz w:val="24"/>
      <w:szCs w:val="20"/>
      <w:lang w:val="nl-NL" w:eastAsia="nl-NL"/>
    </w:rPr>
  </w:style>
  <w:style w:type="character" w:customStyle="1" w:styleId="OpmaakprofielSV">
    <w:name w:val="Opmaakprofiel SV"/>
    <w:uiPriority w:val="99"/>
    <w:rsid w:val="002B65A3"/>
    <w:rPr>
      <w:rFonts w:ascii="Arial" w:hAnsi="Arial"/>
      <w:sz w:val="22"/>
    </w:rPr>
  </w:style>
  <w:style w:type="paragraph" w:customStyle="1" w:styleId="SVVlaamsParlement">
    <w:name w:val="SV Vlaams Parlement"/>
    <w:basedOn w:val="Standaard"/>
    <w:uiPriority w:val="99"/>
    <w:rsid w:val="00866884"/>
    <w:pPr>
      <w:jc w:val="both"/>
    </w:pPr>
    <w:rPr>
      <w:b/>
      <w:smallCaps/>
      <w:sz w:val="22"/>
    </w:rPr>
  </w:style>
  <w:style w:type="paragraph" w:customStyle="1" w:styleId="SVTitel">
    <w:name w:val="SV Titel"/>
    <w:basedOn w:val="Standaard"/>
    <w:uiPriority w:val="99"/>
    <w:rsid w:val="00866884"/>
    <w:pPr>
      <w:jc w:val="both"/>
    </w:pPr>
    <w:rPr>
      <w:i/>
      <w:sz w:val="22"/>
    </w:rPr>
  </w:style>
  <w:style w:type="paragraph" w:customStyle="1" w:styleId="StandaardSV">
    <w:name w:val="Standaard SV"/>
    <w:basedOn w:val="Standaard"/>
    <w:uiPriority w:val="99"/>
    <w:rsid w:val="00866884"/>
    <w:pPr>
      <w:jc w:val="both"/>
    </w:pPr>
    <w:rPr>
      <w:sz w:val="22"/>
    </w:rPr>
  </w:style>
  <w:style w:type="paragraph" w:styleId="Lijstalinea">
    <w:name w:val="List Paragraph"/>
    <w:basedOn w:val="Standaard"/>
    <w:uiPriority w:val="99"/>
    <w:qFormat/>
    <w:rsid w:val="002B65A3"/>
    <w:pPr>
      <w:ind w:left="708"/>
    </w:pPr>
    <w:rPr>
      <w:szCs w:val="24"/>
    </w:rPr>
  </w:style>
  <w:style w:type="paragraph" w:styleId="Voetnoottekst">
    <w:name w:val="footnote text"/>
    <w:basedOn w:val="Standaard"/>
    <w:link w:val="VoetnoottekstChar"/>
    <w:uiPriority w:val="99"/>
    <w:semiHidden/>
    <w:rsid w:val="008E3430"/>
    <w:rPr>
      <w:sz w:val="20"/>
    </w:rPr>
  </w:style>
  <w:style w:type="character" w:customStyle="1" w:styleId="VoetnoottekstChar">
    <w:name w:val="Voetnoottekst Char"/>
    <w:basedOn w:val="Standaardalinea-lettertype"/>
    <w:link w:val="Voetnoottekst"/>
    <w:uiPriority w:val="99"/>
    <w:semiHidden/>
    <w:rsid w:val="005472A9"/>
    <w:rPr>
      <w:sz w:val="20"/>
      <w:szCs w:val="20"/>
      <w:lang w:val="nl-NL" w:eastAsia="nl-NL"/>
    </w:rPr>
  </w:style>
  <w:style w:type="character" w:styleId="Voetnootmarkering">
    <w:name w:val="footnote reference"/>
    <w:basedOn w:val="Standaardalinea-lettertype"/>
    <w:uiPriority w:val="99"/>
    <w:semiHidden/>
    <w:rsid w:val="008E3430"/>
    <w:rPr>
      <w:rFonts w:cs="Times New Roman"/>
      <w:vertAlign w:val="superscript"/>
    </w:rPr>
  </w:style>
  <w:style w:type="paragraph" w:styleId="Documentstructuur">
    <w:name w:val="Document Map"/>
    <w:basedOn w:val="Standaard"/>
    <w:link w:val="DocumentstructuurChar"/>
    <w:uiPriority w:val="99"/>
    <w:semiHidden/>
    <w:rsid w:val="00D61A12"/>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semiHidden/>
    <w:rsid w:val="005472A9"/>
    <w:rPr>
      <w:sz w:val="0"/>
      <w:szCs w:val="0"/>
      <w:lang w:val="nl-NL" w:eastAsia="nl-NL"/>
    </w:rPr>
  </w:style>
  <w:style w:type="paragraph" w:styleId="Ballontekst">
    <w:name w:val="Balloon Text"/>
    <w:basedOn w:val="Standaard"/>
    <w:link w:val="BallontekstChar"/>
    <w:uiPriority w:val="99"/>
    <w:rsid w:val="001A3602"/>
    <w:rPr>
      <w:rFonts w:ascii="Tahoma" w:hAnsi="Tahoma"/>
      <w:sz w:val="16"/>
      <w:szCs w:val="16"/>
    </w:rPr>
  </w:style>
  <w:style w:type="character" w:customStyle="1" w:styleId="BallontekstChar">
    <w:name w:val="Ballontekst Char"/>
    <w:basedOn w:val="Standaardalinea-lettertype"/>
    <w:link w:val="Ballontekst"/>
    <w:uiPriority w:val="99"/>
    <w:locked/>
    <w:rsid w:val="001A3602"/>
    <w:rPr>
      <w:rFonts w:ascii="Tahoma" w:hAnsi="Tahoma"/>
      <w:sz w:val="16"/>
      <w:lang w:val="nl-NL" w:eastAsia="nl-NL"/>
    </w:rPr>
  </w:style>
  <w:style w:type="character" w:styleId="Hyperlink">
    <w:name w:val="Hyperlink"/>
    <w:basedOn w:val="Standaardalinea-lettertype"/>
    <w:uiPriority w:val="99"/>
    <w:rsid w:val="0006737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60173">
      <w:marLeft w:val="0"/>
      <w:marRight w:val="0"/>
      <w:marTop w:val="0"/>
      <w:marBottom w:val="0"/>
      <w:divBdr>
        <w:top w:val="none" w:sz="0" w:space="0" w:color="auto"/>
        <w:left w:val="none" w:sz="0" w:space="0" w:color="auto"/>
        <w:bottom w:val="none" w:sz="0" w:space="0" w:color="auto"/>
        <w:right w:val="none" w:sz="0" w:space="0" w:color="auto"/>
      </w:divBdr>
    </w:div>
    <w:div w:id="536160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ib.org/about/structure/shareholders/index.htm" TargetMode="External"/><Relationship Id="rId2" Type="http://schemas.openxmlformats.org/officeDocument/2006/relationships/hyperlink" Target="http://www.eif.org/who_we_are/shareholder/register.htm" TargetMode="External"/><Relationship Id="rId1" Type="http://schemas.openxmlformats.org/officeDocument/2006/relationships/hyperlink" Target="http://www.eif.org/who_we_are/shareholder/index.htm" TargetMode="External"/><Relationship Id="rId4" Type="http://schemas.openxmlformats.org/officeDocument/2006/relationships/hyperlink" Target="http://ec.europa.eu/budget/index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3305</Characters>
  <Application>Microsoft Office Word</Application>
  <DocSecurity>0</DocSecurity>
  <Lines>27</Lines>
  <Paragraphs>7</Paragraphs>
  <ScaleCrop>false</ScaleCrop>
  <Company>Vlaams Parlement</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3</cp:revision>
  <cp:lastPrinted>2012-09-17T13:00:00Z</cp:lastPrinted>
  <dcterms:created xsi:type="dcterms:W3CDTF">2012-10-17T08:29:00Z</dcterms:created>
  <dcterms:modified xsi:type="dcterms:W3CDTF">2012-10-18T12:51:00Z</dcterms:modified>
</cp:coreProperties>
</file>