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39" w:rsidRPr="00A8473D" w:rsidRDefault="00350C39" w:rsidP="009C5921">
      <w:pPr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350C39" w:rsidRDefault="00350C39" w:rsidP="009C5921">
      <w:pPr>
        <w:pStyle w:val="StandaardSV"/>
        <w:jc w:val="left"/>
        <w:rPr>
          <w:smallCaps/>
        </w:rPr>
      </w:pPr>
      <w:r w:rsidRPr="00A8473D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350C39" w:rsidRDefault="00350C39" w:rsidP="009C5921">
      <w:pPr>
        <w:pBdr>
          <w:bottom w:val="single" w:sz="4" w:space="1" w:color="auto"/>
        </w:pBdr>
        <w:rPr>
          <w:sz w:val="22"/>
        </w:rPr>
      </w:pPr>
    </w:p>
    <w:p w:rsidR="00350C39" w:rsidRDefault="00350C39" w:rsidP="009C5921">
      <w:pPr>
        <w:rPr>
          <w:sz w:val="22"/>
        </w:rPr>
      </w:pPr>
    </w:p>
    <w:p w:rsidR="00350C39" w:rsidRPr="00EB78CA" w:rsidRDefault="00350C39" w:rsidP="009C5921">
      <w:pPr>
        <w:rPr>
          <w:b/>
          <w:smallCaps/>
          <w:sz w:val="22"/>
          <w:szCs w:val="22"/>
        </w:rPr>
      </w:pPr>
      <w:r w:rsidRPr="00EB78CA">
        <w:rPr>
          <w:b/>
          <w:smallCaps/>
          <w:sz w:val="22"/>
          <w:szCs w:val="22"/>
        </w:rPr>
        <w:t>antwoord</w:t>
      </w:r>
    </w:p>
    <w:p w:rsidR="00350C39" w:rsidRPr="00EB78CA" w:rsidRDefault="00350C39" w:rsidP="009C5921">
      <w:pPr>
        <w:rPr>
          <w:sz w:val="22"/>
          <w:szCs w:val="22"/>
        </w:rPr>
      </w:pPr>
      <w:r w:rsidRPr="00EB78CA">
        <w:rPr>
          <w:sz w:val="22"/>
          <w:szCs w:val="22"/>
        </w:rPr>
        <w:t xml:space="preserve">op vraag nr. </w:t>
      </w:r>
      <w:r>
        <w:rPr>
          <w:sz w:val="22"/>
        </w:rPr>
        <w:t>451</w:t>
      </w:r>
      <w:r w:rsidRPr="00EB78CA">
        <w:rPr>
          <w:sz w:val="22"/>
          <w:szCs w:val="22"/>
        </w:rPr>
        <w:t xml:space="preserve"> van </w:t>
      </w:r>
      <w:r>
        <w:rPr>
          <w:sz w:val="22"/>
        </w:rPr>
        <w:t>4 juli 2012</w:t>
      </w:r>
    </w:p>
    <w:p w:rsidR="00350C39" w:rsidRDefault="00350C39" w:rsidP="009C5921">
      <w:pPr>
        <w:rPr>
          <w:sz w:val="22"/>
        </w:rPr>
      </w:pPr>
      <w:r w:rsidRPr="00EB78CA">
        <w:rPr>
          <w:sz w:val="22"/>
          <w:szCs w:val="22"/>
        </w:rPr>
        <w:t xml:space="preserve">van </w:t>
      </w:r>
      <w:r>
        <w:rPr>
          <w:b/>
          <w:smallCaps/>
          <w:sz w:val="22"/>
        </w:rPr>
        <w:t>marino keulen</w:t>
      </w:r>
    </w:p>
    <w:p w:rsidR="00350C39" w:rsidRDefault="00350C39" w:rsidP="009C5921">
      <w:pPr>
        <w:pBdr>
          <w:bottom w:val="single" w:sz="4" w:space="1" w:color="auto"/>
        </w:pBdr>
        <w:rPr>
          <w:sz w:val="22"/>
        </w:rPr>
      </w:pPr>
    </w:p>
    <w:p w:rsidR="00350C39" w:rsidRPr="003F450F" w:rsidRDefault="00350C39" w:rsidP="009C5921">
      <w:pPr>
        <w:rPr>
          <w:sz w:val="22"/>
          <w:szCs w:val="22"/>
        </w:rPr>
      </w:pPr>
    </w:p>
    <w:p w:rsidR="00A82219" w:rsidRDefault="00A82219" w:rsidP="009C5921">
      <w:pPr>
        <w:pStyle w:val="StandaardSV"/>
        <w:jc w:val="left"/>
        <w:rPr>
          <w:lang w:val="nl-BE" w:eastAsia="nl-BE"/>
        </w:rPr>
      </w:pPr>
    </w:p>
    <w:p w:rsidR="00AB337D" w:rsidRDefault="009C5921" w:rsidP="00FB080E">
      <w:pPr>
        <w:pStyle w:val="StandaardSV"/>
        <w:numPr>
          <w:ilvl w:val="0"/>
          <w:numId w:val="31"/>
        </w:numPr>
        <w:rPr>
          <w:lang w:val="nl-BE" w:eastAsia="nl-BE"/>
        </w:rPr>
      </w:pPr>
      <w:r>
        <w:rPr>
          <w:lang w:val="nl-BE" w:eastAsia="nl-BE"/>
        </w:rPr>
        <w:t>Binnen</w:t>
      </w:r>
      <w:r w:rsidR="00AF5347">
        <w:rPr>
          <w:lang w:val="nl-BE" w:eastAsia="nl-BE"/>
        </w:rPr>
        <w:t xml:space="preserve"> de huidige programmaperiode 2007-2013 werd tot nog toe 192 miljoen </w:t>
      </w:r>
      <w:r>
        <w:rPr>
          <w:lang w:val="nl-BE" w:eastAsia="nl-BE"/>
        </w:rPr>
        <w:t>euro aan E</w:t>
      </w:r>
      <w:r w:rsidR="00AF5347">
        <w:rPr>
          <w:lang w:val="nl-BE" w:eastAsia="nl-BE"/>
        </w:rPr>
        <w:t>FRO-steun</w:t>
      </w:r>
      <w:r>
        <w:rPr>
          <w:lang w:val="nl-BE" w:eastAsia="nl-BE"/>
        </w:rPr>
        <w:t xml:space="preserve"> (h</w:t>
      </w:r>
      <w:r w:rsidR="00FB080E">
        <w:rPr>
          <w:lang w:val="nl-BE" w:eastAsia="nl-BE"/>
        </w:rPr>
        <w:t>etzij 95,6</w:t>
      </w:r>
      <w:r w:rsidR="00AF5347">
        <w:rPr>
          <w:lang w:val="nl-BE" w:eastAsia="nl-BE"/>
        </w:rPr>
        <w:t>% van de totale beschikbare enveloppe</w:t>
      </w:r>
      <w:r>
        <w:rPr>
          <w:lang w:val="nl-BE" w:eastAsia="nl-BE"/>
        </w:rPr>
        <w:t>) t</w:t>
      </w:r>
      <w:r w:rsidR="00AF5347">
        <w:rPr>
          <w:lang w:val="nl-BE" w:eastAsia="nl-BE"/>
        </w:rPr>
        <w:t>oegekend, als volgt verdeeld per pr</w:t>
      </w:r>
      <w:r w:rsidR="00AF5347">
        <w:rPr>
          <w:lang w:val="nl-BE" w:eastAsia="nl-BE"/>
        </w:rPr>
        <w:t>o</w:t>
      </w:r>
      <w:r w:rsidR="00AF5347">
        <w:rPr>
          <w:lang w:val="nl-BE" w:eastAsia="nl-BE"/>
        </w:rPr>
        <w:t>vincie en per jaar:</w:t>
      </w:r>
    </w:p>
    <w:p w:rsidR="00EF1F30" w:rsidRDefault="00EF1F30" w:rsidP="009C5921">
      <w:pPr>
        <w:pStyle w:val="StandaardSV"/>
        <w:ind w:left="360"/>
        <w:jc w:val="left"/>
        <w:rPr>
          <w:lang w:val="nl-BE" w:eastAsia="nl-BE"/>
        </w:rPr>
      </w:pPr>
    </w:p>
    <w:tbl>
      <w:tblPr>
        <w:tblW w:w="7931" w:type="dxa"/>
        <w:tblInd w:w="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500"/>
        <w:gridCol w:w="1418"/>
        <w:gridCol w:w="1275"/>
        <w:gridCol w:w="1418"/>
      </w:tblGrid>
      <w:tr w:rsidR="00B378FD" w:rsidRPr="00EF1F30" w:rsidTr="00B378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F1F30" w:rsidRPr="00EF1F30" w:rsidRDefault="00EF1F30" w:rsidP="004070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F1F30" w:rsidRPr="00EF1F30" w:rsidRDefault="009C5921" w:rsidP="009C5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ANTW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F1F30" w:rsidRPr="00EF1F30" w:rsidRDefault="009C5921" w:rsidP="009C5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LIMB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F1F30" w:rsidRPr="00EF1F30" w:rsidRDefault="009C5921" w:rsidP="009C5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O-VL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F1F30" w:rsidRPr="00EF1F30" w:rsidRDefault="009C5921" w:rsidP="009C5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VL-BR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F1F30" w:rsidRPr="00EF1F30" w:rsidRDefault="009C5921" w:rsidP="009C5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W-VL</w:t>
            </w:r>
          </w:p>
        </w:tc>
      </w:tr>
      <w:tr w:rsidR="00EF1F30" w:rsidRPr="00EF1F30" w:rsidTr="00B378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4070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20.369.359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19.768.644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11.762.410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12.223.824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18.182.020</w:t>
            </w:r>
          </w:p>
        </w:tc>
      </w:tr>
      <w:tr w:rsidR="00EF1F30" w:rsidRPr="00EF1F30" w:rsidTr="00B378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4070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8.052.410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3.837.084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10.400.406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3.320.616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3.357.073</w:t>
            </w:r>
          </w:p>
        </w:tc>
      </w:tr>
      <w:tr w:rsidR="00EF1F30" w:rsidRPr="00EF1F30" w:rsidTr="00B378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4070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13.146.387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18.021.537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8.005.155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5.529.373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12.414.648</w:t>
            </w:r>
          </w:p>
        </w:tc>
      </w:tr>
      <w:tr w:rsidR="00EF1F30" w:rsidRPr="00EF1F30" w:rsidTr="00B378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4070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7.706.716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1.848.833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1.282.829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2.099.635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3.104.097</w:t>
            </w:r>
          </w:p>
        </w:tc>
      </w:tr>
      <w:tr w:rsidR="00EF1F30" w:rsidRPr="00EF1F30" w:rsidTr="00B378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4070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2.973.562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2.476.240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1.176.212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865.002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147.240</w:t>
            </w:r>
          </w:p>
        </w:tc>
      </w:tr>
      <w:tr w:rsidR="00EF1F30" w:rsidRPr="00EF1F30" w:rsidTr="00B378FD">
        <w:trPr>
          <w:trHeight w:val="300"/>
        </w:trPr>
        <w:tc>
          <w:tcPr>
            <w:tcW w:w="9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F1F30" w:rsidRPr="00EF1F30" w:rsidRDefault="00EF1F30" w:rsidP="004070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3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52.248.433</w:t>
            </w:r>
          </w:p>
        </w:tc>
        <w:tc>
          <w:tcPr>
            <w:tcW w:w="15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45.952.338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32.627.011</w:t>
            </w:r>
          </w:p>
        </w:tc>
        <w:tc>
          <w:tcPr>
            <w:tcW w:w="127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24.038.448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F1F30" w:rsidRPr="00EF1F30" w:rsidRDefault="00EF1F30" w:rsidP="009C5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F1F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37.205.078</w:t>
            </w:r>
          </w:p>
        </w:tc>
      </w:tr>
    </w:tbl>
    <w:p w:rsidR="00D722FC" w:rsidRDefault="00D722FC" w:rsidP="009C5921">
      <w:pPr>
        <w:pStyle w:val="StandaardSV"/>
        <w:ind w:left="360"/>
        <w:jc w:val="left"/>
        <w:rPr>
          <w:lang w:val="nl-BE" w:eastAsia="nl-BE"/>
        </w:rPr>
      </w:pPr>
    </w:p>
    <w:p w:rsidR="00AB337D" w:rsidRDefault="00350C39" w:rsidP="00FB080E">
      <w:pPr>
        <w:pStyle w:val="StandaardSV"/>
        <w:numPr>
          <w:ilvl w:val="0"/>
          <w:numId w:val="31"/>
        </w:numPr>
        <w:rPr>
          <w:lang w:val="nl-BE" w:eastAsia="nl-BE"/>
        </w:rPr>
      </w:pPr>
      <w:r w:rsidRPr="00350C39">
        <w:rPr>
          <w:lang w:val="nl-BE" w:eastAsia="nl-BE"/>
        </w:rPr>
        <w:t xml:space="preserve">Aangezien het Europees Sociaal Fonds (ESF) niet tot mijn bevoegdheden behoort en het beheer ervan ook niet werd toevertrouwd aan het Agentschap Ondernemen, </w:t>
      </w:r>
      <w:r>
        <w:rPr>
          <w:lang w:val="nl-BE" w:eastAsia="nl-BE"/>
        </w:rPr>
        <w:t>verwijs ik voor deze</w:t>
      </w:r>
      <w:r w:rsidR="004070BC">
        <w:rPr>
          <w:lang w:val="nl-BE" w:eastAsia="nl-BE"/>
        </w:rPr>
        <w:t xml:space="preserve"> dee</w:t>
      </w:r>
      <w:r w:rsidR="004070BC">
        <w:rPr>
          <w:lang w:val="nl-BE" w:eastAsia="nl-BE"/>
        </w:rPr>
        <w:t>l</w:t>
      </w:r>
      <w:r w:rsidR="004070BC">
        <w:rPr>
          <w:lang w:val="nl-BE" w:eastAsia="nl-BE"/>
        </w:rPr>
        <w:t>v</w:t>
      </w:r>
      <w:r>
        <w:rPr>
          <w:lang w:val="nl-BE" w:eastAsia="nl-BE"/>
        </w:rPr>
        <w:t>raag</w:t>
      </w:r>
      <w:r w:rsidR="004070BC">
        <w:rPr>
          <w:lang w:val="nl-BE" w:eastAsia="nl-BE"/>
        </w:rPr>
        <w:t xml:space="preserve"> (en voor verdere deelvragen m.b.t. het ESF) n</w:t>
      </w:r>
      <w:r>
        <w:rPr>
          <w:lang w:val="nl-BE" w:eastAsia="nl-BE"/>
        </w:rPr>
        <w:t>aar m</w:t>
      </w:r>
      <w:r w:rsidRPr="00350C39">
        <w:rPr>
          <w:lang w:val="nl-BE" w:eastAsia="nl-BE"/>
        </w:rPr>
        <w:t>ijn collegaministers Muyters en Van den Bossche</w:t>
      </w:r>
      <w:r>
        <w:rPr>
          <w:lang w:val="nl-BE" w:eastAsia="nl-BE"/>
        </w:rPr>
        <w:t xml:space="preserve"> die gedeeld bevoegd zijn voor het ESF.</w:t>
      </w:r>
    </w:p>
    <w:p w:rsidR="00D722FC" w:rsidRDefault="00D722FC" w:rsidP="009C5921">
      <w:pPr>
        <w:pStyle w:val="StandaardSV"/>
        <w:ind w:left="360"/>
        <w:jc w:val="left"/>
        <w:rPr>
          <w:lang w:val="nl-BE" w:eastAsia="nl-BE"/>
        </w:rPr>
      </w:pPr>
    </w:p>
    <w:p w:rsidR="004C0A84" w:rsidRDefault="00F40742" w:rsidP="00FB080E">
      <w:pPr>
        <w:pStyle w:val="StandaardSV"/>
        <w:numPr>
          <w:ilvl w:val="0"/>
          <w:numId w:val="31"/>
        </w:numPr>
        <w:rPr>
          <w:lang w:val="nl-BE" w:eastAsia="nl-BE"/>
        </w:rPr>
      </w:pPr>
      <w:r>
        <w:rPr>
          <w:lang w:val="nl-BE" w:eastAsia="nl-BE"/>
        </w:rPr>
        <w:t xml:space="preserve">Zoals blijkt uit </w:t>
      </w:r>
      <w:r w:rsidR="00350C39">
        <w:rPr>
          <w:lang w:val="nl-BE" w:eastAsia="nl-BE"/>
        </w:rPr>
        <w:t xml:space="preserve">de </w:t>
      </w:r>
      <w:r>
        <w:rPr>
          <w:lang w:val="nl-BE" w:eastAsia="nl-BE"/>
        </w:rPr>
        <w:t>bovenstaande ge</w:t>
      </w:r>
      <w:r w:rsidR="005B4D21">
        <w:rPr>
          <w:lang w:val="nl-BE" w:eastAsia="nl-BE"/>
        </w:rPr>
        <w:t>gevens</w:t>
      </w:r>
      <w:r w:rsidR="00350C39">
        <w:rPr>
          <w:lang w:val="nl-BE" w:eastAsia="nl-BE"/>
        </w:rPr>
        <w:t xml:space="preserve"> (zie het antwoord op deelvraag 1) w</w:t>
      </w:r>
      <w:r w:rsidR="005B4D21">
        <w:rPr>
          <w:lang w:val="nl-BE" w:eastAsia="nl-BE"/>
        </w:rPr>
        <w:t xml:space="preserve">erd momenteel </w:t>
      </w:r>
      <w:r w:rsidR="00350C39">
        <w:rPr>
          <w:lang w:val="nl-BE" w:eastAsia="nl-BE"/>
        </w:rPr>
        <w:t>al 1</w:t>
      </w:r>
      <w:r w:rsidR="005B4D21">
        <w:rPr>
          <w:lang w:val="nl-BE" w:eastAsia="nl-BE"/>
        </w:rPr>
        <w:t xml:space="preserve">92 miljoen </w:t>
      </w:r>
      <w:r w:rsidR="00350C39">
        <w:rPr>
          <w:lang w:val="nl-BE" w:eastAsia="nl-BE"/>
        </w:rPr>
        <w:t>euro</w:t>
      </w:r>
      <w:r w:rsidR="005B4D21">
        <w:rPr>
          <w:lang w:val="nl-BE" w:eastAsia="nl-BE"/>
        </w:rPr>
        <w:t xml:space="preserve"> (95,6</w:t>
      </w:r>
      <w:r>
        <w:rPr>
          <w:lang w:val="nl-BE" w:eastAsia="nl-BE"/>
        </w:rPr>
        <w:t>% van de totale beschikbare EFRO-middelen</w:t>
      </w:r>
      <w:r w:rsidR="005B4D21">
        <w:rPr>
          <w:lang w:val="nl-BE" w:eastAsia="nl-BE"/>
        </w:rPr>
        <w:t>)</w:t>
      </w:r>
      <w:r>
        <w:rPr>
          <w:lang w:val="nl-BE" w:eastAsia="nl-BE"/>
        </w:rPr>
        <w:t xml:space="preserve"> in de huidige programmap</w:t>
      </w:r>
      <w:r>
        <w:rPr>
          <w:lang w:val="nl-BE" w:eastAsia="nl-BE"/>
        </w:rPr>
        <w:t>e</w:t>
      </w:r>
      <w:r>
        <w:rPr>
          <w:lang w:val="nl-BE" w:eastAsia="nl-BE"/>
        </w:rPr>
        <w:t>r</w:t>
      </w:r>
      <w:r w:rsidR="005B4D21">
        <w:rPr>
          <w:lang w:val="nl-BE" w:eastAsia="nl-BE"/>
        </w:rPr>
        <w:t>iode 2007</w:t>
      </w:r>
      <w:r w:rsidR="00350C39">
        <w:rPr>
          <w:lang w:val="nl-BE" w:eastAsia="nl-BE"/>
        </w:rPr>
        <w:t>-</w:t>
      </w:r>
      <w:r w:rsidR="005B4D21">
        <w:rPr>
          <w:lang w:val="nl-BE" w:eastAsia="nl-BE"/>
        </w:rPr>
        <w:t xml:space="preserve">2013 aan </w:t>
      </w:r>
      <w:r>
        <w:rPr>
          <w:lang w:val="nl-BE" w:eastAsia="nl-BE"/>
        </w:rPr>
        <w:t>projecten toegekend. Het beschikbare budget zal dan ook zonder twi</w:t>
      </w:r>
      <w:r w:rsidR="005B4D21">
        <w:rPr>
          <w:lang w:val="nl-BE" w:eastAsia="nl-BE"/>
        </w:rPr>
        <w:t>jfel vo</w:t>
      </w:r>
      <w:r w:rsidR="005B4D21">
        <w:rPr>
          <w:lang w:val="nl-BE" w:eastAsia="nl-BE"/>
        </w:rPr>
        <w:t>l</w:t>
      </w:r>
      <w:r w:rsidR="005B4D21">
        <w:rPr>
          <w:lang w:val="nl-BE" w:eastAsia="nl-BE"/>
        </w:rPr>
        <w:t xml:space="preserve">ledig kunnen worden </w:t>
      </w:r>
      <w:r w:rsidR="00AB2E77">
        <w:rPr>
          <w:lang w:val="nl-BE" w:eastAsia="nl-BE"/>
        </w:rPr>
        <w:t>b</w:t>
      </w:r>
      <w:r>
        <w:rPr>
          <w:lang w:val="nl-BE" w:eastAsia="nl-BE"/>
        </w:rPr>
        <w:t>enut</w:t>
      </w:r>
      <w:r w:rsidR="00350C39">
        <w:rPr>
          <w:lang w:val="nl-BE" w:eastAsia="nl-BE"/>
        </w:rPr>
        <w:t>. B</w:t>
      </w:r>
      <w:r w:rsidR="004C0A84">
        <w:rPr>
          <w:lang w:val="nl-BE" w:eastAsia="nl-BE"/>
        </w:rPr>
        <w:t>ij het lanceren van projectoproepen wordt steeds rekening gehouden met het nog beschikbare budget zodat geen tekorten optreden.</w:t>
      </w:r>
    </w:p>
    <w:p w:rsidR="00350C39" w:rsidRDefault="00350C39" w:rsidP="009C5921">
      <w:pPr>
        <w:pStyle w:val="Lijstalinea"/>
        <w:ind w:left="360"/>
        <w:rPr>
          <w:lang w:val="nl-BE" w:eastAsia="nl-BE"/>
        </w:rPr>
      </w:pPr>
    </w:p>
    <w:p w:rsidR="00350C39" w:rsidRDefault="00350C39" w:rsidP="009C5921">
      <w:pPr>
        <w:pStyle w:val="StandaardSV"/>
        <w:ind w:left="360"/>
        <w:jc w:val="left"/>
        <w:rPr>
          <w:lang w:val="nl-BE" w:eastAsia="nl-BE"/>
        </w:rPr>
      </w:pPr>
      <w:r>
        <w:rPr>
          <w:lang w:val="nl-BE" w:eastAsia="nl-BE"/>
        </w:rPr>
        <w:t>Wat het ESF betreft: zie het antwoord op deelvraag 2.</w:t>
      </w:r>
    </w:p>
    <w:p w:rsidR="00D722FC" w:rsidRDefault="00D722FC" w:rsidP="009C5921">
      <w:pPr>
        <w:pStyle w:val="StandaardSV"/>
        <w:ind w:left="360"/>
        <w:jc w:val="left"/>
        <w:rPr>
          <w:lang w:val="nl-BE" w:eastAsia="nl-BE"/>
        </w:rPr>
      </w:pPr>
    </w:p>
    <w:p w:rsidR="004C0A84" w:rsidRDefault="009C5921" w:rsidP="00FB080E">
      <w:pPr>
        <w:pStyle w:val="StandaardSV"/>
        <w:numPr>
          <w:ilvl w:val="0"/>
          <w:numId w:val="31"/>
        </w:numPr>
        <w:rPr>
          <w:lang w:val="nl-BE" w:eastAsia="nl-BE"/>
        </w:rPr>
      </w:pPr>
      <w:r>
        <w:rPr>
          <w:lang w:val="nl-BE" w:eastAsia="nl-BE"/>
        </w:rPr>
        <w:t xml:space="preserve">Nogmaals spreek ik me hier enkel uit over </w:t>
      </w:r>
      <w:r w:rsidR="00925EE4">
        <w:rPr>
          <w:lang w:val="nl-BE" w:eastAsia="nl-BE"/>
        </w:rPr>
        <w:t xml:space="preserve">het </w:t>
      </w:r>
      <w:r>
        <w:rPr>
          <w:lang w:val="nl-BE" w:eastAsia="nl-BE"/>
        </w:rPr>
        <w:t xml:space="preserve">EFRO. </w:t>
      </w:r>
      <w:r w:rsidR="00185202">
        <w:rPr>
          <w:lang w:val="nl-BE" w:eastAsia="nl-BE"/>
        </w:rPr>
        <w:t>Voor de volgende programmaperiode wo</w:t>
      </w:r>
      <w:r w:rsidR="00185202">
        <w:rPr>
          <w:lang w:val="nl-BE" w:eastAsia="nl-BE"/>
        </w:rPr>
        <w:t>r</w:t>
      </w:r>
      <w:r w:rsidR="00185202">
        <w:rPr>
          <w:lang w:val="nl-BE" w:eastAsia="nl-BE"/>
        </w:rPr>
        <w:t xml:space="preserve">den </w:t>
      </w:r>
      <w:r w:rsidR="005B696A">
        <w:rPr>
          <w:lang w:val="nl-BE" w:eastAsia="nl-BE"/>
        </w:rPr>
        <w:t xml:space="preserve">de volgende criteria </w:t>
      </w:r>
      <w:r w:rsidR="00185202">
        <w:rPr>
          <w:lang w:val="nl-BE" w:eastAsia="nl-BE"/>
        </w:rPr>
        <w:t xml:space="preserve">voorzien </w:t>
      </w:r>
      <w:r w:rsidR="005B696A">
        <w:rPr>
          <w:lang w:val="nl-BE" w:eastAsia="nl-BE"/>
        </w:rPr>
        <w:t>voor de verdeling van de middelen over de lidstaten wat betreft de meer ontwikkelde regio’s: de in aa</w:t>
      </w:r>
      <w:r w:rsidR="00185202">
        <w:rPr>
          <w:lang w:val="nl-BE" w:eastAsia="nl-BE"/>
        </w:rPr>
        <w:t xml:space="preserve">nmerking komende bevolking, de </w:t>
      </w:r>
      <w:r w:rsidR="005B696A">
        <w:rPr>
          <w:lang w:val="nl-BE" w:eastAsia="nl-BE"/>
        </w:rPr>
        <w:t>regionale welvaa</w:t>
      </w:r>
      <w:r w:rsidR="0032587E">
        <w:rPr>
          <w:lang w:val="nl-BE" w:eastAsia="nl-BE"/>
        </w:rPr>
        <w:t>rt, de</w:t>
      </w:r>
      <w:r w:rsidR="005B696A">
        <w:rPr>
          <w:lang w:val="nl-BE" w:eastAsia="nl-BE"/>
        </w:rPr>
        <w:t xml:space="preserve"> werk</w:t>
      </w:r>
      <w:r w:rsidR="0032587E">
        <w:rPr>
          <w:lang w:val="nl-BE" w:eastAsia="nl-BE"/>
        </w:rPr>
        <w:t>loosheidsgraad</w:t>
      </w:r>
      <w:r w:rsidR="005B696A">
        <w:rPr>
          <w:lang w:val="nl-BE" w:eastAsia="nl-BE"/>
        </w:rPr>
        <w:t xml:space="preserve">, de </w:t>
      </w:r>
      <w:r w:rsidR="0032587E">
        <w:rPr>
          <w:lang w:val="nl-BE" w:eastAsia="nl-BE"/>
        </w:rPr>
        <w:t>werkzaamheidsgraad, de scholingsgraad</w:t>
      </w:r>
      <w:r w:rsidR="005B696A">
        <w:rPr>
          <w:lang w:val="nl-BE" w:eastAsia="nl-BE"/>
        </w:rPr>
        <w:t xml:space="preserve">, het </w:t>
      </w:r>
      <w:r w:rsidR="0032587E">
        <w:rPr>
          <w:lang w:val="nl-BE" w:eastAsia="nl-BE"/>
        </w:rPr>
        <w:t xml:space="preserve">aantal vroege schoolverlaters </w:t>
      </w:r>
      <w:r w:rsidR="005B696A">
        <w:rPr>
          <w:lang w:val="nl-BE" w:eastAsia="nl-BE"/>
        </w:rPr>
        <w:t>en de bevolkingsdichtheid.</w:t>
      </w:r>
    </w:p>
    <w:p w:rsidR="000D614C" w:rsidRDefault="000D614C" w:rsidP="009C5921">
      <w:pPr>
        <w:pStyle w:val="StandaardSV"/>
        <w:ind w:left="360"/>
        <w:jc w:val="left"/>
        <w:rPr>
          <w:lang w:val="nl-BE" w:eastAsia="nl-BE"/>
        </w:rPr>
      </w:pPr>
    </w:p>
    <w:p w:rsidR="00483A7B" w:rsidRPr="00D722FC" w:rsidRDefault="000D614C" w:rsidP="00FB080E">
      <w:pPr>
        <w:pStyle w:val="StandaardSV"/>
        <w:ind w:left="360"/>
        <w:rPr>
          <w:lang w:val="nl-BE" w:eastAsia="nl-BE"/>
        </w:rPr>
      </w:pPr>
      <w:r w:rsidRPr="009C5921">
        <w:rPr>
          <w:lang w:val="nl-BE" w:eastAsia="nl-BE"/>
        </w:rPr>
        <w:t xml:space="preserve">Tijdens de besprekingen op Europees niveau werd vanuit Vlaanderen een groter </w:t>
      </w:r>
      <w:r w:rsidR="004070BC" w:rsidRPr="009C5921">
        <w:rPr>
          <w:lang w:val="nl-BE" w:eastAsia="nl-BE"/>
        </w:rPr>
        <w:t xml:space="preserve">gewicht </w:t>
      </w:r>
      <w:r w:rsidRPr="009C5921">
        <w:rPr>
          <w:lang w:val="nl-BE" w:eastAsia="nl-BE"/>
        </w:rPr>
        <w:t>verd</w:t>
      </w:r>
      <w:r w:rsidRPr="009C5921">
        <w:rPr>
          <w:lang w:val="nl-BE" w:eastAsia="nl-BE"/>
        </w:rPr>
        <w:t>e</w:t>
      </w:r>
      <w:r w:rsidRPr="009C5921">
        <w:rPr>
          <w:lang w:val="nl-BE" w:eastAsia="nl-BE"/>
        </w:rPr>
        <w:t xml:space="preserve">digd </w:t>
      </w:r>
      <w:r w:rsidR="004070BC" w:rsidRPr="009C5921">
        <w:rPr>
          <w:lang w:val="nl-BE" w:eastAsia="nl-BE"/>
        </w:rPr>
        <w:t xml:space="preserve">voor </w:t>
      </w:r>
      <w:r w:rsidR="00483A7B" w:rsidRPr="009C5921">
        <w:rPr>
          <w:iCs/>
        </w:rPr>
        <w:t>het criteri</w:t>
      </w:r>
      <w:r w:rsidR="00AB2E77" w:rsidRPr="009C5921">
        <w:rPr>
          <w:iCs/>
        </w:rPr>
        <w:t xml:space="preserve">um van de </w:t>
      </w:r>
      <w:r w:rsidR="00AB2E77" w:rsidRPr="00D722FC">
        <w:rPr>
          <w:iCs/>
        </w:rPr>
        <w:t>werkzaamheidsgraad</w:t>
      </w:r>
      <w:r w:rsidR="00483A7B" w:rsidRPr="00D722FC">
        <w:rPr>
          <w:iCs/>
        </w:rPr>
        <w:t xml:space="preserve">. Tevens </w:t>
      </w:r>
      <w:r w:rsidR="00F0606A" w:rsidRPr="00D722FC">
        <w:rPr>
          <w:iCs/>
        </w:rPr>
        <w:t xml:space="preserve">is </w:t>
      </w:r>
      <w:r w:rsidR="00483A7B" w:rsidRPr="00D722FC">
        <w:rPr>
          <w:iCs/>
        </w:rPr>
        <w:t xml:space="preserve">de Vlaamse Regering </w:t>
      </w:r>
      <w:r w:rsidR="00F0606A" w:rsidRPr="00D722FC">
        <w:rPr>
          <w:iCs/>
        </w:rPr>
        <w:t xml:space="preserve">vragende partij </w:t>
      </w:r>
      <w:r w:rsidR="00483A7B" w:rsidRPr="00D722FC">
        <w:rPr>
          <w:iCs/>
        </w:rPr>
        <w:t>dat de verdeelsleutel van de meer ontwikkelde regio’s</w:t>
      </w:r>
      <w:r w:rsidR="00AB2E77" w:rsidRPr="00D722FC">
        <w:rPr>
          <w:iCs/>
        </w:rPr>
        <w:t>,</w:t>
      </w:r>
      <w:r w:rsidR="00483A7B" w:rsidRPr="00D722FC">
        <w:rPr>
          <w:iCs/>
        </w:rPr>
        <w:t xml:space="preserve"> meer dan nu het geval is</w:t>
      </w:r>
      <w:r w:rsidR="00AB2E77" w:rsidRPr="00D722FC">
        <w:rPr>
          <w:iCs/>
        </w:rPr>
        <w:t>,</w:t>
      </w:r>
      <w:r w:rsidR="00483A7B" w:rsidRPr="00D722FC">
        <w:rPr>
          <w:iCs/>
        </w:rPr>
        <w:t xml:space="preserve"> rekening houdt met </w:t>
      </w:r>
      <w:r w:rsidR="005B4D21" w:rsidRPr="00D722FC">
        <w:rPr>
          <w:iCs/>
        </w:rPr>
        <w:t>de hoge bevolkingsdichtheid.</w:t>
      </w:r>
    </w:p>
    <w:p w:rsidR="00D722FC" w:rsidRPr="00D722FC" w:rsidRDefault="00D722FC" w:rsidP="009C5921">
      <w:pPr>
        <w:pStyle w:val="StandaardSV"/>
        <w:ind w:left="360"/>
        <w:jc w:val="left"/>
        <w:rPr>
          <w:lang w:eastAsia="nl-BE"/>
        </w:rPr>
      </w:pPr>
    </w:p>
    <w:p w:rsidR="004C0A84" w:rsidRPr="009C5921" w:rsidRDefault="00FD29E4" w:rsidP="00FB080E">
      <w:pPr>
        <w:pStyle w:val="StandaardSV"/>
        <w:numPr>
          <w:ilvl w:val="0"/>
          <w:numId w:val="31"/>
        </w:numPr>
        <w:rPr>
          <w:lang w:val="nl-BE" w:eastAsia="nl-BE"/>
        </w:rPr>
      </w:pPr>
      <w:r w:rsidRPr="00D722FC">
        <w:rPr>
          <w:lang w:val="nl-BE" w:eastAsia="nl-BE"/>
        </w:rPr>
        <w:t>Zoals in de huidige programmaperiode zal</w:t>
      </w:r>
      <w:r w:rsidR="009C5921" w:rsidRPr="00D722FC">
        <w:rPr>
          <w:lang w:val="nl-BE" w:eastAsia="nl-BE"/>
        </w:rPr>
        <w:t xml:space="preserve"> ook voor de volgende</w:t>
      </w:r>
      <w:r w:rsidR="009C5921" w:rsidRPr="009C5921">
        <w:rPr>
          <w:lang w:val="nl-BE" w:eastAsia="nl-BE"/>
        </w:rPr>
        <w:t xml:space="preserve"> programmaperiode é</w:t>
      </w:r>
      <w:r w:rsidRPr="009C5921">
        <w:rPr>
          <w:lang w:val="nl-BE" w:eastAsia="nl-BE"/>
        </w:rPr>
        <w:t xml:space="preserve">én </w:t>
      </w:r>
      <w:r w:rsidR="00FC2081" w:rsidRPr="009C5921">
        <w:rPr>
          <w:lang w:val="nl-BE" w:eastAsia="nl-BE"/>
        </w:rPr>
        <w:t xml:space="preserve">Vlaams </w:t>
      </w:r>
      <w:r w:rsidRPr="009C5921">
        <w:rPr>
          <w:lang w:val="nl-BE" w:eastAsia="nl-BE"/>
        </w:rPr>
        <w:t xml:space="preserve">EFRO-programma </w:t>
      </w:r>
      <w:r w:rsidR="00FC2081" w:rsidRPr="009C5921">
        <w:rPr>
          <w:lang w:val="nl-BE" w:eastAsia="nl-BE"/>
        </w:rPr>
        <w:t>worden opgesteld zodat projecten in geheel Vlaanderen voor steunverlening in aanmerking kunnen komen en flexibeler kan worden ingespeeld op veranderde prioriteiten</w:t>
      </w:r>
      <w:r w:rsidR="009C5921" w:rsidRPr="009C5921">
        <w:rPr>
          <w:lang w:val="nl-BE" w:eastAsia="nl-BE"/>
        </w:rPr>
        <w:t>.</w:t>
      </w:r>
    </w:p>
    <w:p w:rsidR="00D722FC" w:rsidRPr="009C5921" w:rsidRDefault="00D722FC" w:rsidP="009C5921">
      <w:pPr>
        <w:pStyle w:val="StandaardSV"/>
        <w:ind w:left="360"/>
        <w:jc w:val="left"/>
        <w:rPr>
          <w:lang w:val="nl-BE" w:eastAsia="nl-BE"/>
        </w:rPr>
      </w:pPr>
    </w:p>
    <w:p w:rsidR="004C0A84" w:rsidRDefault="00FC2081" w:rsidP="009C5921">
      <w:pPr>
        <w:pStyle w:val="StandaardSV"/>
        <w:numPr>
          <w:ilvl w:val="0"/>
          <w:numId w:val="31"/>
        </w:numPr>
        <w:jc w:val="left"/>
        <w:rPr>
          <w:lang w:val="nl-BE" w:eastAsia="nl-BE"/>
        </w:rPr>
      </w:pPr>
      <w:r w:rsidRPr="009C5921">
        <w:rPr>
          <w:lang w:val="nl-BE" w:eastAsia="nl-BE"/>
        </w:rPr>
        <w:t>Niet van toepassing</w:t>
      </w:r>
      <w:r w:rsidR="009C5921" w:rsidRPr="009C5921">
        <w:rPr>
          <w:lang w:val="nl-BE" w:eastAsia="nl-BE"/>
        </w:rPr>
        <w:t xml:space="preserve"> (zie antwoord op deelvraag 5).</w:t>
      </w:r>
    </w:p>
    <w:p w:rsidR="00D722FC" w:rsidRPr="009C5921" w:rsidRDefault="00D722FC" w:rsidP="00D722FC">
      <w:pPr>
        <w:pStyle w:val="StandaardSV"/>
        <w:jc w:val="left"/>
        <w:rPr>
          <w:lang w:val="nl-BE" w:eastAsia="nl-BE"/>
        </w:rPr>
      </w:pPr>
    </w:p>
    <w:p w:rsidR="00FC2081" w:rsidRPr="009C5921" w:rsidRDefault="00AB2E77" w:rsidP="00FB080E">
      <w:pPr>
        <w:pStyle w:val="StandaardSV"/>
        <w:numPr>
          <w:ilvl w:val="0"/>
          <w:numId w:val="31"/>
        </w:numPr>
        <w:rPr>
          <w:lang w:val="nl-BE" w:eastAsia="nl-BE"/>
        </w:rPr>
      </w:pPr>
      <w:r w:rsidRPr="009C5921">
        <w:rPr>
          <w:lang w:val="nl-BE" w:eastAsia="nl-BE"/>
        </w:rPr>
        <w:lastRenderedPageBreak/>
        <w:t>Zoals in het huidige programma</w:t>
      </w:r>
      <w:r w:rsidR="00FC2081" w:rsidRPr="009C5921">
        <w:rPr>
          <w:lang w:val="nl-BE" w:eastAsia="nl-BE"/>
        </w:rPr>
        <w:t xml:space="preserve"> zal worden gestreefd</w:t>
      </w:r>
      <w:r w:rsidRPr="009C5921">
        <w:rPr>
          <w:lang w:val="nl-BE" w:eastAsia="nl-BE"/>
        </w:rPr>
        <w:t xml:space="preserve"> naar een evenwichtige spreiding</w:t>
      </w:r>
      <w:r w:rsidR="00FC2081" w:rsidRPr="009C5921">
        <w:rPr>
          <w:lang w:val="nl-BE" w:eastAsia="nl-BE"/>
        </w:rPr>
        <w:t xml:space="preserve"> van de middelen o</w:t>
      </w:r>
      <w:bookmarkStart w:id="0" w:name="_GoBack"/>
      <w:bookmarkEnd w:id="0"/>
      <w:r w:rsidR="00FC2081" w:rsidRPr="009C5921">
        <w:rPr>
          <w:lang w:val="nl-BE" w:eastAsia="nl-BE"/>
        </w:rPr>
        <w:t xml:space="preserve">ver de verschillende regio’s. </w:t>
      </w:r>
      <w:r w:rsidRPr="009C5921">
        <w:rPr>
          <w:lang w:val="nl-BE" w:eastAsia="nl-BE"/>
        </w:rPr>
        <w:t>Dit komt evenwel slechts aan bod in een latere fase van het voorbereidingsproces van de volgende programmaperiode.</w:t>
      </w:r>
    </w:p>
    <w:sectPr w:rsidR="00FC2081" w:rsidRPr="009C5921" w:rsidSect="001059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02" w:rsidRDefault="001F6102">
      <w:r>
        <w:separator/>
      </w:r>
    </w:p>
  </w:endnote>
  <w:endnote w:type="continuationSeparator" w:id="0">
    <w:p w:rsidR="001F6102" w:rsidRDefault="001F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02" w:rsidRDefault="001F6102">
      <w:r>
        <w:separator/>
      </w:r>
    </w:p>
  </w:footnote>
  <w:footnote w:type="continuationSeparator" w:id="0">
    <w:p w:rsidR="001F6102" w:rsidRDefault="001F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01565"/>
    <w:multiLevelType w:val="hybridMultilevel"/>
    <w:tmpl w:val="B6BE239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B9C11B3"/>
    <w:multiLevelType w:val="hybridMultilevel"/>
    <w:tmpl w:val="48929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D2A26"/>
    <w:multiLevelType w:val="hybridMultilevel"/>
    <w:tmpl w:val="6484A5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70CC1"/>
    <w:multiLevelType w:val="hybridMultilevel"/>
    <w:tmpl w:val="96F605C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0"/>
  </w:num>
  <w:num w:numId="5">
    <w:abstractNumId w:val="14"/>
  </w:num>
  <w:num w:numId="6">
    <w:abstractNumId w:val="3"/>
  </w:num>
  <w:num w:numId="7">
    <w:abstractNumId w:val="25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  <w:num w:numId="14">
    <w:abstractNumId w:val="17"/>
  </w:num>
  <w:num w:numId="15">
    <w:abstractNumId w:val="8"/>
  </w:num>
  <w:num w:numId="16">
    <w:abstractNumId w:val="29"/>
  </w:num>
  <w:num w:numId="17">
    <w:abstractNumId w:val="12"/>
  </w:num>
  <w:num w:numId="18">
    <w:abstractNumId w:val="6"/>
  </w:num>
  <w:num w:numId="19">
    <w:abstractNumId w:val="18"/>
  </w:num>
  <w:num w:numId="20">
    <w:abstractNumId w:val="11"/>
  </w:num>
  <w:num w:numId="21">
    <w:abstractNumId w:val="22"/>
  </w:num>
  <w:num w:numId="22">
    <w:abstractNumId w:val="26"/>
  </w:num>
  <w:num w:numId="23">
    <w:abstractNumId w:val="1"/>
  </w:num>
  <w:num w:numId="24">
    <w:abstractNumId w:val="24"/>
  </w:num>
  <w:num w:numId="25">
    <w:abstractNumId w:val="19"/>
  </w:num>
  <w:num w:numId="26">
    <w:abstractNumId w:val="16"/>
  </w:num>
  <w:num w:numId="27">
    <w:abstractNumId w:val="15"/>
  </w:num>
  <w:num w:numId="28">
    <w:abstractNumId w:val="23"/>
  </w:num>
  <w:num w:numId="29">
    <w:abstractNumId w:val="28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10B84"/>
    <w:rsid w:val="00096AF0"/>
    <w:rsid w:val="000D614C"/>
    <w:rsid w:val="00102476"/>
    <w:rsid w:val="001058E4"/>
    <w:rsid w:val="001059DB"/>
    <w:rsid w:val="001561C9"/>
    <w:rsid w:val="0016148B"/>
    <w:rsid w:val="00173EFE"/>
    <w:rsid w:val="001755B2"/>
    <w:rsid w:val="00185202"/>
    <w:rsid w:val="001C0B52"/>
    <w:rsid w:val="001D50C6"/>
    <w:rsid w:val="001F6102"/>
    <w:rsid w:val="001F713E"/>
    <w:rsid w:val="00202FA9"/>
    <w:rsid w:val="002536A1"/>
    <w:rsid w:val="002B65A3"/>
    <w:rsid w:val="002F1544"/>
    <w:rsid w:val="00303B84"/>
    <w:rsid w:val="00321F10"/>
    <w:rsid w:val="0032261D"/>
    <w:rsid w:val="00323AF3"/>
    <w:rsid w:val="0032587E"/>
    <w:rsid w:val="0034616F"/>
    <w:rsid w:val="00350C39"/>
    <w:rsid w:val="003750D5"/>
    <w:rsid w:val="003B6A5C"/>
    <w:rsid w:val="004070BC"/>
    <w:rsid w:val="00423F29"/>
    <w:rsid w:val="0046761C"/>
    <w:rsid w:val="0047032B"/>
    <w:rsid w:val="00472C97"/>
    <w:rsid w:val="00477EB3"/>
    <w:rsid w:val="00483A7B"/>
    <w:rsid w:val="004A56C3"/>
    <w:rsid w:val="004B5509"/>
    <w:rsid w:val="004C0A84"/>
    <w:rsid w:val="004D21E2"/>
    <w:rsid w:val="004D41F6"/>
    <w:rsid w:val="004F3708"/>
    <w:rsid w:val="00512E83"/>
    <w:rsid w:val="00540203"/>
    <w:rsid w:val="00540740"/>
    <w:rsid w:val="00551500"/>
    <w:rsid w:val="00560124"/>
    <w:rsid w:val="0059338B"/>
    <w:rsid w:val="005B3194"/>
    <w:rsid w:val="005B4D21"/>
    <w:rsid w:val="005B696A"/>
    <w:rsid w:val="005F1F6B"/>
    <w:rsid w:val="0060676D"/>
    <w:rsid w:val="006914F9"/>
    <w:rsid w:val="006A5A3E"/>
    <w:rsid w:val="006F445E"/>
    <w:rsid w:val="00723B3F"/>
    <w:rsid w:val="007408E7"/>
    <w:rsid w:val="00766C70"/>
    <w:rsid w:val="007E33DE"/>
    <w:rsid w:val="00822671"/>
    <w:rsid w:val="00842183"/>
    <w:rsid w:val="00844064"/>
    <w:rsid w:val="008A6DA3"/>
    <w:rsid w:val="008E3430"/>
    <w:rsid w:val="00925EE4"/>
    <w:rsid w:val="009511C4"/>
    <w:rsid w:val="00995A04"/>
    <w:rsid w:val="00995F79"/>
    <w:rsid w:val="009A6335"/>
    <w:rsid w:val="009C5921"/>
    <w:rsid w:val="009E0566"/>
    <w:rsid w:val="009E12CD"/>
    <w:rsid w:val="00A10363"/>
    <w:rsid w:val="00A4755B"/>
    <w:rsid w:val="00A82219"/>
    <w:rsid w:val="00A8473D"/>
    <w:rsid w:val="00AB2E77"/>
    <w:rsid w:val="00AB337D"/>
    <w:rsid w:val="00AD549A"/>
    <w:rsid w:val="00AF5347"/>
    <w:rsid w:val="00B16D19"/>
    <w:rsid w:val="00B378FD"/>
    <w:rsid w:val="00BB2A82"/>
    <w:rsid w:val="00BB38B7"/>
    <w:rsid w:val="00BB6E27"/>
    <w:rsid w:val="00BE315B"/>
    <w:rsid w:val="00C47B85"/>
    <w:rsid w:val="00C625C9"/>
    <w:rsid w:val="00CE2DB2"/>
    <w:rsid w:val="00CE5C0A"/>
    <w:rsid w:val="00D10A53"/>
    <w:rsid w:val="00D44CA5"/>
    <w:rsid w:val="00D5568D"/>
    <w:rsid w:val="00D61A12"/>
    <w:rsid w:val="00D67BAF"/>
    <w:rsid w:val="00D71C78"/>
    <w:rsid w:val="00D722FC"/>
    <w:rsid w:val="00DA118B"/>
    <w:rsid w:val="00DA3A9B"/>
    <w:rsid w:val="00DE09F2"/>
    <w:rsid w:val="00DE405B"/>
    <w:rsid w:val="00E839E8"/>
    <w:rsid w:val="00EB0A62"/>
    <w:rsid w:val="00ED043D"/>
    <w:rsid w:val="00EF1F30"/>
    <w:rsid w:val="00F0606A"/>
    <w:rsid w:val="00F23620"/>
    <w:rsid w:val="00F40742"/>
    <w:rsid w:val="00FB080E"/>
    <w:rsid w:val="00FC2081"/>
    <w:rsid w:val="00FD176E"/>
    <w:rsid w:val="00FD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4B55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B5509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4B55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B550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4</cp:revision>
  <cp:lastPrinted>2012-07-05T07:17:00Z</cp:lastPrinted>
  <dcterms:created xsi:type="dcterms:W3CDTF">2012-09-10T12:24:00Z</dcterms:created>
  <dcterms:modified xsi:type="dcterms:W3CDTF">2012-09-25T09:42:00Z</dcterms:modified>
</cp:coreProperties>
</file>