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23" w:rsidRPr="0080572E" w:rsidRDefault="007B1A23" w:rsidP="007B1A23">
      <w:pPr>
        <w:rPr>
          <w:b/>
          <w:smallCaps/>
          <w:sz w:val="22"/>
        </w:rPr>
      </w:pPr>
      <w:r w:rsidRPr="0080572E">
        <w:rPr>
          <w:b/>
          <w:smallCaps/>
          <w:sz w:val="22"/>
        </w:rPr>
        <w:t>ingrid lieten</w:t>
      </w:r>
    </w:p>
    <w:p w:rsidR="007B1A23" w:rsidRPr="0080572E" w:rsidRDefault="007B1A23" w:rsidP="007B1A23">
      <w:pPr>
        <w:pStyle w:val="StandaardSV"/>
        <w:rPr>
          <w:smallCaps/>
        </w:rPr>
      </w:pPr>
      <w:r w:rsidRPr="0080572E">
        <w:rPr>
          <w:smallCaps/>
        </w:rPr>
        <w:t>viceminister-president van de vlaamse regering, vlaams minister van innovatie, overheidsinvesteringen, media en armoedebestrijding</w:t>
      </w:r>
    </w:p>
    <w:p w:rsidR="007B1A23" w:rsidRPr="0080572E" w:rsidRDefault="007B1A23" w:rsidP="007B1A23">
      <w:pPr>
        <w:pBdr>
          <w:bottom w:val="single" w:sz="4" w:space="1" w:color="auto"/>
        </w:pBdr>
        <w:rPr>
          <w:sz w:val="22"/>
        </w:rPr>
      </w:pPr>
    </w:p>
    <w:p w:rsidR="007B1A23" w:rsidRPr="0080572E" w:rsidRDefault="007B1A23" w:rsidP="007B1A23">
      <w:pPr>
        <w:rPr>
          <w:sz w:val="22"/>
        </w:rPr>
      </w:pPr>
    </w:p>
    <w:p w:rsidR="007B1A23" w:rsidRPr="0080572E" w:rsidRDefault="007B1A23" w:rsidP="007B1A23">
      <w:pPr>
        <w:rPr>
          <w:b/>
          <w:smallCaps/>
          <w:sz w:val="22"/>
          <w:szCs w:val="22"/>
        </w:rPr>
      </w:pPr>
      <w:r w:rsidRPr="0080572E">
        <w:rPr>
          <w:b/>
          <w:smallCaps/>
          <w:sz w:val="22"/>
          <w:szCs w:val="22"/>
        </w:rPr>
        <w:t>antwoord</w:t>
      </w:r>
    </w:p>
    <w:p w:rsidR="007B1A23" w:rsidRPr="0080572E" w:rsidRDefault="007B1A23" w:rsidP="007B1A23">
      <w:pPr>
        <w:rPr>
          <w:sz w:val="22"/>
          <w:szCs w:val="22"/>
        </w:rPr>
      </w:pPr>
      <w:r w:rsidRPr="0080572E">
        <w:rPr>
          <w:sz w:val="22"/>
          <w:szCs w:val="22"/>
        </w:rPr>
        <w:t xml:space="preserve">op vraag nr. </w:t>
      </w:r>
      <w:r w:rsidRPr="0080572E">
        <w:rPr>
          <w:sz w:val="22"/>
        </w:rPr>
        <w:t>355</w:t>
      </w:r>
      <w:r w:rsidRPr="0080572E">
        <w:rPr>
          <w:sz w:val="22"/>
          <w:szCs w:val="22"/>
        </w:rPr>
        <w:t xml:space="preserve"> van </w:t>
      </w:r>
      <w:r w:rsidRPr="0080572E">
        <w:rPr>
          <w:sz w:val="22"/>
        </w:rPr>
        <w:t>29 juni 2012</w:t>
      </w:r>
    </w:p>
    <w:p w:rsidR="007B1A23" w:rsidRPr="0080572E" w:rsidRDefault="007B1A23" w:rsidP="007B1A23">
      <w:pPr>
        <w:rPr>
          <w:sz w:val="22"/>
        </w:rPr>
      </w:pPr>
      <w:r w:rsidRPr="0080572E">
        <w:rPr>
          <w:sz w:val="22"/>
          <w:szCs w:val="22"/>
        </w:rPr>
        <w:t xml:space="preserve">van </w:t>
      </w:r>
      <w:r w:rsidRPr="0080572E">
        <w:rPr>
          <w:b/>
          <w:smallCaps/>
        </w:rPr>
        <w:t>matthias diependaele</w:t>
      </w:r>
    </w:p>
    <w:p w:rsidR="007B1A23" w:rsidRPr="0080572E" w:rsidRDefault="007B1A23" w:rsidP="007B1A23">
      <w:pPr>
        <w:pBdr>
          <w:bottom w:val="single" w:sz="4" w:space="1" w:color="auto"/>
        </w:pBdr>
        <w:jc w:val="both"/>
        <w:rPr>
          <w:sz w:val="22"/>
        </w:rPr>
      </w:pPr>
    </w:p>
    <w:p w:rsidR="007B1A23" w:rsidRPr="0080572E" w:rsidRDefault="007B1A23" w:rsidP="007B1A23">
      <w:pPr>
        <w:jc w:val="both"/>
        <w:rPr>
          <w:sz w:val="22"/>
          <w:szCs w:val="22"/>
        </w:rPr>
      </w:pPr>
    </w:p>
    <w:p w:rsidR="002C11E0" w:rsidRPr="0080572E" w:rsidRDefault="002C11E0" w:rsidP="002C11E0">
      <w:pPr>
        <w:pStyle w:val="StandaardSV"/>
      </w:pPr>
    </w:p>
    <w:p w:rsidR="00C17E40" w:rsidRPr="0080572E" w:rsidRDefault="00C17E40" w:rsidP="00C53E4B">
      <w:pPr>
        <w:pStyle w:val="StandaardSV"/>
        <w:numPr>
          <w:ilvl w:val="0"/>
          <w:numId w:val="22"/>
        </w:numPr>
        <w:rPr>
          <w:i/>
          <w:szCs w:val="22"/>
        </w:rPr>
      </w:pPr>
      <w:r w:rsidRPr="0080572E">
        <w:rPr>
          <w:i/>
          <w:szCs w:val="22"/>
        </w:rPr>
        <w:t>Gamesector</w:t>
      </w:r>
    </w:p>
    <w:p w:rsidR="00C17E40" w:rsidRPr="0080572E" w:rsidRDefault="00C17E40" w:rsidP="00C53E4B">
      <w:pPr>
        <w:pStyle w:val="StandaardSV"/>
        <w:ind w:left="360"/>
        <w:rPr>
          <w:szCs w:val="22"/>
        </w:rPr>
      </w:pPr>
    </w:p>
    <w:p w:rsidR="00663F67" w:rsidRPr="0080572E" w:rsidRDefault="00663F67" w:rsidP="00C53E4B">
      <w:pPr>
        <w:pStyle w:val="StandaardSV"/>
        <w:ind w:left="360"/>
        <w:rPr>
          <w:szCs w:val="22"/>
        </w:rPr>
      </w:pPr>
      <w:r w:rsidRPr="0080572E">
        <w:rPr>
          <w:szCs w:val="22"/>
        </w:rPr>
        <w:t xml:space="preserve">Het belang van de gamesector in Vlaanderen blijft inderdaad groeien. Het Digimeter-rapport van IBBT van </w:t>
      </w:r>
      <w:r w:rsidR="00C17E40" w:rsidRPr="0080572E">
        <w:rPr>
          <w:szCs w:val="22"/>
        </w:rPr>
        <w:t>2012</w:t>
      </w:r>
      <w:r w:rsidRPr="0080572E">
        <w:rPr>
          <w:szCs w:val="22"/>
        </w:rPr>
        <w:t xml:space="preserve"> bevestigt de toenemende penetratie van games in Vlaanderen, zowel voor vaste als mobiele spelconsoles</w:t>
      </w:r>
      <w:r w:rsidR="00C17E40" w:rsidRPr="0080572E">
        <w:rPr>
          <w:szCs w:val="22"/>
        </w:rPr>
        <w:t xml:space="preserve"> (</w:t>
      </w:r>
      <w:hyperlink r:id="rId10" w:history="1">
        <w:r w:rsidR="00C17E40" w:rsidRPr="0080572E">
          <w:rPr>
            <w:rStyle w:val="Hyperlink"/>
          </w:rPr>
          <w:t>http://www.ibbt.be/nl/blog/p/detail/de-vlaming-wordt-homo-digitalis</w:t>
        </w:r>
      </w:hyperlink>
      <w:r w:rsidR="00C17E40" w:rsidRPr="0080572E">
        <w:t>)</w:t>
      </w:r>
      <w:r w:rsidRPr="0080572E">
        <w:rPr>
          <w:szCs w:val="22"/>
        </w:rPr>
        <w:t xml:space="preserve">. 43% van de Vlamingen bezit minstens </w:t>
      </w:r>
      <w:r w:rsidR="00C17E40" w:rsidRPr="0080572E">
        <w:rPr>
          <w:szCs w:val="22"/>
        </w:rPr>
        <w:t>één gaming toestel. O</w:t>
      </w:r>
      <w:r w:rsidRPr="0080572E">
        <w:rPr>
          <w:szCs w:val="22"/>
        </w:rPr>
        <w:t xml:space="preserve">ngeveer </w:t>
      </w:r>
      <w:r w:rsidR="00C17E40" w:rsidRPr="0080572E">
        <w:rPr>
          <w:szCs w:val="22"/>
        </w:rPr>
        <w:t>38,1</w:t>
      </w:r>
      <w:r w:rsidRPr="0080572E">
        <w:rPr>
          <w:szCs w:val="22"/>
        </w:rPr>
        <w:t xml:space="preserve">% van de Vlamingen heeft thuis een spelconsole aangesloten op het televisietoestel (Xbox 360, PS3, Wii, …) en </w:t>
      </w:r>
      <w:r w:rsidR="00C17E40" w:rsidRPr="0080572E">
        <w:rPr>
          <w:szCs w:val="22"/>
        </w:rPr>
        <w:t>30,3</w:t>
      </w:r>
      <w:r w:rsidRPr="0080572E">
        <w:rPr>
          <w:szCs w:val="22"/>
        </w:rPr>
        <w:t>% van de Vlamingen heeft een draagbare spelconsole (PSP, Gameboy, …). Volgens marktonderzoek van Newzoo spendeerden Belgische consumenten in 2010 maar liefst € 410 miljoen aan games (Newzoo, 2011).</w:t>
      </w:r>
    </w:p>
    <w:p w:rsidR="00663F67" w:rsidRPr="0080572E" w:rsidRDefault="00663F67" w:rsidP="00C53E4B">
      <w:pPr>
        <w:pStyle w:val="StandaardSV"/>
        <w:ind w:left="360"/>
        <w:rPr>
          <w:szCs w:val="22"/>
        </w:rPr>
      </w:pPr>
    </w:p>
    <w:p w:rsidR="00C47751" w:rsidRPr="0080572E" w:rsidRDefault="00663F67" w:rsidP="00C53E4B">
      <w:pPr>
        <w:pStyle w:val="StandaardSV"/>
        <w:ind w:left="360"/>
        <w:rPr>
          <w:szCs w:val="22"/>
        </w:rPr>
      </w:pPr>
      <w:r w:rsidRPr="0080572E">
        <w:rPr>
          <w:szCs w:val="22"/>
        </w:rPr>
        <w:t>Er bestaat in Vlaanderen geen centraal register van bedrijven die actief zijn in de gamesector. Het is niet eenvoudig om de sector precies af te bakenen. In het onderzoeksrapport “</w:t>
      </w:r>
      <w:r w:rsidRPr="0080572E">
        <w:rPr>
          <w:i/>
          <w:szCs w:val="22"/>
        </w:rPr>
        <w:t>Creatieve industrieën in Vlaanderen: mapping en bedrijfseconomische analyse</w:t>
      </w:r>
      <w:r w:rsidRPr="0080572E">
        <w:rPr>
          <w:szCs w:val="22"/>
        </w:rPr>
        <w:t>”</w:t>
      </w:r>
      <w:r w:rsidR="00FF6C70" w:rsidRPr="0080572E">
        <w:rPr>
          <w:szCs w:val="22"/>
        </w:rPr>
        <w:t>, van april 2011</w:t>
      </w:r>
      <w:r w:rsidRPr="0080572E">
        <w:rPr>
          <w:szCs w:val="22"/>
        </w:rPr>
        <w:t xml:space="preserve"> (integraal beschikbaar op </w:t>
      </w:r>
      <w:hyperlink r:id="rId11" w:history="1">
        <w:r w:rsidRPr="0080572E">
          <w:rPr>
            <w:rStyle w:val="Hyperlink"/>
            <w:szCs w:val="22"/>
          </w:rPr>
          <w:t>http://www.flandersdc.be/nl/kennis/studies/the-legitimation-strategies-of-internationalizing-flemish-sme-s-and-their-subsidiaries</w:t>
        </w:r>
      </w:hyperlink>
      <w:r w:rsidRPr="0080572E">
        <w:rPr>
          <w:szCs w:val="22"/>
        </w:rPr>
        <w:t xml:space="preserve">) wordt de volgende definitie gehanteerd: “De game-industrie kan gedefinieerd worden als het geheel van actoren die zich toespitsen op de </w:t>
      </w:r>
      <w:r w:rsidRPr="0080572E">
        <w:rPr>
          <w:szCs w:val="22"/>
          <w:u w:val="single"/>
        </w:rPr>
        <w:t>ontwikkeling</w:t>
      </w:r>
      <w:r w:rsidRPr="0080572E">
        <w:rPr>
          <w:szCs w:val="22"/>
        </w:rPr>
        <w:t xml:space="preserve"> en </w:t>
      </w:r>
      <w:r w:rsidRPr="0080572E">
        <w:rPr>
          <w:szCs w:val="22"/>
          <w:u w:val="single"/>
        </w:rPr>
        <w:t>verdeling</w:t>
      </w:r>
      <w:r w:rsidRPr="0080572E">
        <w:rPr>
          <w:szCs w:val="22"/>
        </w:rPr>
        <w:t xml:space="preserve"> van games”.</w:t>
      </w:r>
    </w:p>
    <w:p w:rsidR="00C47751" w:rsidRPr="0080572E" w:rsidRDefault="00C47751" w:rsidP="00C53E4B">
      <w:pPr>
        <w:pStyle w:val="StandaardSV"/>
        <w:ind w:left="360"/>
        <w:rPr>
          <w:szCs w:val="22"/>
        </w:rPr>
      </w:pPr>
    </w:p>
    <w:p w:rsidR="00C17E40" w:rsidRPr="0080572E" w:rsidRDefault="00C17E40" w:rsidP="00C53E4B">
      <w:pPr>
        <w:pStyle w:val="StandaardSV"/>
        <w:ind w:left="360"/>
        <w:rPr>
          <w:i/>
          <w:szCs w:val="22"/>
        </w:rPr>
      </w:pPr>
      <w:r w:rsidRPr="0080572E">
        <w:rPr>
          <w:i/>
          <w:szCs w:val="22"/>
        </w:rPr>
        <w:t>Ontwikkelaars van games</w:t>
      </w:r>
    </w:p>
    <w:p w:rsidR="00C17E40" w:rsidRPr="0080572E" w:rsidRDefault="00C17E40" w:rsidP="00C53E4B">
      <w:pPr>
        <w:pStyle w:val="StandaardSV"/>
        <w:ind w:left="360"/>
        <w:rPr>
          <w:i/>
          <w:szCs w:val="22"/>
        </w:rPr>
      </w:pPr>
    </w:p>
    <w:p w:rsidR="00C47751" w:rsidRPr="0080572E" w:rsidRDefault="00FD59B6" w:rsidP="00C53E4B">
      <w:pPr>
        <w:pStyle w:val="StandaardSV"/>
        <w:ind w:left="360"/>
        <w:rPr>
          <w:szCs w:val="22"/>
        </w:rPr>
      </w:pPr>
      <w:r w:rsidRPr="0080572E">
        <w:rPr>
          <w:szCs w:val="22"/>
        </w:rPr>
        <w:t>Een</w:t>
      </w:r>
      <w:r w:rsidR="00C47751" w:rsidRPr="0080572E">
        <w:rPr>
          <w:szCs w:val="22"/>
        </w:rPr>
        <w:t xml:space="preserve"> opsomming van </w:t>
      </w:r>
      <w:r w:rsidRPr="0080572E">
        <w:rPr>
          <w:szCs w:val="22"/>
        </w:rPr>
        <w:t xml:space="preserve">game </w:t>
      </w:r>
      <w:r w:rsidR="00C47751" w:rsidRPr="0080572E">
        <w:rPr>
          <w:szCs w:val="22"/>
        </w:rPr>
        <w:t xml:space="preserve">ontwikkelaars </w:t>
      </w:r>
      <w:r w:rsidRPr="0080572E">
        <w:rPr>
          <w:szCs w:val="22"/>
        </w:rPr>
        <w:t xml:space="preserve">is terug te vinden </w:t>
      </w:r>
      <w:r w:rsidR="00C47751" w:rsidRPr="0080572E">
        <w:rPr>
          <w:szCs w:val="22"/>
        </w:rPr>
        <w:t>op de website van het Departement Cultuur, Jeugd, Sport en Media (CJSM) (</w:t>
      </w:r>
      <w:hyperlink r:id="rId12" w:history="1">
        <w:r w:rsidR="00C47751" w:rsidRPr="0080572E">
          <w:rPr>
            <w:rStyle w:val="Hyperlink"/>
            <w:szCs w:val="22"/>
          </w:rPr>
          <w:t>http://www.cjsm.vlaanderen.be/gaming/index.shtml</w:t>
        </w:r>
      </w:hyperlink>
      <w:r w:rsidR="00C47751" w:rsidRPr="0080572E">
        <w:rPr>
          <w:szCs w:val="22"/>
        </w:rPr>
        <w:t>)</w:t>
      </w:r>
      <w:r w:rsidR="00680188" w:rsidRPr="0080572E">
        <w:rPr>
          <w:rStyle w:val="Voetnootmarkering"/>
          <w:szCs w:val="22"/>
        </w:rPr>
        <w:footnoteReference w:id="2"/>
      </w:r>
      <w:r w:rsidR="00C47751" w:rsidRPr="0080572E">
        <w:rPr>
          <w:szCs w:val="22"/>
        </w:rPr>
        <w:t xml:space="preserve">. Deze lijst werd </w:t>
      </w:r>
      <w:r w:rsidR="00FF6C70" w:rsidRPr="0080572E">
        <w:rPr>
          <w:szCs w:val="22"/>
        </w:rPr>
        <w:t xml:space="preserve">voor bovenvermeld onderzoek van april 2011 </w:t>
      </w:r>
      <w:r w:rsidR="00C47751" w:rsidRPr="0080572E">
        <w:rPr>
          <w:szCs w:val="22"/>
        </w:rPr>
        <w:t xml:space="preserve">overlopen met prof. dr. Jan Van Looy (Onderzoeksgroep voor Media en ICT </w:t>
      </w:r>
      <w:r w:rsidR="00C47751" w:rsidRPr="0080572E">
        <w:rPr>
          <w:rFonts w:ascii="Calibri" w:hAnsi="Calibri" w:cs="Calibri"/>
          <w:szCs w:val="22"/>
        </w:rPr>
        <w:t>[</w:t>
      </w:r>
      <w:r w:rsidR="00C47751" w:rsidRPr="0080572E">
        <w:rPr>
          <w:szCs w:val="22"/>
        </w:rPr>
        <w:t>IBBT-MICT</w:t>
      </w:r>
      <w:r w:rsidR="00C47751" w:rsidRPr="0080572E">
        <w:rPr>
          <w:rFonts w:ascii="Calibri" w:hAnsi="Calibri" w:cs="Calibri"/>
          <w:szCs w:val="22"/>
        </w:rPr>
        <w:t>]</w:t>
      </w:r>
      <w:r w:rsidR="00C47751" w:rsidRPr="0080572E">
        <w:rPr>
          <w:szCs w:val="22"/>
        </w:rPr>
        <w:t>) om te achterhalen of de lijst nog up-to-date is. Deze bedrijven werden vervolgens opgezocht in de balanscentrale van de Nationale Bank van België, wat resulteert in de hiernavolgende resultaten.</w:t>
      </w:r>
    </w:p>
    <w:p w:rsidR="00C47751" w:rsidRPr="0080572E" w:rsidRDefault="00C47751" w:rsidP="00C53E4B">
      <w:pPr>
        <w:pStyle w:val="StandaardSV"/>
        <w:ind w:left="360"/>
        <w:rPr>
          <w:szCs w:val="22"/>
        </w:rPr>
      </w:pPr>
    </w:p>
    <w:tbl>
      <w:tblPr>
        <w:tblStyle w:val="Tabelraster"/>
        <w:tblW w:w="8748" w:type="dxa"/>
        <w:tblInd w:w="534" w:type="dxa"/>
        <w:tblLook w:val="04A0" w:firstRow="1" w:lastRow="0" w:firstColumn="1" w:lastColumn="0" w:noHBand="0" w:noVBand="1"/>
      </w:tblPr>
      <w:tblGrid>
        <w:gridCol w:w="1589"/>
        <w:gridCol w:w="1444"/>
        <w:gridCol w:w="2116"/>
        <w:gridCol w:w="1216"/>
        <w:gridCol w:w="2383"/>
      </w:tblGrid>
      <w:tr w:rsidR="00C47751" w:rsidRPr="0080572E" w:rsidTr="00226B12">
        <w:tc>
          <w:tcPr>
            <w:tcW w:w="1589" w:type="dxa"/>
          </w:tcPr>
          <w:p w:rsidR="00C47751" w:rsidRPr="0080572E" w:rsidRDefault="00C47751" w:rsidP="00C53E4B">
            <w:pPr>
              <w:pStyle w:val="StandaardSV"/>
              <w:rPr>
                <w:b/>
                <w:sz w:val="20"/>
              </w:rPr>
            </w:pPr>
            <w:r w:rsidRPr="0080572E">
              <w:rPr>
                <w:b/>
                <w:sz w:val="20"/>
              </w:rPr>
              <w:t># Zelfstandigen</w:t>
            </w:r>
          </w:p>
        </w:tc>
        <w:tc>
          <w:tcPr>
            <w:tcW w:w="1444" w:type="dxa"/>
          </w:tcPr>
          <w:p w:rsidR="00C47751" w:rsidRPr="0080572E" w:rsidRDefault="00C47751" w:rsidP="00C53E4B">
            <w:pPr>
              <w:pStyle w:val="StandaardSV"/>
              <w:rPr>
                <w:b/>
                <w:sz w:val="20"/>
              </w:rPr>
            </w:pPr>
            <w:r w:rsidRPr="0080572E">
              <w:rPr>
                <w:b/>
                <w:sz w:val="20"/>
              </w:rPr>
              <w:t># Werkgevers</w:t>
            </w:r>
          </w:p>
        </w:tc>
        <w:tc>
          <w:tcPr>
            <w:tcW w:w="2116" w:type="dxa"/>
          </w:tcPr>
          <w:p w:rsidR="00C47751" w:rsidRPr="0080572E" w:rsidRDefault="00C47751" w:rsidP="00C53E4B">
            <w:pPr>
              <w:pStyle w:val="StandaardSV"/>
              <w:rPr>
                <w:b/>
                <w:sz w:val="20"/>
              </w:rPr>
            </w:pPr>
            <w:r w:rsidRPr="0080572E">
              <w:rPr>
                <w:b/>
                <w:sz w:val="20"/>
              </w:rPr>
              <w:t># Werknemers (VTE)</w:t>
            </w:r>
          </w:p>
        </w:tc>
        <w:tc>
          <w:tcPr>
            <w:tcW w:w="1216" w:type="dxa"/>
          </w:tcPr>
          <w:p w:rsidR="00C47751" w:rsidRPr="0080572E" w:rsidRDefault="00C47751" w:rsidP="00C53E4B">
            <w:pPr>
              <w:pStyle w:val="StandaardSV"/>
              <w:rPr>
                <w:b/>
                <w:sz w:val="20"/>
              </w:rPr>
            </w:pPr>
            <w:r w:rsidRPr="0080572E">
              <w:rPr>
                <w:b/>
                <w:sz w:val="20"/>
              </w:rPr>
              <w:t>Omzet (€)</w:t>
            </w:r>
          </w:p>
        </w:tc>
        <w:tc>
          <w:tcPr>
            <w:tcW w:w="2383" w:type="dxa"/>
          </w:tcPr>
          <w:p w:rsidR="00C47751" w:rsidRPr="0080572E" w:rsidRDefault="00C47751" w:rsidP="00C53E4B">
            <w:pPr>
              <w:pStyle w:val="StandaardSV"/>
              <w:rPr>
                <w:b/>
                <w:sz w:val="20"/>
              </w:rPr>
            </w:pPr>
            <w:r w:rsidRPr="0080572E">
              <w:rPr>
                <w:b/>
                <w:sz w:val="20"/>
              </w:rPr>
              <w:t>Toegevoegde waarde (€)</w:t>
            </w:r>
          </w:p>
        </w:tc>
      </w:tr>
      <w:tr w:rsidR="00C47751" w:rsidRPr="0080572E" w:rsidTr="00226B12">
        <w:tc>
          <w:tcPr>
            <w:tcW w:w="1589" w:type="dxa"/>
          </w:tcPr>
          <w:p w:rsidR="00C47751" w:rsidRPr="0080572E" w:rsidRDefault="00C47751" w:rsidP="00C53E4B">
            <w:pPr>
              <w:pStyle w:val="StandaardSV"/>
              <w:rPr>
                <w:sz w:val="20"/>
              </w:rPr>
            </w:pPr>
            <w:r w:rsidRPr="0080572E">
              <w:rPr>
                <w:sz w:val="20"/>
              </w:rPr>
              <w:t>-</w:t>
            </w:r>
          </w:p>
        </w:tc>
        <w:tc>
          <w:tcPr>
            <w:tcW w:w="1444" w:type="dxa"/>
          </w:tcPr>
          <w:p w:rsidR="00C47751" w:rsidRPr="0080572E" w:rsidRDefault="00C47751" w:rsidP="00C53E4B">
            <w:pPr>
              <w:pStyle w:val="StandaardSV"/>
              <w:rPr>
                <w:sz w:val="20"/>
              </w:rPr>
            </w:pPr>
            <w:r w:rsidRPr="0080572E">
              <w:rPr>
                <w:sz w:val="20"/>
              </w:rPr>
              <w:t>21</w:t>
            </w:r>
          </w:p>
        </w:tc>
        <w:tc>
          <w:tcPr>
            <w:tcW w:w="2116" w:type="dxa"/>
          </w:tcPr>
          <w:p w:rsidR="00C47751" w:rsidRPr="0080572E" w:rsidRDefault="00C47751" w:rsidP="00C53E4B">
            <w:pPr>
              <w:pStyle w:val="StandaardSV"/>
              <w:rPr>
                <w:sz w:val="20"/>
              </w:rPr>
            </w:pPr>
            <w:r w:rsidRPr="0080572E">
              <w:rPr>
                <w:sz w:val="20"/>
              </w:rPr>
              <w:t>61</w:t>
            </w:r>
          </w:p>
        </w:tc>
        <w:tc>
          <w:tcPr>
            <w:tcW w:w="1216" w:type="dxa"/>
          </w:tcPr>
          <w:p w:rsidR="00C47751" w:rsidRPr="0080572E" w:rsidRDefault="00C47751" w:rsidP="00C53E4B">
            <w:pPr>
              <w:pStyle w:val="StandaardSV"/>
              <w:rPr>
                <w:sz w:val="20"/>
              </w:rPr>
            </w:pPr>
            <w:r w:rsidRPr="0080572E">
              <w:rPr>
                <w:sz w:val="20"/>
              </w:rPr>
              <w:t>-</w:t>
            </w:r>
          </w:p>
        </w:tc>
        <w:tc>
          <w:tcPr>
            <w:tcW w:w="2383" w:type="dxa"/>
          </w:tcPr>
          <w:p w:rsidR="00C47751" w:rsidRPr="0080572E" w:rsidRDefault="00C47751" w:rsidP="00C53E4B">
            <w:pPr>
              <w:pStyle w:val="StandaardSV"/>
              <w:rPr>
                <w:sz w:val="20"/>
              </w:rPr>
            </w:pPr>
            <w:r w:rsidRPr="0080572E">
              <w:rPr>
                <w:sz w:val="20"/>
              </w:rPr>
              <w:t>2.806.102</w:t>
            </w:r>
          </w:p>
        </w:tc>
      </w:tr>
    </w:tbl>
    <w:p w:rsidR="007B1A23" w:rsidRPr="0080572E" w:rsidRDefault="007B1A23" w:rsidP="00C53E4B">
      <w:pPr>
        <w:pStyle w:val="Default"/>
        <w:ind w:left="360"/>
        <w:jc w:val="both"/>
        <w:rPr>
          <w:rFonts w:ascii="Times New Roman" w:hAnsi="Times New Roman" w:cs="Times New Roman"/>
          <w:sz w:val="22"/>
          <w:szCs w:val="22"/>
        </w:rPr>
      </w:pPr>
    </w:p>
    <w:p w:rsidR="00004A46" w:rsidRPr="0080572E" w:rsidRDefault="00C17E40" w:rsidP="00C53E4B">
      <w:pPr>
        <w:pStyle w:val="Default"/>
        <w:ind w:firstLine="360"/>
        <w:jc w:val="both"/>
        <w:rPr>
          <w:rFonts w:ascii="Times New Roman" w:hAnsi="Times New Roman" w:cs="Times New Roman"/>
          <w:sz w:val="22"/>
          <w:szCs w:val="22"/>
        </w:rPr>
      </w:pPr>
      <w:r w:rsidRPr="0080572E">
        <w:rPr>
          <w:rFonts w:ascii="Times New Roman" w:hAnsi="Times New Roman" w:cs="Times New Roman"/>
          <w:sz w:val="22"/>
          <w:szCs w:val="22"/>
        </w:rPr>
        <w:t>Het aantal ontwikkelaars van games</w:t>
      </w:r>
      <w:r w:rsidR="00004A46" w:rsidRPr="0080572E">
        <w:rPr>
          <w:rFonts w:ascii="Times New Roman" w:hAnsi="Times New Roman" w:cs="Times New Roman"/>
          <w:sz w:val="22"/>
          <w:szCs w:val="22"/>
        </w:rPr>
        <w:t xml:space="preserve"> in Vlaanderen is </w:t>
      </w:r>
      <w:r w:rsidRPr="0080572E">
        <w:rPr>
          <w:rFonts w:ascii="Times New Roman" w:hAnsi="Times New Roman" w:cs="Times New Roman"/>
          <w:sz w:val="22"/>
          <w:szCs w:val="22"/>
        </w:rPr>
        <w:t xml:space="preserve">echter </w:t>
      </w:r>
      <w:r w:rsidR="00004A46" w:rsidRPr="0080572E">
        <w:rPr>
          <w:rFonts w:ascii="Times New Roman" w:hAnsi="Times New Roman" w:cs="Times New Roman"/>
          <w:sz w:val="22"/>
          <w:szCs w:val="22"/>
        </w:rPr>
        <w:t xml:space="preserve">onderbecijferd om een aantal redenen: </w:t>
      </w:r>
    </w:p>
    <w:p w:rsidR="00004A46" w:rsidRPr="0080572E" w:rsidRDefault="007B1A23" w:rsidP="00C53E4B">
      <w:pPr>
        <w:pStyle w:val="Geenafstand"/>
        <w:numPr>
          <w:ilvl w:val="0"/>
          <w:numId w:val="23"/>
        </w:numPr>
        <w:jc w:val="both"/>
        <w:rPr>
          <w:sz w:val="22"/>
          <w:szCs w:val="22"/>
        </w:rPr>
      </w:pPr>
      <w:r w:rsidRPr="0080572E">
        <w:rPr>
          <w:sz w:val="22"/>
          <w:szCs w:val="22"/>
        </w:rPr>
        <w:t>e</w:t>
      </w:r>
      <w:r w:rsidR="00004A46" w:rsidRPr="0080572E">
        <w:rPr>
          <w:sz w:val="22"/>
          <w:szCs w:val="22"/>
        </w:rPr>
        <w:t xml:space="preserve">r zijn slechts een zeer beperkt aantal </w:t>
      </w:r>
      <w:r w:rsidR="00004A46" w:rsidRPr="0080572E">
        <w:rPr>
          <w:b/>
          <w:bCs/>
          <w:sz w:val="22"/>
          <w:szCs w:val="22"/>
        </w:rPr>
        <w:t xml:space="preserve">gameontwikkelaars </w:t>
      </w:r>
      <w:r w:rsidR="00004A46" w:rsidRPr="0080572E">
        <w:rPr>
          <w:sz w:val="22"/>
          <w:szCs w:val="22"/>
        </w:rPr>
        <w:t>actief in Vlaanderen die georganiseerd zijn onder een bedrijfsvorm d</w:t>
      </w:r>
      <w:r w:rsidR="000D45C2" w:rsidRPr="0080572E">
        <w:rPr>
          <w:sz w:val="22"/>
          <w:szCs w:val="22"/>
        </w:rPr>
        <w:t>ie</w:t>
      </w:r>
      <w:r w:rsidR="00004A46" w:rsidRPr="0080572E">
        <w:rPr>
          <w:sz w:val="22"/>
          <w:szCs w:val="22"/>
        </w:rPr>
        <w:t xml:space="preserve"> als gamebedrijf gelabeld wordt. Van de weinige </w:t>
      </w:r>
      <w:r w:rsidR="00004A46" w:rsidRPr="0080572E">
        <w:rPr>
          <w:sz w:val="22"/>
          <w:szCs w:val="22"/>
        </w:rPr>
        <w:lastRenderedPageBreak/>
        <w:t>bedrijven die er zijn, vinden we bovendien amper financiële gegevens terug in de Balanscentrale van de Nationale Bank van B</w:t>
      </w:r>
      <w:r w:rsidRPr="0080572E">
        <w:rPr>
          <w:sz w:val="22"/>
          <w:szCs w:val="22"/>
        </w:rPr>
        <w:t>e</w:t>
      </w:r>
      <w:r w:rsidR="00004A46" w:rsidRPr="0080572E">
        <w:rPr>
          <w:sz w:val="22"/>
          <w:szCs w:val="22"/>
        </w:rPr>
        <w:t>lgië</w:t>
      </w:r>
      <w:r w:rsidR="00EF1A1E" w:rsidRPr="0080572E">
        <w:rPr>
          <w:sz w:val="22"/>
          <w:szCs w:val="22"/>
        </w:rPr>
        <w:t>;</w:t>
      </w:r>
    </w:p>
    <w:p w:rsidR="00004A46" w:rsidRPr="0080572E" w:rsidRDefault="00EF1A1E" w:rsidP="00C53E4B">
      <w:pPr>
        <w:pStyle w:val="Geenafstand"/>
        <w:numPr>
          <w:ilvl w:val="0"/>
          <w:numId w:val="23"/>
        </w:numPr>
        <w:jc w:val="both"/>
        <w:rPr>
          <w:sz w:val="22"/>
          <w:szCs w:val="22"/>
        </w:rPr>
      </w:pPr>
      <w:r w:rsidRPr="0080572E">
        <w:rPr>
          <w:b/>
          <w:bCs/>
          <w:sz w:val="22"/>
          <w:szCs w:val="22"/>
        </w:rPr>
        <w:t>a</w:t>
      </w:r>
      <w:r w:rsidR="00004A46" w:rsidRPr="0080572E">
        <w:rPr>
          <w:b/>
          <w:bCs/>
          <w:sz w:val="22"/>
          <w:szCs w:val="22"/>
        </w:rPr>
        <w:t xml:space="preserve">anverwante technische en creatieve functies </w:t>
      </w:r>
      <w:r w:rsidR="00004A46" w:rsidRPr="0080572E">
        <w:rPr>
          <w:sz w:val="22"/>
          <w:szCs w:val="22"/>
        </w:rPr>
        <w:t xml:space="preserve">die betrokken zijn in de ontwikkeling van games – en </w:t>
      </w:r>
      <w:r w:rsidRPr="0080572E">
        <w:rPr>
          <w:sz w:val="22"/>
          <w:szCs w:val="22"/>
        </w:rPr>
        <w:t xml:space="preserve">die </w:t>
      </w:r>
      <w:r w:rsidR="00004A46" w:rsidRPr="0080572E">
        <w:rPr>
          <w:sz w:val="22"/>
          <w:szCs w:val="22"/>
        </w:rPr>
        <w:t xml:space="preserve">wél in grotere mate in Vlaanderen vertegenwoordigd zijn </w:t>
      </w:r>
      <w:r w:rsidRPr="0080572E">
        <w:rPr>
          <w:sz w:val="22"/>
          <w:szCs w:val="22"/>
        </w:rPr>
        <w:t>–</w:t>
      </w:r>
      <w:r w:rsidR="00004A46" w:rsidRPr="0080572E">
        <w:rPr>
          <w:sz w:val="22"/>
          <w:szCs w:val="22"/>
        </w:rPr>
        <w:t xml:space="preserve"> zijn</w:t>
      </w:r>
      <w:r w:rsidRPr="0080572E">
        <w:rPr>
          <w:sz w:val="22"/>
          <w:szCs w:val="22"/>
        </w:rPr>
        <w:t xml:space="preserve"> </w:t>
      </w:r>
      <w:r w:rsidR="00004A46" w:rsidRPr="0080572E">
        <w:rPr>
          <w:sz w:val="22"/>
          <w:szCs w:val="22"/>
        </w:rPr>
        <w:t>zodanig verspreid over verschillende sectoren en bedrijven dat het in kaart brengen hiervan binnen het tijdsbestek van de</w:t>
      </w:r>
      <w:r w:rsidRPr="0080572E">
        <w:rPr>
          <w:sz w:val="22"/>
          <w:szCs w:val="22"/>
        </w:rPr>
        <w:t xml:space="preserve"> vermelde</w:t>
      </w:r>
      <w:r w:rsidR="00004A46" w:rsidRPr="0080572E">
        <w:rPr>
          <w:sz w:val="22"/>
          <w:szCs w:val="22"/>
        </w:rPr>
        <w:t xml:space="preserve"> studie een onmogelijke opdracht </w:t>
      </w:r>
      <w:r w:rsidRPr="0080572E">
        <w:rPr>
          <w:sz w:val="22"/>
          <w:szCs w:val="22"/>
        </w:rPr>
        <w:t>bleek te zijn</w:t>
      </w:r>
      <w:r w:rsidR="00004A46" w:rsidRPr="0080572E">
        <w:rPr>
          <w:sz w:val="22"/>
          <w:szCs w:val="22"/>
        </w:rPr>
        <w:t xml:space="preserve">. Het betreft een hele reeks freelancers die in hoofd- of bijberoep meewerken aan specifieke aspecten van het gameontwikkelingsproces. Daarnaast zijn er een heel aantal technologische bedrijven actief die technologie ontwikkelen voor onder meer gameontwikkelaars. Het in kaart brengen van dit landschap valt buiten de doelstellingen van </w:t>
      </w:r>
      <w:r w:rsidRPr="0080572E">
        <w:rPr>
          <w:sz w:val="22"/>
          <w:szCs w:val="22"/>
        </w:rPr>
        <w:t>het</w:t>
      </w:r>
      <w:r w:rsidR="00004A46" w:rsidRPr="0080572E">
        <w:rPr>
          <w:sz w:val="22"/>
          <w:szCs w:val="22"/>
        </w:rPr>
        <w:t xml:space="preserve"> </w:t>
      </w:r>
      <w:r w:rsidRPr="0080572E">
        <w:rPr>
          <w:sz w:val="22"/>
          <w:szCs w:val="22"/>
        </w:rPr>
        <w:t xml:space="preserve">gevoerde </w:t>
      </w:r>
      <w:r w:rsidR="00004A46" w:rsidRPr="0080572E">
        <w:rPr>
          <w:sz w:val="22"/>
          <w:szCs w:val="22"/>
        </w:rPr>
        <w:t>onderzoek</w:t>
      </w:r>
      <w:r w:rsidRPr="0080572E">
        <w:rPr>
          <w:sz w:val="22"/>
          <w:szCs w:val="22"/>
        </w:rPr>
        <w:t>;</w:t>
      </w:r>
      <w:r w:rsidR="00004A46" w:rsidRPr="0080572E">
        <w:rPr>
          <w:sz w:val="22"/>
          <w:szCs w:val="22"/>
        </w:rPr>
        <w:t xml:space="preserve"> </w:t>
      </w:r>
    </w:p>
    <w:p w:rsidR="008E69AD" w:rsidRPr="0080572E" w:rsidRDefault="00EF1A1E" w:rsidP="00C53E4B">
      <w:pPr>
        <w:pStyle w:val="Geenafstand"/>
        <w:numPr>
          <w:ilvl w:val="0"/>
          <w:numId w:val="23"/>
        </w:numPr>
        <w:jc w:val="both"/>
        <w:rPr>
          <w:sz w:val="22"/>
        </w:rPr>
      </w:pPr>
      <w:r w:rsidRPr="0080572E">
        <w:rPr>
          <w:b/>
          <w:sz w:val="22"/>
        </w:rPr>
        <w:t>g</w:t>
      </w:r>
      <w:r w:rsidR="00004A46" w:rsidRPr="0080572E">
        <w:rPr>
          <w:b/>
          <w:sz w:val="22"/>
        </w:rPr>
        <w:t xml:space="preserve">ame publishers </w:t>
      </w:r>
      <w:r w:rsidR="00004A46" w:rsidRPr="0080572E">
        <w:rPr>
          <w:sz w:val="22"/>
        </w:rPr>
        <w:t>vertegenwoordigen in de meeste gevallen lokale Benelux</w:t>
      </w:r>
      <w:r w:rsidRPr="0080572E">
        <w:rPr>
          <w:sz w:val="22"/>
        </w:rPr>
        <w:t>-</w:t>
      </w:r>
      <w:r w:rsidR="00004A46" w:rsidRPr="0080572E">
        <w:rPr>
          <w:sz w:val="22"/>
        </w:rPr>
        <w:t>filialen van multinationale ondernemingen. Deze filialen zijn bovendien meestal gevestigd in Nederland.</w:t>
      </w:r>
    </w:p>
    <w:p w:rsidR="008E69AD" w:rsidRPr="0080572E" w:rsidRDefault="008E69AD" w:rsidP="00C53E4B">
      <w:pPr>
        <w:pStyle w:val="Geenafstand"/>
        <w:numPr>
          <w:ilvl w:val="0"/>
          <w:numId w:val="23"/>
        </w:numPr>
        <w:jc w:val="both"/>
      </w:pPr>
      <w:r w:rsidRPr="0080572E">
        <w:rPr>
          <w:sz w:val="22"/>
        </w:rPr>
        <w:t xml:space="preserve">Cijfers die wel beschikbaar zijn, betreffen de totale omzet van games in de Belgische markt zoals gerapporteerd door de Belgian Entertainment Association. </w:t>
      </w:r>
    </w:p>
    <w:p w:rsidR="008E69AD" w:rsidRPr="0080572E" w:rsidRDefault="008E69AD" w:rsidP="00C53E4B">
      <w:pPr>
        <w:pStyle w:val="Geenafstand"/>
        <w:ind w:left="360"/>
        <w:jc w:val="both"/>
        <w:rPr>
          <w:szCs w:val="22"/>
        </w:rPr>
      </w:pPr>
      <w:r w:rsidRPr="0080572E">
        <w:rPr>
          <w:szCs w:val="22"/>
        </w:rPr>
        <w:t xml:space="preserve">De gamesector is </w:t>
      </w:r>
      <w:r w:rsidR="00C825D7">
        <w:rPr>
          <w:szCs w:val="22"/>
        </w:rPr>
        <w:t>tevens</w:t>
      </w:r>
      <w:r w:rsidRPr="0080572E">
        <w:rPr>
          <w:szCs w:val="22"/>
        </w:rPr>
        <w:t xml:space="preserve"> slecht </w:t>
      </w:r>
      <w:r w:rsidR="00C825D7">
        <w:rPr>
          <w:szCs w:val="22"/>
        </w:rPr>
        <w:t>ge</w:t>
      </w:r>
      <w:r w:rsidRPr="0080572E">
        <w:rPr>
          <w:szCs w:val="22"/>
        </w:rPr>
        <w:t>vat in de beschikbare codes van de NACE-BEL nomenclatuur: de groot- en detailhandel van de gamesector zit vervat in de computerhandel, de uitgeverijen omhelzen voor het Belgische grondgebied 13 entiteiten waarvan 5 gevestigd in Vlaanderen en hebben betrekking op 1 gameshop, 3 zelfstandigen en 1 bedrijf gespecialiseerd in visuele effecten.</w:t>
      </w:r>
    </w:p>
    <w:p w:rsidR="00004A46" w:rsidRPr="0080572E" w:rsidRDefault="00004A46" w:rsidP="00C53E4B">
      <w:pPr>
        <w:pStyle w:val="Geenafstand"/>
        <w:numPr>
          <w:ilvl w:val="0"/>
          <w:numId w:val="23"/>
        </w:numPr>
        <w:jc w:val="both"/>
        <w:rPr>
          <w:sz w:val="22"/>
          <w:szCs w:val="22"/>
        </w:rPr>
      </w:pPr>
    </w:p>
    <w:p w:rsidR="00487DEC" w:rsidRPr="00F77477" w:rsidRDefault="00487DEC" w:rsidP="00C53E4B">
      <w:pPr>
        <w:pStyle w:val="Default"/>
        <w:ind w:left="360"/>
        <w:jc w:val="both"/>
        <w:rPr>
          <w:rFonts w:ascii="Times New Roman" w:hAnsi="Times New Roman" w:cs="Times New Roman"/>
          <w:sz w:val="22"/>
          <w:szCs w:val="22"/>
        </w:rPr>
      </w:pPr>
    </w:p>
    <w:p w:rsidR="00487DEC" w:rsidRPr="0080572E" w:rsidRDefault="00487DEC" w:rsidP="00C53E4B">
      <w:pPr>
        <w:pStyle w:val="Default"/>
        <w:ind w:left="360"/>
        <w:jc w:val="both"/>
        <w:rPr>
          <w:i/>
          <w:szCs w:val="22"/>
        </w:rPr>
      </w:pPr>
      <w:r w:rsidRPr="0080572E">
        <w:rPr>
          <w:rFonts w:ascii="Times New Roman" w:hAnsi="Times New Roman" w:cs="Times New Roman"/>
          <w:i/>
          <w:sz w:val="22"/>
          <w:szCs w:val="22"/>
        </w:rPr>
        <w:t>Verdelers van games</w:t>
      </w:r>
    </w:p>
    <w:p w:rsidR="00487DEC" w:rsidRPr="0080572E" w:rsidRDefault="00487DEC" w:rsidP="00C53E4B">
      <w:pPr>
        <w:pStyle w:val="Default"/>
        <w:ind w:left="360"/>
        <w:jc w:val="both"/>
        <w:rPr>
          <w:sz w:val="20"/>
          <w:szCs w:val="20"/>
        </w:rPr>
      </w:pPr>
    </w:p>
    <w:p w:rsidR="00EF1A1E" w:rsidRPr="0080572E" w:rsidRDefault="008E69AD" w:rsidP="00C53E4B">
      <w:pPr>
        <w:pStyle w:val="StandaardSV"/>
        <w:ind w:left="360"/>
        <w:rPr>
          <w:szCs w:val="22"/>
        </w:rPr>
      </w:pPr>
      <w:r w:rsidRPr="0080572E">
        <w:rPr>
          <w:szCs w:val="22"/>
        </w:rPr>
        <w:t>De Belgian Entertainement Association heeft 14 leden inzake gaming (werkgevers).</w:t>
      </w:r>
    </w:p>
    <w:p w:rsidR="0008539A" w:rsidRPr="0080572E" w:rsidRDefault="0008539A" w:rsidP="00C53E4B">
      <w:pPr>
        <w:pStyle w:val="StandaardSV"/>
        <w:ind w:left="360"/>
        <w:rPr>
          <w:szCs w:val="22"/>
        </w:rPr>
      </w:pPr>
      <w:r w:rsidRPr="0080572E">
        <w:rPr>
          <w:szCs w:val="22"/>
        </w:rPr>
        <w:t>In 2008 bedroeg de totale omzet van de gam</w:t>
      </w:r>
      <w:r w:rsidR="00AC661D" w:rsidRPr="0080572E">
        <w:rPr>
          <w:szCs w:val="22"/>
        </w:rPr>
        <w:t>e-</w:t>
      </w:r>
      <w:r w:rsidRPr="0080572E">
        <w:rPr>
          <w:szCs w:val="22"/>
        </w:rPr>
        <w:t>industrie in België € 247 miljoen. Indien een verhouding 60/40 wordt verondersteld voor Vlaanderen/Wallonië</w:t>
      </w:r>
      <w:r w:rsidR="00AC661D" w:rsidRPr="0080572E">
        <w:rPr>
          <w:szCs w:val="22"/>
        </w:rPr>
        <w:t xml:space="preserve"> k</w:t>
      </w:r>
      <w:r w:rsidRPr="0080572E">
        <w:rPr>
          <w:szCs w:val="22"/>
        </w:rPr>
        <w:t>unnen we de Vlaamse gam</w:t>
      </w:r>
      <w:r w:rsidR="00AC661D" w:rsidRPr="0080572E">
        <w:rPr>
          <w:szCs w:val="22"/>
        </w:rPr>
        <w:t>e</w:t>
      </w:r>
      <w:r w:rsidRPr="0080572E">
        <w:rPr>
          <w:szCs w:val="22"/>
        </w:rPr>
        <w:t xml:space="preserve">markt inschatten op </w:t>
      </w:r>
      <w:r w:rsidRPr="0080572E">
        <w:rPr>
          <w:b/>
          <w:szCs w:val="22"/>
        </w:rPr>
        <w:t>€ 148,2 miljoen</w:t>
      </w:r>
      <w:r w:rsidRPr="0080572E">
        <w:rPr>
          <w:szCs w:val="22"/>
        </w:rPr>
        <w:t xml:space="preserve"> voor het jaar 2008. Het betreft hier echter de omzet van de </w:t>
      </w:r>
      <w:r w:rsidR="00AC661D" w:rsidRPr="0080572E">
        <w:rPr>
          <w:szCs w:val="22"/>
        </w:rPr>
        <w:t>gamemarkt</w:t>
      </w:r>
      <w:r w:rsidRPr="0080572E">
        <w:rPr>
          <w:szCs w:val="22"/>
        </w:rPr>
        <w:t xml:space="preserve"> aan retailwaarde dus niet de omzet die gegenereerd wordt door de uitgevers.</w:t>
      </w:r>
    </w:p>
    <w:p w:rsidR="00E91B2D" w:rsidRPr="0080572E" w:rsidRDefault="00E91B2D" w:rsidP="00C53E4B">
      <w:pPr>
        <w:pStyle w:val="StandaardSV"/>
        <w:ind w:left="360"/>
        <w:rPr>
          <w:szCs w:val="22"/>
        </w:rPr>
      </w:pPr>
    </w:p>
    <w:p w:rsidR="0008539A" w:rsidRPr="0080572E" w:rsidRDefault="009C245A" w:rsidP="00C53E4B">
      <w:pPr>
        <w:pStyle w:val="StandaardSV"/>
        <w:ind w:left="360"/>
        <w:rPr>
          <w:szCs w:val="22"/>
        </w:rPr>
      </w:pPr>
      <w:r w:rsidRPr="0080572E">
        <w:rPr>
          <w:szCs w:val="22"/>
        </w:rPr>
        <w:t xml:space="preserve">Zoals reeds aangegeven, is de </w:t>
      </w:r>
      <w:proofErr w:type="spellStart"/>
      <w:r w:rsidRPr="0080572E">
        <w:rPr>
          <w:szCs w:val="22"/>
        </w:rPr>
        <w:t>gaming</w:t>
      </w:r>
      <w:proofErr w:type="spellEnd"/>
      <w:r w:rsidRPr="0080572E">
        <w:rPr>
          <w:szCs w:val="22"/>
        </w:rPr>
        <w:t xml:space="preserve"> sector slecht </w:t>
      </w:r>
      <w:r w:rsidR="00C825D7">
        <w:rPr>
          <w:szCs w:val="22"/>
        </w:rPr>
        <w:t>ge</w:t>
      </w:r>
      <w:r w:rsidRPr="0080572E">
        <w:rPr>
          <w:szCs w:val="22"/>
        </w:rPr>
        <w:t>vat in NACE-codes, daarom werd de Gouden Gids geraadpleegd.</w:t>
      </w:r>
    </w:p>
    <w:p w:rsidR="00E91B2D" w:rsidRPr="0080572E" w:rsidRDefault="00E91B2D" w:rsidP="00C53E4B">
      <w:pPr>
        <w:pStyle w:val="StandaardSV"/>
        <w:ind w:left="360"/>
        <w:rPr>
          <w:szCs w:val="22"/>
        </w:rPr>
      </w:pPr>
    </w:p>
    <w:p w:rsidR="00AC661D" w:rsidRPr="0080572E" w:rsidRDefault="00AC661D" w:rsidP="00C53E4B">
      <w:pPr>
        <w:pStyle w:val="StandaardSV"/>
        <w:ind w:left="360"/>
        <w:rPr>
          <w:szCs w:val="22"/>
        </w:rPr>
      </w:pPr>
      <w:r w:rsidRPr="0080572E">
        <w:rPr>
          <w:szCs w:val="22"/>
        </w:rPr>
        <w:t xml:space="preserve">Vertrekkend van de verkooppunten opgelijst in de Gouden Gids </w:t>
      </w:r>
      <w:r w:rsidR="009C245A" w:rsidRPr="0080572E">
        <w:rPr>
          <w:szCs w:val="22"/>
        </w:rPr>
        <w:t xml:space="preserve">(Bel-First) </w:t>
      </w:r>
      <w:r w:rsidRPr="0080572E">
        <w:rPr>
          <w:szCs w:val="22"/>
        </w:rPr>
        <w:t>onder de rubriek “spelcomputers &amp; videospellen” vinden we een totaal van 59 entiteiten. Veruit de grootste speler is Game Mania (P.B. Projects) met een omzet van € 43,2 miljoen en 32 voltijds equivalenten in dienst. De basiscijfers zijn dan ook voor het grootste deel gebaseerd op de cijfers van P.B. Projects</w:t>
      </w:r>
      <w:r w:rsidR="009C245A" w:rsidRPr="0080572E">
        <w:rPr>
          <w:szCs w:val="22"/>
        </w:rPr>
        <w:t>:</w:t>
      </w:r>
    </w:p>
    <w:p w:rsidR="0008539A" w:rsidRPr="0080572E" w:rsidRDefault="0008539A" w:rsidP="00C53E4B">
      <w:pPr>
        <w:pStyle w:val="StandaardSV"/>
        <w:ind w:left="360"/>
        <w:rPr>
          <w:szCs w:val="22"/>
        </w:rPr>
      </w:pPr>
    </w:p>
    <w:tbl>
      <w:tblPr>
        <w:tblStyle w:val="Tabelraster"/>
        <w:tblW w:w="8748" w:type="dxa"/>
        <w:tblInd w:w="534" w:type="dxa"/>
        <w:tblLook w:val="04A0" w:firstRow="1" w:lastRow="0" w:firstColumn="1" w:lastColumn="0" w:noHBand="0" w:noVBand="1"/>
      </w:tblPr>
      <w:tblGrid>
        <w:gridCol w:w="1589"/>
        <w:gridCol w:w="1444"/>
        <w:gridCol w:w="2116"/>
        <w:gridCol w:w="1216"/>
        <w:gridCol w:w="2383"/>
      </w:tblGrid>
      <w:tr w:rsidR="00AC661D" w:rsidRPr="0080572E" w:rsidTr="00AD4D90">
        <w:tc>
          <w:tcPr>
            <w:tcW w:w="1589" w:type="dxa"/>
          </w:tcPr>
          <w:p w:rsidR="00AC661D" w:rsidRPr="0080572E" w:rsidRDefault="00AC661D" w:rsidP="00C53E4B">
            <w:pPr>
              <w:pStyle w:val="StandaardSV"/>
              <w:rPr>
                <w:b/>
                <w:sz w:val="20"/>
              </w:rPr>
            </w:pPr>
            <w:r w:rsidRPr="0080572E">
              <w:rPr>
                <w:b/>
                <w:sz w:val="20"/>
              </w:rPr>
              <w:t># Zelfstandigen</w:t>
            </w:r>
          </w:p>
        </w:tc>
        <w:tc>
          <w:tcPr>
            <w:tcW w:w="1444" w:type="dxa"/>
          </w:tcPr>
          <w:p w:rsidR="00AC661D" w:rsidRPr="0080572E" w:rsidRDefault="00AC661D" w:rsidP="00C53E4B">
            <w:pPr>
              <w:pStyle w:val="StandaardSV"/>
              <w:rPr>
                <w:b/>
                <w:sz w:val="20"/>
              </w:rPr>
            </w:pPr>
            <w:r w:rsidRPr="0080572E">
              <w:rPr>
                <w:b/>
                <w:sz w:val="20"/>
              </w:rPr>
              <w:t># Werkgevers</w:t>
            </w:r>
          </w:p>
        </w:tc>
        <w:tc>
          <w:tcPr>
            <w:tcW w:w="2116" w:type="dxa"/>
          </w:tcPr>
          <w:p w:rsidR="00AC661D" w:rsidRPr="0080572E" w:rsidRDefault="00AC661D" w:rsidP="00C53E4B">
            <w:pPr>
              <w:pStyle w:val="StandaardSV"/>
              <w:rPr>
                <w:b/>
                <w:sz w:val="20"/>
              </w:rPr>
            </w:pPr>
            <w:r w:rsidRPr="0080572E">
              <w:rPr>
                <w:b/>
                <w:sz w:val="20"/>
              </w:rPr>
              <w:t># Werknemers (VTE)</w:t>
            </w:r>
          </w:p>
        </w:tc>
        <w:tc>
          <w:tcPr>
            <w:tcW w:w="1216" w:type="dxa"/>
          </w:tcPr>
          <w:p w:rsidR="00AC661D" w:rsidRPr="0080572E" w:rsidRDefault="006214C5" w:rsidP="00C53E4B">
            <w:pPr>
              <w:pStyle w:val="StandaardSV"/>
              <w:rPr>
                <w:b/>
                <w:sz w:val="20"/>
              </w:rPr>
            </w:pPr>
            <w:r w:rsidRPr="0080572E">
              <w:rPr>
                <w:b/>
                <w:sz w:val="20"/>
              </w:rPr>
              <w:t xml:space="preserve">Omzet </w:t>
            </w:r>
            <w:r w:rsidR="00AC661D" w:rsidRPr="0080572E">
              <w:rPr>
                <w:b/>
                <w:sz w:val="20"/>
              </w:rPr>
              <w:t>(€)</w:t>
            </w:r>
          </w:p>
        </w:tc>
        <w:tc>
          <w:tcPr>
            <w:tcW w:w="2383" w:type="dxa"/>
          </w:tcPr>
          <w:p w:rsidR="00AC661D" w:rsidRPr="0080572E" w:rsidRDefault="00AC661D" w:rsidP="00C53E4B">
            <w:pPr>
              <w:pStyle w:val="StandaardSV"/>
              <w:rPr>
                <w:b/>
                <w:sz w:val="20"/>
              </w:rPr>
            </w:pPr>
            <w:r w:rsidRPr="0080572E">
              <w:rPr>
                <w:b/>
                <w:sz w:val="20"/>
              </w:rPr>
              <w:t>Toegevoegde waarde (€)</w:t>
            </w:r>
          </w:p>
        </w:tc>
      </w:tr>
      <w:tr w:rsidR="00AC661D" w:rsidRPr="0080572E" w:rsidTr="00AD4D90">
        <w:tc>
          <w:tcPr>
            <w:tcW w:w="1589" w:type="dxa"/>
          </w:tcPr>
          <w:p w:rsidR="00AC661D" w:rsidRPr="0080572E" w:rsidRDefault="00AC661D" w:rsidP="00C53E4B">
            <w:pPr>
              <w:pStyle w:val="StandaardSV"/>
              <w:rPr>
                <w:sz w:val="20"/>
              </w:rPr>
            </w:pPr>
            <w:r w:rsidRPr="0080572E">
              <w:rPr>
                <w:sz w:val="20"/>
              </w:rPr>
              <w:t>-</w:t>
            </w:r>
          </w:p>
        </w:tc>
        <w:tc>
          <w:tcPr>
            <w:tcW w:w="1444" w:type="dxa"/>
          </w:tcPr>
          <w:p w:rsidR="00AC661D" w:rsidRPr="0080572E" w:rsidRDefault="00AC661D" w:rsidP="00C53E4B">
            <w:pPr>
              <w:pStyle w:val="StandaardSV"/>
              <w:rPr>
                <w:sz w:val="20"/>
              </w:rPr>
            </w:pPr>
            <w:r w:rsidRPr="0080572E">
              <w:rPr>
                <w:sz w:val="20"/>
              </w:rPr>
              <w:t>59</w:t>
            </w:r>
          </w:p>
        </w:tc>
        <w:tc>
          <w:tcPr>
            <w:tcW w:w="2116" w:type="dxa"/>
          </w:tcPr>
          <w:p w:rsidR="00AC661D" w:rsidRPr="0080572E" w:rsidRDefault="00AC661D" w:rsidP="00C53E4B">
            <w:pPr>
              <w:pStyle w:val="StandaardSV"/>
              <w:rPr>
                <w:sz w:val="20"/>
              </w:rPr>
            </w:pPr>
            <w:r w:rsidRPr="0080572E">
              <w:rPr>
                <w:sz w:val="20"/>
              </w:rPr>
              <w:t>40</w:t>
            </w:r>
          </w:p>
        </w:tc>
        <w:tc>
          <w:tcPr>
            <w:tcW w:w="1216" w:type="dxa"/>
          </w:tcPr>
          <w:p w:rsidR="00AC661D" w:rsidRPr="0080572E" w:rsidRDefault="00AC661D" w:rsidP="00C53E4B">
            <w:pPr>
              <w:pStyle w:val="StandaardSV"/>
              <w:rPr>
                <w:sz w:val="20"/>
              </w:rPr>
            </w:pPr>
            <w:r w:rsidRPr="0080572E">
              <w:rPr>
                <w:sz w:val="20"/>
              </w:rPr>
              <w:t>43.665.000</w:t>
            </w:r>
          </w:p>
        </w:tc>
        <w:tc>
          <w:tcPr>
            <w:tcW w:w="2383" w:type="dxa"/>
          </w:tcPr>
          <w:p w:rsidR="00AC661D" w:rsidRPr="0080572E" w:rsidRDefault="00AC661D" w:rsidP="00C53E4B">
            <w:pPr>
              <w:pStyle w:val="StandaardSV"/>
              <w:rPr>
                <w:sz w:val="20"/>
              </w:rPr>
            </w:pPr>
            <w:r w:rsidRPr="0080572E">
              <w:rPr>
                <w:sz w:val="20"/>
              </w:rPr>
              <w:t>4.122.000</w:t>
            </w:r>
          </w:p>
        </w:tc>
      </w:tr>
    </w:tbl>
    <w:p w:rsidR="00AC661D" w:rsidRPr="0080572E" w:rsidRDefault="00AC661D" w:rsidP="00C53E4B">
      <w:pPr>
        <w:pStyle w:val="StandaardSV"/>
        <w:ind w:left="360"/>
        <w:rPr>
          <w:szCs w:val="22"/>
        </w:rPr>
      </w:pPr>
    </w:p>
    <w:p w:rsidR="00AC661D" w:rsidRPr="0080572E" w:rsidRDefault="00AC661D" w:rsidP="00C53E4B">
      <w:pPr>
        <w:pStyle w:val="StandaardSV"/>
        <w:ind w:left="360"/>
        <w:rPr>
          <w:szCs w:val="22"/>
        </w:rPr>
      </w:pPr>
      <w:r w:rsidRPr="0080572E">
        <w:rPr>
          <w:szCs w:val="22"/>
        </w:rPr>
        <w:t>Het aantal werknemers, de omzet en de toegevoegde waarde worden niet voor alle 59 bedrijven gerapporteerd door Bel-First</w:t>
      </w:r>
      <w:r w:rsidR="00ED6034" w:rsidRPr="0080572E">
        <w:rPr>
          <w:szCs w:val="22"/>
        </w:rPr>
        <w:t>:</w:t>
      </w:r>
    </w:p>
    <w:p w:rsidR="00AC661D" w:rsidRPr="0080572E" w:rsidRDefault="00AC661D" w:rsidP="00C53E4B">
      <w:pPr>
        <w:pStyle w:val="StandaardSV"/>
        <w:ind w:left="360"/>
        <w:rPr>
          <w:szCs w:val="22"/>
        </w:rPr>
      </w:pPr>
    </w:p>
    <w:tbl>
      <w:tblPr>
        <w:tblStyle w:val="Tabelraster"/>
        <w:tblW w:w="0" w:type="auto"/>
        <w:tblInd w:w="534" w:type="dxa"/>
        <w:tblLook w:val="04A0" w:firstRow="1" w:lastRow="0" w:firstColumn="1" w:lastColumn="0" w:noHBand="0" w:noVBand="1"/>
      </w:tblPr>
      <w:tblGrid>
        <w:gridCol w:w="2031"/>
        <w:gridCol w:w="1776"/>
      </w:tblGrid>
      <w:tr w:rsidR="00ED6034" w:rsidRPr="0080572E" w:rsidTr="00ED6034">
        <w:tc>
          <w:tcPr>
            <w:tcW w:w="2031" w:type="dxa"/>
          </w:tcPr>
          <w:p w:rsidR="00ED6034" w:rsidRPr="0080572E" w:rsidRDefault="00ED6034" w:rsidP="00C53E4B">
            <w:pPr>
              <w:pStyle w:val="StandaardSV"/>
              <w:rPr>
                <w:szCs w:val="22"/>
              </w:rPr>
            </w:pPr>
            <w:r w:rsidRPr="0080572E">
              <w:rPr>
                <w:b/>
                <w:bCs/>
                <w:sz w:val="20"/>
              </w:rPr>
              <w:t>Variabele</w:t>
            </w:r>
          </w:p>
        </w:tc>
        <w:tc>
          <w:tcPr>
            <w:tcW w:w="1776" w:type="dxa"/>
          </w:tcPr>
          <w:p w:rsidR="00ED6034" w:rsidRPr="0080572E" w:rsidRDefault="00ED6034" w:rsidP="00C53E4B">
            <w:pPr>
              <w:pStyle w:val="StandaardSV"/>
              <w:rPr>
                <w:szCs w:val="22"/>
              </w:rPr>
            </w:pPr>
            <w:r w:rsidRPr="0080572E">
              <w:rPr>
                <w:b/>
                <w:bCs/>
                <w:sz w:val="20"/>
              </w:rPr>
              <w:t>Aantal bedrijven</w:t>
            </w:r>
          </w:p>
        </w:tc>
      </w:tr>
      <w:tr w:rsidR="00ED6034" w:rsidRPr="0080572E" w:rsidTr="00ED6034">
        <w:tc>
          <w:tcPr>
            <w:tcW w:w="2031" w:type="dxa"/>
          </w:tcPr>
          <w:p w:rsidR="00ED6034" w:rsidRPr="0080572E" w:rsidRDefault="00ED6034" w:rsidP="00C53E4B">
            <w:pPr>
              <w:pStyle w:val="StandaardSV"/>
              <w:rPr>
                <w:szCs w:val="22"/>
              </w:rPr>
            </w:pPr>
            <w:r w:rsidRPr="0080572E">
              <w:rPr>
                <w:sz w:val="20"/>
              </w:rPr>
              <w:t>Werknemers</w:t>
            </w:r>
          </w:p>
        </w:tc>
        <w:tc>
          <w:tcPr>
            <w:tcW w:w="1776" w:type="dxa"/>
          </w:tcPr>
          <w:p w:rsidR="00ED6034" w:rsidRPr="0080572E" w:rsidRDefault="00ED6034" w:rsidP="00C53E4B">
            <w:pPr>
              <w:pStyle w:val="StandaardSV"/>
              <w:rPr>
                <w:szCs w:val="22"/>
              </w:rPr>
            </w:pPr>
            <w:r w:rsidRPr="0080572E">
              <w:rPr>
                <w:szCs w:val="22"/>
              </w:rPr>
              <w:t>4</w:t>
            </w:r>
          </w:p>
        </w:tc>
      </w:tr>
      <w:tr w:rsidR="00ED6034" w:rsidRPr="0080572E" w:rsidTr="00ED6034">
        <w:tc>
          <w:tcPr>
            <w:tcW w:w="2031" w:type="dxa"/>
          </w:tcPr>
          <w:p w:rsidR="00ED6034" w:rsidRPr="0080572E" w:rsidRDefault="00ED6034" w:rsidP="00C53E4B">
            <w:pPr>
              <w:pStyle w:val="StandaardSV"/>
              <w:rPr>
                <w:szCs w:val="22"/>
              </w:rPr>
            </w:pPr>
            <w:r w:rsidRPr="0080572E">
              <w:rPr>
                <w:sz w:val="20"/>
              </w:rPr>
              <w:t>Omzet</w:t>
            </w:r>
          </w:p>
        </w:tc>
        <w:tc>
          <w:tcPr>
            <w:tcW w:w="1776" w:type="dxa"/>
          </w:tcPr>
          <w:p w:rsidR="00ED6034" w:rsidRPr="0080572E" w:rsidRDefault="00ED6034" w:rsidP="00C53E4B">
            <w:pPr>
              <w:pStyle w:val="StandaardSV"/>
              <w:rPr>
                <w:szCs w:val="22"/>
              </w:rPr>
            </w:pPr>
            <w:r w:rsidRPr="0080572E">
              <w:rPr>
                <w:szCs w:val="22"/>
              </w:rPr>
              <w:t>4</w:t>
            </w:r>
          </w:p>
        </w:tc>
      </w:tr>
      <w:tr w:rsidR="00ED6034" w:rsidRPr="0080572E" w:rsidTr="00ED6034">
        <w:tc>
          <w:tcPr>
            <w:tcW w:w="2031" w:type="dxa"/>
          </w:tcPr>
          <w:p w:rsidR="00ED6034" w:rsidRPr="0080572E" w:rsidRDefault="00ED6034" w:rsidP="00C53E4B">
            <w:pPr>
              <w:pStyle w:val="StandaardSV"/>
              <w:rPr>
                <w:szCs w:val="22"/>
              </w:rPr>
            </w:pPr>
            <w:r w:rsidRPr="0080572E">
              <w:rPr>
                <w:sz w:val="20"/>
              </w:rPr>
              <w:t>Toegevoegde waarde</w:t>
            </w:r>
          </w:p>
        </w:tc>
        <w:tc>
          <w:tcPr>
            <w:tcW w:w="1776" w:type="dxa"/>
          </w:tcPr>
          <w:p w:rsidR="00ED6034" w:rsidRPr="0080572E" w:rsidRDefault="00ED6034" w:rsidP="00C53E4B">
            <w:pPr>
              <w:pStyle w:val="StandaardSV"/>
              <w:rPr>
                <w:szCs w:val="22"/>
              </w:rPr>
            </w:pPr>
            <w:r w:rsidRPr="0080572E">
              <w:rPr>
                <w:szCs w:val="22"/>
              </w:rPr>
              <w:t>10</w:t>
            </w:r>
          </w:p>
        </w:tc>
      </w:tr>
    </w:tbl>
    <w:p w:rsidR="00AC661D" w:rsidRPr="0080572E" w:rsidRDefault="00AC661D" w:rsidP="00C53E4B">
      <w:pPr>
        <w:pStyle w:val="StandaardSV"/>
        <w:ind w:left="360"/>
        <w:rPr>
          <w:szCs w:val="22"/>
        </w:rPr>
      </w:pPr>
    </w:p>
    <w:p w:rsidR="00AC661D" w:rsidRPr="0080572E" w:rsidRDefault="00ED6034" w:rsidP="00C53E4B">
      <w:pPr>
        <w:pStyle w:val="StandaardSV"/>
        <w:ind w:left="360"/>
        <w:rPr>
          <w:szCs w:val="22"/>
        </w:rPr>
      </w:pPr>
      <w:r w:rsidRPr="0080572E">
        <w:rPr>
          <w:szCs w:val="22"/>
        </w:rPr>
        <w:t>De totale omzet van de detailhandel is echter gekend: € 148.200.000.</w:t>
      </w:r>
    </w:p>
    <w:p w:rsidR="00ED6034" w:rsidRPr="0080572E" w:rsidRDefault="00ED6034" w:rsidP="00C53E4B">
      <w:pPr>
        <w:pStyle w:val="StandaardSV"/>
        <w:ind w:left="360"/>
        <w:rPr>
          <w:szCs w:val="22"/>
        </w:rPr>
      </w:pPr>
    </w:p>
    <w:tbl>
      <w:tblPr>
        <w:tblStyle w:val="Tabelraster"/>
        <w:tblW w:w="8748" w:type="dxa"/>
        <w:tblInd w:w="534" w:type="dxa"/>
        <w:tblLook w:val="04A0" w:firstRow="1" w:lastRow="0" w:firstColumn="1" w:lastColumn="0" w:noHBand="0" w:noVBand="1"/>
      </w:tblPr>
      <w:tblGrid>
        <w:gridCol w:w="1589"/>
        <w:gridCol w:w="1444"/>
        <w:gridCol w:w="2116"/>
        <w:gridCol w:w="1216"/>
        <w:gridCol w:w="2383"/>
      </w:tblGrid>
      <w:tr w:rsidR="00ED6034" w:rsidRPr="0080572E" w:rsidTr="00AD4D90">
        <w:tc>
          <w:tcPr>
            <w:tcW w:w="1589" w:type="dxa"/>
          </w:tcPr>
          <w:p w:rsidR="00ED6034" w:rsidRPr="0080572E" w:rsidRDefault="00ED6034" w:rsidP="00C53E4B">
            <w:pPr>
              <w:pStyle w:val="StandaardSV"/>
              <w:rPr>
                <w:b/>
                <w:sz w:val="20"/>
              </w:rPr>
            </w:pPr>
            <w:r w:rsidRPr="0080572E">
              <w:rPr>
                <w:b/>
                <w:sz w:val="20"/>
              </w:rPr>
              <w:t># Zelfstandigen</w:t>
            </w:r>
          </w:p>
        </w:tc>
        <w:tc>
          <w:tcPr>
            <w:tcW w:w="1444" w:type="dxa"/>
          </w:tcPr>
          <w:p w:rsidR="00ED6034" w:rsidRPr="0080572E" w:rsidRDefault="00ED6034" w:rsidP="00C53E4B">
            <w:pPr>
              <w:pStyle w:val="StandaardSV"/>
              <w:rPr>
                <w:b/>
                <w:sz w:val="20"/>
              </w:rPr>
            </w:pPr>
            <w:r w:rsidRPr="0080572E">
              <w:rPr>
                <w:b/>
                <w:sz w:val="20"/>
              </w:rPr>
              <w:t># Werkgevers</w:t>
            </w:r>
          </w:p>
        </w:tc>
        <w:tc>
          <w:tcPr>
            <w:tcW w:w="2116" w:type="dxa"/>
          </w:tcPr>
          <w:p w:rsidR="00ED6034" w:rsidRPr="0080572E" w:rsidRDefault="00ED6034" w:rsidP="00C53E4B">
            <w:pPr>
              <w:pStyle w:val="StandaardSV"/>
              <w:rPr>
                <w:b/>
                <w:sz w:val="20"/>
              </w:rPr>
            </w:pPr>
            <w:r w:rsidRPr="0080572E">
              <w:rPr>
                <w:b/>
                <w:sz w:val="20"/>
              </w:rPr>
              <w:t># Werknemers (VTE)</w:t>
            </w:r>
          </w:p>
        </w:tc>
        <w:tc>
          <w:tcPr>
            <w:tcW w:w="1216" w:type="dxa"/>
          </w:tcPr>
          <w:p w:rsidR="00ED6034" w:rsidRPr="0080572E" w:rsidRDefault="006214C5" w:rsidP="00C53E4B">
            <w:pPr>
              <w:pStyle w:val="StandaardSV"/>
              <w:rPr>
                <w:b/>
                <w:sz w:val="20"/>
              </w:rPr>
            </w:pPr>
            <w:r w:rsidRPr="0080572E">
              <w:rPr>
                <w:b/>
                <w:sz w:val="20"/>
              </w:rPr>
              <w:t xml:space="preserve">Omzet </w:t>
            </w:r>
            <w:r w:rsidR="00ED6034" w:rsidRPr="0080572E">
              <w:rPr>
                <w:b/>
                <w:sz w:val="20"/>
              </w:rPr>
              <w:t>(€)</w:t>
            </w:r>
          </w:p>
        </w:tc>
        <w:tc>
          <w:tcPr>
            <w:tcW w:w="2383" w:type="dxa"/>
          </w:tcPr>
          <w:p w:rsidR="00ED6034" w:rsidRPr="0080572E" w:rsidRDefault="00ED6034" w:rsidP="00C53E4B">
            <w:pPr>
              <w:pStyle w:val="StandaardSV"/>
              <w:rPr>
                <w:b/>
                <w:sz w:val="20"/>
              </w:rPr>
            </w:pPr>
            <w:r w:rsidRPr="0080572E">
              <w:rPr>
                <w:b/>
                <w:sz w:val="20"/>
              </w:rPr>
              <w:t>Toegevoegde waarde (€)</w:t>
            </w:r>
          </w:p>
        </w:tc>
      </w:tr>
      <w:tr w:rsidR="00ED6034" w:rsidRPr="0080572E" w:rsidTr="00AD4D90">
        <w:tc>
          <w:tcPr>
            <w:tcW w:w="1589" w:type="dxa"/>
          </w:tcPr>
          <w:p w:rsidR="00ED6034" w:rsidRPr="0080572E" w:rsidRDefault="00ED6034" w:rsidP="00C53E4B">
            <w:pPr>
              <w:pStyle w:val="StandaardSV"/>
              <w:rPr>
                <w:sz w:val="20"/>
              </w:rPr>
            </w:pPr>
            <w:r w:rsidRPr="0080572E">
              <w:rPr>
                <w:sz w:val="20"/>
              </w:rPr>
              <w:t>55</w:t>
            </w:r>
          </w:p>
        </w:tc>
        <w:tc>
          <w:tcPr>
            <w:tcW w:w="1444" w:type="dxa"/>
          </w:tcPr>
          <w:p w:rsidR="00ED6034" w:rsidRPr="0080572E" w:rsidRDefault="00ED6034" w:rsidP="00C53E4B">
            <w:pPr>
              <w:pStyle w:val="StandaardSV"/>
              <w:rPr>
                <w:sz w:val="20"/>
              </w:rPr>
            </w:pPr>
            <w:r w:rsidRPr="0080572E">
              <w:rPr>
                <w:sz w:val="20"/>
              </w:rPr>
              <w:t>4</w:t>
            </w:r>
          </w:p>
        </w:tc>
        <w:tc>
          <w:tcPr>
            <w:tcW w:w="2116" w:type="dxa"/>
          </w:tcPr>
          <w:p w:rsidR="00ED6034" w:rsidRPr="0080572E" w:rsidRDefault="00ED6034" w:rsidP="00C53E4B">
            <w:pPr>
              <w:pStyle w:val="StandaardSV"/>
              <w:rPr>
                <w:sz w:val="20"/>
              </w:rPr>
            </w:pPr>
            <w:r w:rsidRPr="0080572E">
              <w:rPr>
                <w:sz w:val="20"/>
              </w:rPr>
              <w:t>40</w:t>
            </w:r>
          </w:p>
        </w:tc>
        <w:tc>
          <w:tcPr>
            <w:tcW w:w="1216" w:type="dxa"/>
          </w:tcPr>
          <w:p w:rsidR="00ED6034" w:rsidRPr="0080572E" w:rsidRDefault="00ED6034" w:rsidP="00C53E4B">
            <w:pPr>
              <w:pStyle w:val="StandaardSV"/>
              <w:rPr>
                <w:sz w:val="20"/>
              </w:rPr>
            </w:pPr>
            <w:r w:rsidRPr="0080572E">
              <w:rPr>
                <w:sz w:val="20"/>
              </w:rPr>
              <w:t>148.200.000</w:t>
            </w:r>
          </w:p>
        </w:tc>
        <w:tc>
          <w:tcPr>
            <w:tcW w:w="2383" w:type="dxa"/>
          </w:tcPr>
          <w:p w:rsidR="00ED6034" w:rsidRPr="0080572E" w:rsidRDefault="00ED6034" w:rsidP="00C53E4B">
            <w:pPr>
              <w:pStyle w:val="StandaardSV"/>
              <w:rPr>
                <w:sz w:val="20"/>
              </w:rPr>
            </w:pPr>
            <w:r w:rsidRPr="0080572E">
              <w:rPr>
                <w:sz w:val="20"/>
              </w:rPr>
              <w:t>16.514.272</w:t>
            </w:r>
          </w:p>
        </w:tc>
      </w:tr>
    </w:tbl>
    <w:p w:rsidR="00ED6034" w:rsidRPr="0080572E" w:rsidRDefault="009C245A" w:rsidP="00C53E4B">
      <w:pPr>
        <w:pStyle w:val="StandaardSV"/>
        <w:ind w:left="360"/>
        <w:rPr>
          <w:sz w:val="18"/>
          <w:szCs w:val="18"/>
        </w:rPr>
      </w:pPr>
      <w:r w:rsidRPr="0080572E">
        <w:rPr>
          <w:sz w:val="18"/>
          <w:szCs w:val="18"/>
        </w:rPr>
        <w:t xml:space="preserve"> Bron: Gouden Gids, Bel-First, Belgian Entertainment Association, Flanders DC – Antwerp Management School Kenniscentrum</w:t>
      </w:r>
    </w:p>
    <w:p w:rsidR="009C245A" w:rsidRPr="0080572E" w:rsidRDefault="009C245A" w:rsidP="00C53E4B">
      <w:pPr>
        <w:pStyle w:val="StandaardSV"/>
        <w:ind w:left="360"/>
        <w:rPr>
          <w:szCs w:val="22"/>
        </w:rPr>
      </w:pPr>
    </w:p>
    <w:p w:rsidR="00ED6034" w:rsidRPr="0080572E" w:rsidRDefault="00ED6034" w:rsidP="00C53E4B">
      <w:pPr>
        <w:pStyle w:val="StandaardSV"/>
        <w:ind w:left="360"/>
        <w:rPr>
          <w:szCs w:val="22"/>
        </w:rPr>
      </w:pPr>
      <w:r w:rsidRPr="0080572E">
        <w:rPr>
          <w:szCs w:val="22"/>
        </w:rPr>
        <w:t>Hierbij moet worden opgemerkt dat het retailkanaal van gespecialiseerde gameshops slechts tot één van de verschillende kanalen behoort. Naast in gespecialiseerde zaken worden games eveneens verkocht in grootwarenhuizen, speelgoedwinkels, multimedia stores (bvb. Fnac, Mediamarkt) en online of via mobiele applicaties.</w:t>
      </w:r>
    </w:p>
    <w:p w:rsidR="00ED6034" w:rsidRPr="0080572E" w:rsidRDefault="00ED6034" w:rsidP="00C53E4B">
      <w:pPr>
        <w:pStyle w:val="StandaardSV"/>
        <w:ind w:left="360"/>
        <w:rPr>
          <w:szCs w:val="22"/>
        </w:rPr>
      </w:pPr>
    </w:p>
    <w:p w:rsidR="00ED6034" w:rsidRPr="0080572E" w:rsidRDefault="00ED6034" w:rsidP="00C53E4B">
      <w:pPr>
        <w:pStyle w:val="StandaardSV"/>
        <w:ind w:left="360"/>
        <w:rPr>
          <w:szCs w:val="22"/>
        </w:rPr>
      </w:pPr>
      <w:r w:rsidRPr="0080572E">
        <w:rPr>
          <w:szCs w:val="22"/>
        </w:rPr>
        <w:t>De beschikbare gegevens voor de populatie gameshops is dermate gering dat extrapolaties niet gegrond doorgevoerd kunnen worden. Bovendien is er onvoldoende informatie voorhanden om de gameverkoop via andere kanalen gefundeerd in te schatten. Inzake totale omzet is de vermelde studie gebaseerd op de cijfers van de Belgian Entertainment Association. De andere variabelen kunnen met de huidige informatie niet ingeschat worden.</w:t>
      </w:r>
    </w:p>
    <w:p w:rsidR="00ED6034" w:rsidRPr="0080572E" w:rsidRDefault="00ED6034" w:rsidP="00C53E4B">
      <w:pPr>
        <w:pStyle w:val="StandaardSV"/>
        <w:ind w:left="360"/>
        <w:rPr>
          <w:szCs w:val="22"/>
        </w:rPr>
      </w:pPr>
    </w:p>
    <w:p w:rsidR="00ED6034" w:rsidRPr="0080572E" w:rsidRDefault="00ED6034" w:rsidP="00C53E4B">
      <w:pPr>
        <w:pStyle w:val="StandaardSV"/>
        <w:ind w:left="360"/>
        <w:rPr>
          <w:szCs w:val="22"/>
        </w:rPr>
      </w:pPr>
      <w:r w:rsidRPr="0080572E">
        <w:rPr>
          <w:szCs w:val="22"/>
        </w:rPr>
        <w:t>Sporadisch werden in de studie nog enkele andere cijfers gecapteerd in verband met de grootte van de gamesector in Vlaanderen en België:</w:t>
      </w:r>
    </w:p>
    <w:p w:rsidR="00ED6034" w:rsidRPr="0080572E" w:rsidRDefault="00ED6034" w:rsidP="00C53E4B">
      <w:pPr>
        <w:pStyle w:val="StandaardSV"/>
        <w:numPr>
          <w:ilvl w:val="0"/>
          <w:numId w:val="24"/>
        </w:numPr>
        <w:rPr>
          <w:szCs w:val="22"/>
        </w:rPr>
      </w:pPr>
      <w:r w:rsidRPr="0080572E">
        <w:rPr>
          <w:szCs w:val="22"/>
        </w:rPr>
        <w:t>gebaseerd op een onderzoek uitgevoerd door ScreenDigest publiceerde Trends in 2006 dat de gamesector in België goed is voor 4.000 jobs: 3.000 in de detailhandel, 500 bij uitgevers en distributeurs en 220 ontwikkelaars (Trends, 24/08/2006). Hetzelfde artikel geeft mee dat de sector een omzet draait van € 192 miljoen;</w:t>
      </w:r>
    </w:p>
    <w:p w:rsidR="00ED6034" w:rsidRPr="0080572E" w:rsidRDefault="00ED6034" w:rsidP="00C53E4B">
      <w:pPr>
        <w:pStyle w:val="StandaardSV"/>
        <w:numPr>
          <w:ilvl w:val="0"/>
          <w:numId w:val="24"/>
        </w:numPr>
        <w:rPr>
          <w:szCs w:val="22"/>
        </w:rPr>
      </w:pPr>
      <w:r w:rsidRPr="0080572E">
        <w:rPr>
          <w:szCs w:val="22"/>
        </w:rPr>
        <w:t xml:space="preserve">een andere bron schat de omzet van de gamesector in op € 150 miljoen aan games, met consoles bijgeteld meer dan € 200 miljoen (HoWest Technology Update </w:t>
      </w:r>
      <w:r w:rsidR="0081558A" w:rsidRPr="0080572E">
        <w:rPr>
          <w:szCs w:val="22"/>
        </w:rPr>
        <w:t>n° 3</w:t>
      </w:r>
      <w:r w:rsidRPr="0080572E">
        <w:rPr>
          <w:szCs w:val="22"/>
        </w:rPr>
        <w:t>, Feb 2008);</w:t>
      </w:r>
    </w:p>
    <w:p w:rsidR="00ED6034" w:rsidRPr="0080572E" w:rsidRDefault="00ED6034" w:rsidP="00C53E4B">
      <w:pPr>
        <w:pStyle w:val="Lijstalinea"/>
        <w:numPr>
          <w:ilvl w:val="0"/>
          <w:numId w:val="24"/>
        </w:numPr>
        <w:jc w:val="both"/>
        <w:rPr>
          <w:sz w:val="22"/>
          <w:szCs w:val="22"/>
        </w:rPr>
      </w:pPr>
      <w:r w:rsidRPr="0080572E">
        <w:rPr>
          <w:sz w:val="22"/>
          <w:szCs w:val="22"/>
        </w:rPr>
        <w:t>de Belgische hardwaremarkt voor games wordt door de Belgian Entertainment Association ingeschat op € 151,61 miljoen voor 2009.</w:t>
      </w:r>
    </w:p>
    <w:p w:rsidR="00927619" w:rsidRPr="0080572E" w:rsidRDefault="00927619" w:rsidP="00C53E4B">
      <w:pPr>
        <w:pStyle w:val="StandaardSV"/>
        <w:ind w:left="360"/>
        <w:rPr>
          <w:szCs w:val="22"/>
        </w:rPr>
      </w:pPr>
    </w:p>
    <w:p w:rsidR="005A4CDD" w:rsidRPr="0080572E" w:rsidRDefault="005A4CDD" w:rsidP="00C53E4B">
      <w:pPr>
        <w:pStyle w:val="StandaardSV"/>
        <w:numPr>
          <w:ilvl w:val="0"/>
          <w:numId w:val="22"/>
        </w:numPr>
        <w:rPr>
          <w:szCs w:val="22"/>
          <w:u w:val="single"/>
        </w:rPr>
      </w:pPr>
      <w:r w:rsidRPr="0080572E">
        <w:rPr>
          <w:szCs w:val="22"/>
          <w:u w:val="single"/>
        </w:rPr>
        <w:t>Agentschap voor Innovatie door Wetenschap en Technologie (IWT)</w:t>
      </w:r>
    </w:p>
    <w:p w:rsidR="005A4CDD" w:rsidRPr="0080572E" w:rsidRDefault="005A4CDD" w:rsidP="00C53E4B">
      <w:pPr>
        <w:pStyle w:val="StandaardSV"/>
        <w:ind w:left="360"/>
        <w:rPr>
          <w:szCs w:val="22"/>
        </w:rPr>
      </w:pPr>
    </w:p>
    <w:p w:rsidR="007A1CC0" w:rsidRPr="0080572E" w:rsidRDefault="007A1CC0" w:rsidP="00C53E4B">
      <w:pPr>
        <w:pStyle w:val="StandaardSV"/>
        <w:ind w:left="360"/>
        <w:rPr>
          <w:szCs w:val="22"/>
        </w:rPr>
      </w:pPr>
      <w:r w:rsidRPr="0080572E">
        <w:rPr>
          <w:szCs w:val="22"/>
        </w:rPr>
        <w:t xml:space="preserve">Alle programma’s van het IWT staan open voor innovatieprojecten binnen de Vlaamse gamesector of ten voordele ervan. Een overzicht van de door het IWT gesteunde projecten in de gamesector vindt u in </w:t>
      </w:r>
      <w:r w:rsidRPr="0080572E">
        <w:rPr>
          <w:szCs w:val="22"/>
          <w:u w:val="single"/>
        </w:rPr>
        <w:t>bijlage</w:t>
      </w:r>
      <w:r w:rsidRPr="0080572E">
        <w:rPr>
          <w:szCs w:val="22"/>
        </w:rPr>
        <w:t>. Daarnaast kan in deze context ook melding worden gemaakt van het project “Healseeker” van Flanders’ Care (</w:t>
      </w:r>
      <w:hyperlink r:id="rId13" w:history="1">
        <w:r w:rsidRPr="0080572E">
          <w:rPr>
            <w:rStyle w:val="Hyperlink"/>
            <w:szCs w:val="22"/>
          </w:rPr>
          <w:t>http://www.zitstil.be/nieuws/actualiteit/3569-03072012-healseeker-serious-game-voor-kinderen-met-adhd</w:t>
        </w:r>
      </w:hyperlink>
      <w:r w:rsidRPr="0080572E">
        <w:rPr>
          <w:szCs w:val="22"/>
        </w:rPr>
        <w:t xml:space="preserve">). </w:t>
      </w:r>
    </w:p>
    <w:p w:rsidR="007A1CC0" w:rsidRPr="0080572E" w:rsidRDefault="007A1CC0" w:rsidP="00C53E4B">
      <w:pPr>
        <w:pStyle w:val="StandaardSV"/>
        <w:ind w:left="360"/>
        <w:rPr>
          <w:szCs w:val="22"/>
        </w:rPr>
      </w:pPr>
    </w:p>
    <w:p w:rsidR="005A4CDD" w:rsidRPr="0080572E" w:rsidRDefault="005A4CDD" w:rsidP="00C53E4B">
      <w:pPr>
        <w:pStyle w:val="StandaardSV"/>
        <w:ind w:left="360"/>
        <w:rPr>
          <w:szCs w:val="22"/>
          <w:u w:val="single"/>
        </w:rPr>
      </w:pPr>
      <w:r w:rsidRPr="0080572E">
        <w:rPr>
          <w:szCs w:val="22"/>
          <w:u w:val="single"/>
        </w:rPr>
        <w:t>Agentschap Ondernemen</w:t>
      </w:r>
    </w:p>
    <w:p w:rsidR="005A4CDD" w:rsidRPr="0080572E" w:rsidRDefault="005A4CDD" w:rsidP="00C53E4B">
      <w:pPr>
        <w:pStyle w:val="StandaardSV"/>
        <w:ind w:left="360"/>
        <w:rPr>
          <w:szCs w:val="22"/>
        </w:rPr>
      </w:pPr>
    </w:p>
    <w:p w:rsidR="005A4CDD" w:rsidRPr="0080572E" w:rsidRDefault="005A4CDD" w:rsidP="00C53E4B">
      <w:pPr>
        <w:pStyle w:val="StandaardSV"/>
        <w:ind w:left="360"/>
        <w:rPr>
          <w:szCs w:val="22"/>
        </w:rPr>
      </w:pPr>
      <w:r w:rsidRPr="0080572E">
        <w:rPr>
          <w:szCs w:val="22"/>
        </w:rPr>
        <w:t xml:space="preserve">De Vlaamse Regering heeft in 2009 aan drie </w:t>
      </w:r>
      <w:r w:rsidR="0081558A" w:rsidRPr="0080572E">
        <w:rPr>
          <w:szCs w:val="22"/>
        </w:rPr>
        <w:t>game-</w:t>
      </w:r>
      <w:r w:rsidRPr="0080572E">
        <w:rPr>
          <w:szCs w:val="22"/>
        </w:rPr>
        <w:t>incubatiecentra een subsidie verstrekt van telkens 250.000 euro. Deze subsidies werden toegekend in het kader van de oproep voor de subsidiëring van gespecialiseerde bedrijvencentra volgens het Besluit van de Vlaamse Regering van 11 mei 2007.</w:t>
      </w:r>
    </w:p>
    <w:p w:rsidR="00993E61" w:rsidRPr="0080572E" w:rsidRDefault="00993E61" w:rsidP="00C53E4B">
      <w:pPr>
        <w:pStyle w:val="StandaardSV"/>
        <w:ind w:left="360"/>
        <w:rPr>
          <w:szCs w:val="22"/>
        </w:rPr>
      </w:pPr>
    </w:p>
    <w:p w:rsidR="005A4CDD" w:rsidRPr="0080572E" w:rsidRDefault="005A4CDD" w:rsidP="00C53E4B">
      <w:pPr>
        <w:pStyle w:val="StandaardSV"/>
        <w:ind w:left="360"/>
        <w:rPr>
          <w:szCs w:val="22"/>
        </w:rPr>
      </w:pPr>
      <w:r w:rsidRPr="0080572E">
        <w:rPr>
          <w:szCs w:val="22"/>
        </w:rPr>
        <w:t>Deze centra richten zich op starters die actief zijn in de gam</w:t>
      </w:r>
      <w:r w:rsidR="00993E61" w:rsidRPr="0080572E">
        <w:rPr>
          <w:szCs w:val="22"/>
        </w:rPr>
        <w:t>e</w:t>
      </w:r>
      <w:r w:rsidRPr="0080572E">
        <w:rPr>
          <w:szCs w:val="22"/>
        </w:rPr>
        <w:t>sector. Zij bieden naast professionele huisvesting en gemeenschappelijke ruimtes ook advies en ondersteuning aan de starters.</w:t>
      </w:r>
    </w:p>
    <w:p w:rsidR="00993E61" w:rsidRPr="0080572E" w:rsidRDefault="00993E61" w:rsidP="00C53E4B">
      <w:pPr>
        <w:pStyle w:val="StandaardSV"/>
        <w:ind w:left="360"/>
        <w:rPr>
          <w:szCs w:val="22"/>
        </w:rPr>
      </w:pPr>
    </w:p>
    <w:p w:rsidR="005A4CDD" w:rsidRPr="0080572E" w:rsidRDefault="005A4CDD" w:rsidP="00C53E4B">
      <w:pPr>
        <w:pStyle w:val="StandaardSV"/>
        <w:ind w:left="360"/>
        <w:rPr>
          <w:szCs w:val="22"/>
        </w:rPr>
      </w:pPr>
      <w:r w:rsidRPr="0080572E">
        <w:rPr>
          <w:szCs w:val="22"/>
        </w:rPr>
        <w:t xml:space="preserve">De subsidie is steun voor het optrekken en inrichten van de gebouwen, niet voor de eigenlijke personeelskosten van de begeleiding. </w:t>
      </w:r>
    </w:p>
    <w:p w:rsidR="005A4CDD" w:rsidRPr="0080572E" w:rsidRDefault="005A4CDD" w:rsidP="00C53E4B">
      <w:pPr>
        <w:pStyle w:val="StandaardSV"/>
        <w:ind w:left="360"/>
        <w:rPr>
          <w:szCs w:val="22"/>
        </w:rPr>
      </w:pPr>
    </w:p>
    <w:p w:rsidR="005A4CDD" w:rsidRPr="0080572E" w:rsidRDefault="005A4CDD" w:rsidP="00C53E4B">
      <w:pPr>
        <w:pStyle w:val="StandaardSV"/>
        <w:ind w:left="360"/>
        <w:rPr>
          <w:szCs w:val="22"/>
        </w:rPr>
      </w:pPr>
      <w:r w:rsidRPr="0080572E">
        <w:rPr>
          <w:szCs w:val="22"/>
        </w:rPr>
        <w:t>De drie gesteunde projecten waren:</w:t>
      </w:r>
    </w:p>
    <w:p w:rsidR="005A4CDD" w:rsidRPr="0080572E" w:rsidRDefault="005A4CDD" w:rsidP="00C53E4B">
      <w:pPr>
        <w:pStyle w:val="StandaardSV"/>
        <w:numPr>
          <w:ilvl w:val="0"/>
          <w:numId w:val="24"/>
        </w:numPr>
        <w:rPr>
          <w:szCs w:val="22"/>
        </w:rPr>
      </w:pPr>
      <w:r w:rsidRPr="0080572E">
        <w:rPr>
          <w:szCs w:val="22"/>
        </w:rPr>
        <w:t>Howest Game Accelerator in Kortrijk (The Studios)</w:t>
      </w:r>
      <w:r w:rsidR="0081558A" w:rsidRPr="0080572E">
        <w:rPr>
          <w:szCs w:val="22"/>
        </w:rPr>
        <w:t>;</w:t>
      </w:r>
    </w:p>
    <w:p w:rsidR="005A4CDD" w:rsidRPr="0080572E" w:rsidRDefault="005A4CDD" w:rsidP="00C53E4B">
      <w:pPr>
        <w:pStyle w:val="StandaardSV"/>
        <w:numPr>
          <w:ilvl w:val="0"/>
          <w:numId w:val="24"/>
        </w:numPr>
        <w:rPr>
          <w:szCs w:val="22"/>
          <w:lang w:val="en-US"/>
        </w:rPr>
      </w:pPr>
      <w:r w:rsidRPr="0080572E">
        <w:rPr>
          <w:szCs w:val="22"/>
          <w:lang w:val="en-US"/>
        </w:rPr>
        <w:t>Gaming Incubator Creative Minds in Leuven</w:t>
      </w:r>
      <w:r w:rsidR="0081558A" w:rsidRPr="0080572E">
        <w:rPr>
          <w:szCs w:val="22"/>
          <w:lang w:val="en-US"/>
        </w:rPr>
        <w:t>;</w:t>
      </w:r>
    </w:p>
    <w:p w:rsidR="005A4CDD" w:rsidRPr="0080572E" w:rsidRDefault="005A4CDD" w:rsidP="00C53E4B">
      <w:pPr>
        <w:pStyle w:val="StandaardSV"/>
        <w:numPr>
          <w:ilvl w:val="0"/>
          <w:numId w:val="24"/>
        </w:numPr>
        <w:rPr>
          <w:szCs w:val="22"/>
        </w:rPr>
      </w:pPr>
      <w:r w:rsidRPr="0080572E">
        <w:rPr>
          <w:szCs w:val="22"/>
        </w:rPr>
        <w:t>Incubator Creatieve economie en gaming in Genk (C-mine)</w:t>
      </w:r>
      <w:r w:rsidR="0081558A" w:rsidRPr="0080572E">
        <w:rPr>
          <w:szCs w:val="22"/>
        </w:rPr>
        <w:t>.</w:t>
      </w:r>
    </w:p>
    <w:p w:rsidR="005A4CDD" w:rsidRPr="0080572E" w:rsidRDefault="005A4CDD" w:rsidP="00C53E4B">
      <w:pPr>
        <w:pStyle w:val="StandaardSV"/>
        <w:ind w:left="360"/>
        <w:rPr>
          <w:szCs w:val="22"/>
        </w:rPr>
      </w:pPr>
    </w:p>
    <w:p w:rsidR="005A4CDD" w:rsidRPr="0080572E" w:rsidRDefault="005A4CDD" w:rsidP="00C53E4B">
      <w:pPr>
        <w:pStyle w:val="StandaardSV"/>
        <w:ind w:left="360"/>
        <w:rPr>
          <w:szCs w:val="22"/>
        </w:rPr>
      </w:pPr>
      <w:r w:rsidRPr="0080572E">
        <w:rPr>
          <w:szCs w:val="22"/>
        </w:rPr>
        <w:t xml:space="preserve">Aan de drie </w:t>
      </w:r>
      <w:r w:rsidR="00993E61" w:rsidRPr="0080572E">
        <w:rPr>
          <w:szCs w:val="22"/>
        </w:rPr>
        <w:t>game-</w:t>
      </w:r>
      <w:r w:rsidRPr="0080572E">
        <w:rPr>
          <w:szCs w:val="22"/>
        </w:rPr>
        <w:t>incubatoren werd wel als voorwaarde gesteld dat zij moesten samenwerken en hun ervaringen delen.</w:t>
      </w:r>
    </w:p>
    <w:p w:rsidR="00487DEC" w:rsidRPr="0080572E" w:rsidRDefault="00487DEC" w:rsidP="00C53E4B">
      <w:pPr>
        <w:pStyle w:val="StandaardSV"/>
        <w:ind w:left="360"/>
        <w:rPr>
          <w:szCs w:val="22"/>
        </w:rPr>
      </w:pPr>
    </w:p>
    <w:p w:rsidR="00487DEC" w:rsidRPr="0080572E" w:rsidRDefault="00487DEC" w:rsidP="00C53E4B">
      <w:pPr>
        <w:pStyle w:val="StandaardSV"/>
        <w:ind w:left="360"/>
        <w:rPr>
          <w:szCs w:val="22"/>
          <w:u w:val="single"/>
        </w:rPr>
      </w:pPr>
      <w:r w:rsidRPr="0080572E">
        <w:rPr>
          <w:szCs w:val="22"/>
          <w:u w:val="single"/>
        </w:rPr>
        <w:t>IBBT</w:t>
      </w:r>
    </w:p>
    <w:p w:rsidR="00CE62FA" w:rsidRPr="0080572E" w:rsidRDefault="00CE62FA" w:rsidP="00C53E4B">
      <w:pPr>
        <w:pStyle w:val="StandaardSV"/>
        <w:ind w:left="360"/>
        <w:rPr>
          <w:szCs w:val="22"/>
        </w:rPr>
      </w:pPr>
    </w:p>
    <w:p w:rsidR="00447957" w:rsidRPr="0080572E" w:rsidRDefault="00447957" w:rsidP="00C53E4B">
      <w:pPr>
        <w:pStyle w:val="StandaardSV"/>
        <w:ind w:left="360"/>
        <w:rPr>
          <w:szCs w:val="22"/>
        </w:rPr>
      </w:pPr>
      <w:r w:rsidRPr="0080572E">
        <w:rPr>
          <w:szCs w:val="22"/>
        </w:rPr>
        <w:lastRenderedPageBreak/>
        <w:t>IBBT heeft, specifiek voor wat betreft de gaming incubatoren, in haar nieuwe convenant de opdracht gekregen om haar incubatie- en acceleratie ter beschikking te stellen van bedrijven uit de game sector, in overleg met de incubatoren. Dit moet de groei in de sector verder stimuleren.</w:t>
      </w:r>
    </w:p>
    <w:p w:rsidR="00680188" w:rsidRPr="0080572E" w:rsidRDefault="00680188" w:rsidP="00C53E4B">
      <w:pPr>
        <w:pStyle w:val="StandaardSV"/>
        <w:ind w:left="360"/>
        <w:rPr>
          <w:szCs w:val="22"/>
        </w:rPr>
      </w:pPr>
    </w:p>
    <w:p w:rsidR="00680188" w:rsidRPr="0080572E" w:rsidRDefault="00680188" w:rsidP="00C53E4B">
      <w:pPr>
        <w:pStyle w:val="StandaardSV"/>
        <w:ind w:left="360"/>
        <w:rPr>
          <w:szCs w:val="22"/>
        </w:rPr>
      </w:pPr>
      <w:r w:rsidRPr="0080572E">
        <w:rPr>
          <w:szCs w:val="22"/>
        </w:rPr>
        <w:t xml:space="preserve">Het nieuwe Media Innovatiecentrum MIX (opgestart in januari 2012) heeft expliciet de opdracht gekregen om ook open te staan voor innovatieve gaming projecten. De gaming sector is dan ook vertegenwoordigd in de programmacommissie die de strategie van MIX aanstuurt. </w:t>
      </w:r>
    </w:p>
    <w:p w:rsidR="00680188" w:rsidRPr="0080572E" w:rsidRDefault="00680188" w:rsidP="00C53E4B">
      <w:pPr>
        <w:pStyle w:val="StandaardSV"/>
        <w:ind w:left="360"/>
        <w:rPr>
          <w:szCs w:val="22"/>
        </w:rPr>
      </w:pPr>
    </w:p>
    <w:p w:rsidR="00680188" w:rsidRPr="0080572E" w:rsidRDefault="00680188" w:rsidP="00C53E4B">
      <w:pPr>
        <w:pStyle w:val="StandaardSV"/>
        <w:ind w:left="360"/>
        <w:rPr>
          <w:szCs w:val="22"/>
        </w:rPr>
      </w:pPr>
      <w:r w:rsidRPr="0080572E">
        <w:rPr>
          <w:szCs w:val="22"/>
        </w:rPr>
        <w:t>Tenslotte is IBBT betrokken in het initiatief van de game sector zelf om een sectororganisatie op te richten, die kennisuitwisseling en groei in de sector moet bevorderen.</w:t>
      </w:r>
    </w:p>
    <w:p w:rsidR="00487DEC" w:rsidRPr="0080572E" w:rsidRDefault="00487DEC" w:rsidP="00C53E4B">
      <w:pPr>
        <w:pStyle w:val="StandaardSV"/>
        <w:ind w:left="360"/>
        <w:rPr>
          <w:szCs w:val="22"/>
        </w:rPr>
      </w:pPr>
    </w:p>
    <w:p w:rsidR="009C6118" w:rsidRPr="0080572E" w:rsidRDefault="009C6118" w:rsidP="00C53E4B">
      <w:pPr>
        <w:pStyle w:val="StandaardSV"/>
        <w:numPr>
          <w:ilvl w:val="0"/>
          <w:numId w:val="22"/>
        </w:numPr>
        <w:rPr>
          <w:szCs w:val="22"/>
        </w:rPr>
      </w:pPr>
      <w:r w:rsidRPr="0080572E">
        <w:rPr>
          <w:szCs w:val="22"/>
        </w:rPr>
        <w:t xml:space="preserve">IBBT heeft inderdaad op </w:t>
      </w:r>
      <w:r w:rsidR="00760EE7" w:rsidRPr="0080572E">
        <w:rPr>
          <w:szCs w:val="22"/>
        </w:rPr>
        <w:t xml:space="preserve">mijn </w:t>
      </w:r>
      <w:r w:rsidRPr="0080572E">
        <w:rPr>
          <w:szCs w:val="22"/>
        </w:rPr>
        <w:t>vraag</w:t>
      </w:r>
      <w:r w:rsidR="00760EE7" w:rsidRPr="0080572E">
        <w:rPr>
          <w:szCs w:val="22"/>
        </w:rPr>
        <w:t xml:space="preserve"> (vanuit mijn bevoegdheidsdomein Media) e</w:t>
      </w:r>
      <w:r w:rsidRPr="0080572E">
        <w:rPr>
          <w:szCs w:val="22"/>
        </w:rPr>
        <w:t xml:space="preserve">en meerjarenplan rond </w:t>
      </w:r>
      <w:r w:rsidR="00C406A4" w:rsidRPr="0080572E">
        <w:rPr>
          <w:szCs w:val="22"/>
        </w:rPr>
        <w:t>de gamesector</w:t>
      </w:r>
      <w:r w:rsidRPr="0080572E">
        <w:rPr>
          <w:szCs w:val="22"/>
        </w:rPr>
        <w:t xml:space="preserve"> opgesteld met daarin </w:t>
      </w:r>
      <w:r w:rsidR="00760EE7" w:rsidRPr="0080572E">
        <w:rPr>
          <w:szCs w:val="22"/>
        </w:rPr>
        <w:t xml:space="preserve">een aantal </w:t>
      </w:r>
      <w:r w:rsidRPr="0080572E">
        <w:rPr>
          <w:szCs w:val="22"/>
        </w:rPr>
        <w:t>concrete aanbevelingen</w:t>
      </w:r>
      <w:r w:rsidR="00760EE7" w:rsidRPr="0080572E">
        <w:rPr>
          <w:szCs w:val="22"/>
        </w:rPr>
        <w:t xml:space="preserve"> waaronder d</w:t>
      </w:r>
      <w:r w:rsidRPr="0080572E">
        <w:rPr>
          <w:szCs w:val="22"/>
        </w:rPr>
        <w:t xml:space="preserve">e oprichting van het </w:t>
      </w:r>
      <w:r w:rsidR="00173B48" w:rsidRPr="0080572E">
        <w:rPr>
          <w:szCs w:val="22"/>
        </w:rPr>
        <w:t>G</w:t>
      </w:r>
      <w:r w:rsidR="00760EE7" w:rsidRPr="0080572E">
        <w:rPr>
          <w:szCs w:val="22"/>
        </w:rPr>
        <w:t>ame</w:t>
      </w:r>
      <w:r w:rsidRPr="0080572E">
        <w:rPr>
          <w:szCs w:val="22"/>
        </w:rPr>
        <w:t xml:space="preserve">fonds. Dit meerjarenplan werd </w:t>
      </w:r>
      <w:r w:rsidR="00760EE7" w:rsidRPr="0080572E">
        <w:rPr>
          <w:szCs w:val="22"/>
        </w:rPr>
        <w:t xml:space="preserve">opgeleverd </w:t>
      </w:r>
      <w:r w:rsidRPr="0080572E">
        <w:rPr>
          <w:szCs w:val="22"/>
        </w:rPr>
        <w:t xml:space="preserve">in oktober 2011. </w:t>
      </w:r>
    </w:p>
    <w:p w:rsidR="009C6118" w:rsidRPr="0080572E" w:rsidRDefault="009C6118" w:rsidP="00C53E4B">
      <w:pPr>
        <w:pStyle w:val="StandaardSV"/>
        <w:ind w:left="360"/>
        <w:rPr>
          <w:szCs w:val="22"/>
        </w:rPr>
      </w:pPr>
    </w:p>
    <w:p w:rsidR="002C11E0" w:rsidRPr="0080572E" w:rsidRDefault="00760EE7" w:rsidP="00C53E4B">
      <w:pPr>
        <w:pStyle w:val="StandaardSV"/>
        <w:ind w:left="360"/>
      </w:pPr>
      <w:r w:rsidRPr="0080572E">
        <w:rPr>
          <w:szCs w:val="22"/>
        </w:rPr>
        <w:t>Intussen</w:t>
      </w:r>
      <w:r w:rsidR="009C6118" w:rsidRPr="0080572E">
        <w:rPr>
          <w:szCs w:val="22"/>
        </w:rPr>
        <w:t xml:space="preserve"> is de oprichting van het </w:t>
      </w:r>
      <w:r w:rsidR="00173B48" w:rsidRPr="0080572E">
        <w:rPr>
          <w:szCs w:val="22"/>
        </w:rPr>
        <w:t>G</w:t>
      </w:r>
      <w:r w:rsidR="009C6118" w:rsidRPr="0080572E">
        <w:rPr>
          <w:szCs w:val="22"/>
        </w:rPr>
        <w:t>amefonds</w:t>
      </w:r>
      <w:r w:rsidR="00173B48" w:rsidRPr="0080572E">
        <w:rPr>
          <w:szCs w:val="22"/>
        </w:rPr>
        <w:t xml:space="preserve"> en het beheer ervan door het Vlaams Audiovisueel Fonds (VAF)</w:t>
      </w:r>
      <w:r w:rsidR="000120A5">
        <w:rPr>
          <w:szCs w:val="22"/>
        </w:rPr>
        <w:t>,</w:t>
      </w:r>
      <w:r w:rsidR="00173B48" w:rsidRPr="0080572E">
        <w:rPr>
          <w:szCs w:val="22"/>
        </w:rPr>
        <w:t xml:space="preserve"> g</w:t>
      </w:r>
      <w:r w:rsidR="009C6118" w:rsidRPr="0080572E">
        <w:rPr>
          <w:szCs w:val="22"/>
        </w:rPr>
        <w:t xml:space="preserve">oedgekeurd </w:t>
      </w:r>
      <w:r w:rsidR="004E27C5" w:rsidRPr="0080572E">
        <w:rPr>
          <w:szCs w:val="22"/>
        </w:rPr>
        <w:t>door</w:t>
      </w:r>
      <w:r w:rsidR="009C6118" w:rsidRPr="0080572E">
        <w:rPr>
          <w:szCs w:val="22"/>
        </w:rPr>
        <w:t xml:space="preserve"> de Vlaamse </w:t>
      </w:r>
      <w:r w:rsidRPr="0080572E">
        <w:rPr>
          <w:szCs w:val="22"/>
        </w:rPr>
        <w:t>R</w:t>
      </w:r>
      <w:r w:rsidR="009C6118" w:rsidRPr="0080572E">
        <w:rPr>
          <w:szCs w:val="22"/>
        </w:rPr>
        <w:t>egering</w:t>
      </w:r>
      <w:r w:rsidR="00173B48" w:rsidRPr="0080572E">
        <w:rPr>
          <w:szCs w:val="22"/>
        </w:rPr>
        <w:t xml:space="preserve"> (VR 2012 2007 DOC.0766/1</w:t>
      </w:r>
      <w:r w:rsidR="004E27C5" w:rsidRPr="0080572E">
        <w:rPr>
          <w:szCs w:val="22"/>
        </w:rPr>
        <w:t>-2)</w:t>
      </w:r>
      <w:r w:rsidR="009C6118" w:rsidRPr="0080572E">
        <w:rPr>
          <w:szCs w:val="22"/>
        </w:rPr>
        <w:t xml:space="preserve">. </w:t>
      </w:r>
      <w:r w:rsidR="004E27C5" w:rsidRPr="0080572E">
        <w:rPr>
          <w:szCs w:val="22"/>
        </w:rPr>
        <w:t>Aan deze beslissing van de Vlaamse Regering wordt nu verder uitvoering gegeven</w:t>
      </w:r>
      <w:r w:rsidR="009C6118" w:rsidRPr="0080572E">
        <w:rPr>
          <w:szCs w:val="22"/>
        </w:rPr>
        <w:t>.</w:t>
      </w:r>
    </w:p>
    <w:p w:rsidR="00F41D9D" w:rsidRPr="00F77477" w:rsidRDefault="00F41D9D" w:rsidP="00C53E4B">
      <w:pPr>
        <w:jc w:val="both"/>
        <w:rPr>
          <w:sz w:val="22"/>
          <w:szCs w:val="22"/>
        </w:rPr>
      </w:pPr>
    </w:p>
    <w:p w:rsidR="00F41D9D" w:rsidRPr="00F77477" w:rsidRDefault="00F41D9D" w:rsidP="00F77477">
      <w:pPr>
        <w:ind w:left="360"/>
        <w:jc w:val="both"/>
        <w:rPr>
          <w:sz w:val="22"/>
          <w:szCs w:val="22"/>
        </w:rPr>
      </w:pPr>
      <w:r w:rsidRPr="00F77477">
        <w:rPr>
          <w:sz w:val="22"/>
          <w:szCs w:val="22"/>
        </w:rPr>
        <w:t xml:space="preserve">Het Gamefonds heeft de volgende doelstellingen: </w:t>
      </w:r>
    </w:p>
    <w:p w:rsidR="00F41D9D" w:rsidRPr="00F77477" w:rsidRDefault="00F41D9D" w:rsidP="00C53E4B">
      <w:pPr>
        <w:pStyle w:val="Lijstalinea"/>
        <w:numPr>
          <w:ilvl w:val="0"/>
          <w:numId w:val="28"/>
        </w:numPr>
        <w:contextualSpacing/>
        <w:jc w:val="both"/>
        <w:rPr>
          <w:sz w:val="22"/>
          <w:szCs w:val="22"/>
        </w:rPr>
      </w:pPr>
      <w:r w:rsidRPr="00F77477">
        <w:rPr>
          <w:sz w:val="22"/>
          <w:szCs w:val="22"/>
        </w:rPr>
        <w:t xml:space="preserve">een meer duurzame instroom realiseren van nieuwe games, geïnitieerd in Vlaanderen; </w:t>
      </w:r>
    </w:p>
    <w:p w:rsidR="00F41D9D" w:rsidRPr="00F77477" w:rsidRDefault="00F41D9D" w:rsidP="00C53E4B">
      <w:pPr>
        <w:pStyle w:val="Lijstalinea"/>
        <w:numPr>
          <w:ilvl w:val="0"/>
          <w:numId w:val="28"/>
        </w:numPr>
        <w:contextualSpacing/>
        <w:jc w:val="both"/>
        <w:rPr>
          <w:sz w:val="22"/>
          <w:szCs w:val="22"/>
        </w:rPr>
      </w:pPr>
      <w:r w:rsidRPr="00F77477">
        <w:rPr>
          <w:sz w:val="22"/>
          <w:szCs w:val="22"/>
        </w:rPr>
        <w:t xml:space="preserve">bijdragen tot een performante, gediversifieerde en solide game industrie in Vlaanderen; </w:t>
      </w:r>
    </w:p>
    <w:p w:rsidR="00F41D9D" w:rsidRPr="00F77477" w:rsidRDefault="00F41D9D" w:rsidP="00C53E4B">
      <w:pPr>
        <w:pStyle w:val="Lijstalinea"/>
        <w:numPr>
          <w:ilvl w:val="0"/>
          <w:numId w:val="28"/>
        </w:numPr>
        <w:contextualSpacing/>
        <w:jc w:val="both"/>
        <w:rPr>
          <w:sz w:val="22"/>
          <w:szCs w:val="22"/>
        </w:rPr>
      </w:pPr>
      <w:r w:rsidRPr="00F77477">
        <w:rPr>
          <w:sz w:val="22"/>
          <w:szCs w:val="22"/>
        </w:rPr>
        <w:t xml:space="preserve">lokaal talent de nodige ontwikkelingskansen geven; </w:t>
      </w:r>
    </w:p>
    <w:p w:rsidR="00F41D9D" w:rsidRPr="00F77477" w:rsidRDefault="00F41D9D" w:rsidP="00C53E4B">
      <w:pPr>
        <w:pStyle w:val="Lijstalinea"/>
        <w:numPr>
          <w:ilvl w:val="0"/>
          <w:numId w:val="28"/>
        </w:numPr>
        <w:contextualSpacing/>
        <w:jc w:val="both"/>
        <w:rPr>
          <w:sz w:val="22"/>
          <w:szCs w:val="22"/>
        </w:rPr>
      </w:pPr>
      <w:r w:rsidRPr="00F77477">
        <w:rPr>
          <w:sz w:val="22"/>
          <w:szCs w:val="22"/>
        </w:rPr>
        <w:t>game based learning in het onderwijs bevorderen door het stimuleren van de productie van serious games.</w:t>
      </w:r>
    </w:p>
    <w:p w:rsidR="00F41D9D" w:rsidRPr="00F77477" w:rsidRDefault="00CE62FA" w:rsidP="00C53E4B">
      <w:pPr>
        <w:tabs>
          <w:tab w:val="left" w:pos="2160"/>
        </w:tabs>
        <w:jc w:val="both"/>
        <w:rPr>
          <w:sz w:val="22"/>
          <w:szCs w:val="22"/>
        </w:rPr>
      </w:pPr>
      <w:r w:rsidRPr="00F77477">
        <w:rPr>
          <w:sz w:val="22"/>
          <w:szCs w:val="22"/>
        </w:rPr>
        <w:tab/>
      </w:r>
    </w:p>
    <w:p w:rsidR="00F41D9D" w:rsidRPr="00F77477" w:rsidRDefault="00F41D9D" w:rsidP="00F77477">
      <w:pPr>
        <w:ind w:left="360"/>
        <w:jc w:val="both"/>
        <w:rPr>
          <w:sz w:val="22"/>
          <w:szCs w:val="22"/>
        </w:rPr>
      </w:pPr>
      <w:r w:rsidRPr="00F77477">
        <w:rPr>
          <w:sz w:val="22"/>
          <w:szCs w:val="22"/>
        </w:rPr>
        <w:t xml:space="preserve">Het Gamefonds moet op lange termijn de dynamiek van de gamesector bestendigen en verhogen en bijdragen tot zijn professionalisering, de band met het publiek vergroten, en originele en nieuwe creaties extra kansen geven.   </w:t>
      </w:r>
    </w:p>
    <w:p w:rsidR="00F41D9D" w:rsidRPr="00F77477" w:rsidRDefault="00F41D9D" w:rsidP="00F77477">
      <w:pPr>
        <w:ind w:left="360"/>
        <w:jc w:val="both"/>
        <w:rPr>
          <w:sz w:val="22"/>
          <w:szCs w:val="22"/>
        </w:rPr>
      </w:pPr>
    </w:p>
    <w:p w:rsidR="00F41D9D" w:rsidRPr="00F77477" w:rsidRDefault="00F41D9D" w:rsidP="00F77477">
      <w:pPr>
        <w:ind w:left="360"/>
        <w:jc w:val="both"/>
        <w:rPr>
          <w:sz w:val="22"/>
          <w:szCs w:val="22"/>
        </w:rPr>
      </w:pPr>
      <w:r w:rsidRPr="00F77477">
        <w:rPr>
          <w:sz w:val="22"/>
          <w:szCs w:val="22"/>
        </w:rPr>
        <w:t>Het Gamefonds wordt ondergebracht binnen het Vlaams Audiovisueel Fonds (VAF), dat tot doel heeft om binnen de Vlaamse Gemeenschap op geïntegreerde, autonome wijze de onafhankelijke audiovisuele productie en auteurscreatie te stimuleren. Het VAF krijgt nu de bijkomende opdracht om binnen zijn structuur een afzonderlijke werking op te starten voor de ondersteuning van Vlaamse, kwalitatieve audiovisuele producties in de vorm van video games.</w:t>
      </w:r>
    </w:p>
    <w:p w:rsidR="00F41D9D" w:rsidRPr="00F77477" w:rsidRDefault="00F41D9D" w:rsidP="00F77477">
      <w:pPr>
        <w:ind w:left="360"/>
        <w:jc w:val="both"/>
        <w:rPr>
          <w:sz w:val="22"/>
          <w:szCs w:val="22"/>
        </w:rPr>
      </w:pPr>
    </w:p>
    <w:p w:rsidR="00F41D9D" w:rsidRPr="00F77477" w:rsidRDefault="00F41D9D" w:rsidP="00F77477">
      <w:pPr>
        <w:ind w:left="360"/>
        <w:jc w:val="both"/>
        <w:rPr>
          <w:sz w:val="22"/>
          <w:szCs w:val="22"/>
        </w:rPr>
      </w:pPr>
      <w:r w:rsidRPr="00F77477">
        <w:rPr>
          <w:sz w:val="22"/>
          <w:szCs w:val="22"/>
        </w:rPr>
        <w:t xml:space="preserve">Concreet zullen drie types games ondersteund kunnen worden via het Gamefonds: </w:t>
      </w:r>
    </w:p>
    <w:p w:rsidR="00F41D9D" w:rsidRPr="00F77477" w:rsidRDefault="00F41D9D" w:rsidP="00C53E4B">
      <w:pPr>
        <w:pStyle w:val="Lijstalinea"/>
        <w:numPr>
          <w:ilvl w:val="0"/>
          <w:numId w:val="29"/>
        </w:numPr>
        <w:contextualSpacing/>
        <w:jc w:val="both"/>
        <w:rPr>
          <w:sz w:val="22"/>
          <w:szCs w:val="22"/>
        </w:rPr>
      </w:pPr>
      <w:r w:rsidRPr="00F77477">
        <w:rPr>
          <w:sz w:val="22"/>
          <w:szCs w:val="22"/>
        </w:rPr>
        <w:t xml:space="preserve">Entertainment games: games die primair ontspanning tot doel hebben. Hiermee worden niet enkel uitgesproken commerciële games bedoeld maar ook games met een cultureel of artistiek karakter. </w:t>
      </w:r>
    </w:p>
    <w:p w:rsidR="00F41D9D" w:rsidRPr="00F77477" w:rsidRDefault="00F41D9D" w:rsidP="00C53E4B">
      <w:pPr>
        <w:pStyle w:val="Lijstalinea"/>
        <w:numPr>
          <w:ilvl w:val="0"/>
          <w:numId w:val="29"/>
        </w:numPr>
        <w:contextualSpacing/>
        <w:jc w:val="both"/>
        <w:rPr>
          <w:sz w:val="22"/>
          <w:szCs w:val="22"/>
        </w:rPr>
      </w:pPr>
      <w:r w:rsidRPr="00F77477">
        <w:rPr>
          <w:sz w:val="22"/>
          <w:szCs w:val="22"/>
        </w:rPr>
        <w:t>Educatieve serious games: games die primair een educatief doel dienen. Focus ligt hierbij op games die bestemd zijn voor het leerplichtonderwijs.</w:t>
      </w:r>
    </w:p>
    <w:p w:rsidR="00F41D9D" w:rsidRPr="00F77477" w:rsidRDefault="00F41D9D" w:rsidP="00C53E4B">
      <w:pPr>
        <w:pStyle w:val="Lijstalinea"/>
        <w:numPr>
          <w:ilvl w:val="0"/>
          <w:numId w:val="29"/>
        </w:numPr>
        <w:contextualSpacing/>
        <w:jc w:val="both"/>
        <w:rPr>
          <w:sz w:val="22"/>
          <w:szCs w:val="22"/>
        </w:rPr>
      </w:pPr>
      <w:r w:rsidRPr="00F77477">
        <w:rPr>
          <w:sz w:val="22"/>
          <w:szCs w:val="22"/>
        </w:rPr>
        <w:t>Niet-educatieve serious games: games die een maatschappelijk of cultureel doel nastreven zoals games voor de zorgsector, de medische sector, cultuur, erfgoed, enz.</w:t>
      </w:r>
    </w:p>
    <w:p w:rsidR="002C11E0" w:rsidRPr="0080572E" w:rsidRDefault="002C11E0" w:rsidP="00C53E4B">
      <w:pPr>
        <w:pStyle w:val="StandaardSV"/>
        <w:rPr>
          <w:szCs w:val="22"/>
        </w:rPr>
      </w:pPr>
    </w:p>
    <w:p w:rsidR="00C406A4" w:rsidRPr="0080572E" w:rsidRDefault="00C406A4" w:rsidP="00F77477">
      <w:pPr>
        <w:pStyle w:val="StandaardSV"/>
        <w:numPr>
          <w:ilvl w:val="0"/>
          <w:numId w:val="22"/>
        </w:numPr>
        <w:tabs>
          <w:tab w:val="left" w:pos="426"/>
        </w:tabs>
        <w:ind w:left="709" w:hanging="709"/>
        <w:rPr>
          <w:szCs w:val="22"/>
          <w:lang w:val="nl-BE"/>
        </w:rPr>
      </w:pPr>
      <w:r w:rsidRPr="0080572E">
        <w:rPr>
          <w:szCs w:val="22"/>
        </w:rPr>
        <w:t>a.</w:t>
      </w:r>
      <w:r w:rsidRPr="0080572E">
        <w:rPr>
          <w:szCs w:val="22"/>
        </w:rPr>
        <w:tab/>
        <w:t xml:space="preserve">Het gaat over twee projecten die worden gerund door het IBBT met verschillende partners, meer bepaald </w:t>
      </w:r>
      <w:r w:rsidRPr="0080572E">
        <w:rPr>
          <w:b/>
          <w:szCs w:val="22"/>
          <w:lang w:val="nl-BE"/>
        </w:rPr>
        <w:t>G@S</w:t>
      </w:r>
      <w:r w:rsidR="00C143D1" w:rsidRPr="0080572E">
        <w:rPr>
          <w:rStyle w:val="Voetnootmarkering"/>
          <w:b/>
          <w:szCs w:val="22"/>
          <w:lang w:val="nl-BE"/>
        </w:rPr>
        <w:footnoteReference w:id="3"/>
      </w:r>
      <w:r w:rsidRPr="0080572E">
        <w:rPr>
          <w:szCs w:val="22"/>
          <w:lang w:val="nl-BE"/>
        </w:rPr>
        <w:t xml:space="preserve"> (</w:t>
      </w:r>
      <w:r w:rsidRPr="0080572E">
        <w:rPr>
          <w:i/>
          <w:szCs w:val="22"/>
          <w:lang w:val="nl-BE"/>
        </w:rPr>
        <w:t>Games @ School</w:t>
      </w:r>
      <w:r w:rsidRPr="0080572E">
        <w:rPr>
          <w:szCs w:val="22"/>
          <w:lang w:val="nl-BE"/>
        </w:rPr>
        <w:t xml:space="preserve">) en </w:t>
      </w:r>
      <w:r w:rsidRPr="0080572E">
        <w:rPr>
          <w:b/>
          <w:szCs w:val="22"/>
          <w:lang w:val="nl-BE"/>
        </w:rPr>
        <w:t>OMEGA</w:t>
      </w:r>
      <w:r w:rsidR="00C143D1" w:rsidRPr="0080572E">
        <w:rPr>
          <w:rStyle w:val="Voetnootmarkering"/>
          <w:b/>
          <w:szCs w:val="22"/>
          <w:lang w:val="nl-BE"/>
        </w:rPr>
        <w:footnoteReference w:id="4"/>
      </w:r>
      <w:r w:rsidRPr="0080572E">
        <w:rPr>
          <w:szCs w:val="22"/>
          <w:lang w:val="nl-BE"/>
        </w:rPr>
        <w:t xml:space="preserve"> (</w:t>
      </w:r>
      <w:r w:rsidRPr="0080572E">
        <w:rPr>
          <w:i/>
          <w:szCs w:val="22"/>
          <w:lang w:val="nl-BE"/>
        </w:rPr>
        <w:t>Online Multiplayer Extended Game development Architecture</w:t>
      </w:r>
      <w:r w:rsidRPr="0080572E">
        <w:rPr>
          <w:szCs w:val="22"/>
          <w:lang w:val="nl-BE"/>
        </w:rPr>
        <w:t>).</w:t>
      </w:r>
    </w:p>
    <w:p w:rsidR="00C406A4" w:rsidRPr="0080572E" w:rsidRDefault="00C406A4" w:rsidP="00C53E4B">
      <w:pPr>
        <w:pStyle w:val="StandaardSV"/>
        <w:ind w:left="360" w:hanging="360"/>
        <w:rPr>
          <w:szCs w:val="22"/>
          <w:lang w:val="nl-BE"/>
        </w:rPr>
      </w:pPr>
    </w:p>
    <w:p w:rsidR="00C406A4" w:rsidRPr="0080572E" w:rsidRDefault="00C406A4" w:rsidP="00F77477">
      <w:pPr>
        <w:pStyle w:val="StandaardSV"/>
        <w:ind w:left="720" w:hanging="360"/>
        <w:rPr>
          <w:szCs w:val="22"/>
          <w:lang w:val="nl-BE"/>
        </w:rPr>
      </w:pPr>
      <w:r w:rsidRPr="0080572E">
        <w:rPr>
          <w:szCs w:val="22"/>
          <w:lang w:val="nl-BE"/>
        </w:rPr>
        <w:t>b.</w:t>
      </w:r>
      <w:r w:rsidRPr="0080572E">
        <w:rPr>
          <w:szCs w:val="22"/>
          <w:lang w:val="nl-BE"/>
        </w:rPr>
        <w:tab/>
        <w:t>De volgende financiering werd aan deze twee projecten toegekend:</w:t>
      </w:r>
    </w:p>
    <w:p w:rsidR="008A4FC5" w:rsidRPr="0080572E" w:rsidRDefault="008A4FC5" w:rsidP="00F77477">
      <w:pPr>
        <w:pStyle w:val="StandaardSV"/>
        <w:numPr>
          <w:ilvl w:val="0"/>
          <w:numId w:val="24"/>
        </w:numPr>
        <w:ind w:left="1134" w:hanging="425"/>
        <w:rPr>
          <w:szCs w:val="22"/>
        </w:rPr>
      </w:pPr>
      <w:r w:rsidRPr="0080572E">
        <w:rPr>
          <w:szCs w:val="22"/>
        </w:rPr>
        <w:lastRenderedPageBreak/>
        <w:t>G@S</w:t>
      </w:r>
      <w:r w:rsidR="00C406A4" w:rsidRPr="0080572E">
        <w:rPr>
          <w:szCs w:val="22"/>
        </w:rPr>
        <w:t xml:space="preserve"> – financiering I</w:t>
      </w:r>
      <w:r w:rsidRPr="0080572E">
        <w:rPr>
          <w:szCs w:val="22"/>
        </w:rPr>
        <w:t xml:space="preserve">BBT: </w:t>
      </w:r>
      <w:r w:rsidR="00C406A4" w:rsidRPr="0080572E">
        <w:rPr>
          <w:szCs w:val="22"/>
        </w:rPr>
        <w:t xml:space="preserve">€ </w:t>
      </w:r>
      <w:r w:rsidRPr="0080572E">
        <w:rPr>
          <w:szCs w:val="22"/>
        </w:rPr>
        <w:t>1.358.993,18</w:t>
      </w:r>
      <w:r w:rsidR="00C406A4" w:rsidRPr="0080572E">
        <w:rPr>
          <w:szCs w:val="22"/>
        </w:rPr>
        <w:t>;</w:t>
      </w:r>
    </w:p>
    <w:p w:rsidR="008A4FC5" w:rsidRPr="0080572E" w:rsidRDefault="008A4FC5" w:rsidP="00F77477">
      <w:pPr>
        <w:pStyle w:val="StandaardSV"/>
        <w:numPr>
          <w:ilvl w:val="0"/>
          <w:numId w:val="24"/>
        </w:numPr>
        <w:ind w:left="1134" w:hanging="425"/>
        <w:rPr>
          <w:szCs w:val="22"/>
        </w:rPr>
      </w:pPr>
      <w:r w:rsidRPr="0080572E">
        <w:rPr>
          <w:szCs w:val="22"/>
        </w:rPr>
        <w:t>G@S</w:t>
      </w:r>
      <w:r w:rsidR="00C406A4" w:rsidRPr="0080572E">
        <w:rPr>
          <w:szCs w:val="22"/>
        </w:rPr>
        <w:t xml:space="preserve"> – financiering I</w:t>
      </w:r>
      <w:r w:rsidRPr="0080572E">
        <w:rPr>
          <w:szCs w:val="22"/>
        </w:rPr>
        <w:t>WT</w:t>
      </w:r>
      <w:r w:rsidR="00C406A4" w:rsidRPr="0080572E">
        <w:rPr>
          <w:szCs w:val="22"/>
        </w:rPr>
        <w:t xml:space="preserve"> (s</w:t>
      </w:r>
      <w:r w:rsidRPr="0080572E">
        <w:rPr>
          <w:szCs w:val="22"/>
        </w:rPr>
        <w:t>teun aan bedrijven</w:t>
      </w:r>
      <w:r w:rsidR="00C406A4" w:rsidRPr="0080572E">
        <w:rPr>
          <w:szCs w:val="22"/>
        </w:rPr>
        <w:t>): € 4</w:t>
      </w:r>
      <w:r w:rsidRPr="0080572E">
        <w:rPr>
          <w:szCs w:val="22"/>
        </w:rPr>
        <w:t>52.507,86</w:t>
      </w:r>
      <w:r w:rsidR="00C406A4" w:rsidRPr="0080572E">
        <w:rPr>
          <w:szCs w:val="22"/>
        </w:rPr>
        <w:t>;</w:t>
      </w:r>
    </w:p>
    <w:p w:rsidR="008A4FC5" w:rsidRPr="0080572E" w:rsidRDefault="008A4FC5" w:rsidP="00F77477">
      <w:pPr>
        <w:pStyle w:val="StandaardSV"/>
        <w:numPr>
          <w:ilvl w:val="0"/>
          <w:numId w:val="24"/>
        </w:numPr>
        <w:ind w:left="1134" w:hanging="425"/>
        <w:rPr>
          <w:szCs w:val="22"/>
        </w:rPr>
      </w:pPr>
      <w:r w:rsidRPr="0080572E">
        <w:rPr>
          <w:szCs w:val="22"/>
        </w:rPr>
        <w:t>OMEGA</w:t>
      </w:r>
      <w:r w:rsidR="00C406A4" w:rsidRPr="0080572E">
        <w:rPr>
          <w:szCs w:val="22"/>
        </w:rPr>
        <w:t xml:space="preserve"> – financiering I</w:t>
      </w:r>
      <w:r w:rsidRPr="0080572E">
        <w:rPr>
          <w:szCs w:val="22"/>
        </w:rPr>
        <w:t>BBT</w:t>
      </w:r>
      <w:r w:rsidR="003B3AA3" w:rsidRPr="0080572E">
        <w:rPr>
          <w:szCs w:val="22"/>
        </w:rPr>
        <w:t xml:space="preserve"> (via het IWT-programma “Innovatieve Media”)</w:t>
      </w:r>
      <w:r w:rsidRPr="0080572E">
        <w:rPr>
          <w:szCs w:val="22"/>
        </w:rPr>
        <w:t xml:space="preserve">: </w:t>
      </w:r>
      <w:r w:rsidR="00C406A4" w:rsidRPr="0080572E">
        <w:rPr>
          <w:szCs w:val="22"/>
        </w:rPr>
        <w:t xml:space="preserve">€ </w:t>
      </w:r>
      <w:r w:rsidRPr="0080572E">
        <w:rPr>
          <w:szCs w:val="22"/>
        </w:rPr>
        <w:t>748.105,28</w:t>
      </w:r>
      <w:r w:rsidR="00C406A4" w:rsidRPr="0080572E">
        <w:rPr>
          <w:szCs w:val="22"/>
        </w:rPr>
        <w:t>.</w:t>
      </w:r>
    </w:p>
    <w:p w:rsidR="00FB2AE5" w:rsidRPr="0080572E" w:rsidRDefault="00FB2AE5" w:rsidP="00C53E4B">
      <w:pPr>
        <w:pStyle w:val="Lijstalinea"/>
        <w:ind w:left="348"/>
        <w:jc w:val="both"/>
        <w:rPr>
          <w:sz w:val="22"/>
          <w:szCs w:val="22"/>
        </w:rPr>
      </w:pPr>
    </w:p>
    <w:p w:rsidR="008A4FC5" w:rsidRPr="0080572E" w:rsidRDefault="00C406A4" w:rsidP="00F77477">
      <w:pPr>
        <w:ind w:left="720" w:hanging="360"/>
        <w:jc w:val="both"/>
        <w:rPr>
          <w:sz w:val="22"/>
          <w:szCs w:val="22"/>
        </w:rPr>
      </w:pPr>
      <w:r w:rsidRPr="0080572E">
        <w:rPr>
          <w:sz w:val="22"/>
          <w:szCs w:val="22"/>
        </w:rPr>
        <w:t>c.</w:t>
      </w:r>
      <w:r w:rsidRPr="0080572E">
        <w:rPr>
          <w:sz w:val="22"/>
          <w:szCs w:val="22"/>
        </w:rPr>
        <w:tab/>
      </w:r>
      <w:r w:rsidR="008A4FC5" w:rsidRPr="0080572E">
        <w:rPr>
          <w:sz w:val="22"/>
          <w:szCs w:val="22"/>
        </w:rPr>
        <w:t xml:space="preserve">G@S startte op 01/07/2011 en eindigt op 31/12/2013. OMEGA startte </w:t>
      </w:r>
      <w:r w:rsidR="000D062B" w:rsidRPr="0080572E">
        <w:rPr>
          <w:sz w:val="22"/>
          <w:szCs w:val="22"/>
        </w:rPr>
        <w:t>op </w:t>
      </w:r>
      <w:r w:rsidR="008A4FC5" w:rsidRPr="0080572E">
        <w:rPr>
          <w:sz w:val="22"/>
          <w:szCs w:val="22"/>
        </w:rPr>
        <w:t>01/10/2011 en eindigt op 31/03/2013.</w:t>
      </w:r>
    </w:p>
    <w:p w:rsidR="006C7714" w:rsidRPr="0080572E" w:rsidRDefault="006C7714" w:rsidP="00C53E4B">
      <w:pPr>
        <w:pStyle w:val="StandaardSV"/>
        <w:ind w:left="426" w:hanging="426"/>
        <w:rPr>
          <w:szCs w:val="22"/>
        </w:rPr>
      </w:pPr>
    </w:p>
    <w:p w:rsidR="008A4FC5" w:rsidRPr="0080572E" w:rsidRDefault="00C406A4" w:rsidP="00F77477">
      <w:pPr>
        <w:ind w:left="720" w:hanging="360"/>
        <w:jc w:val="both"/>
        <w:rPr>
          <w:sz w:val="22"/>
          <w:szCs w:val="22"/>
        </w:rPr>
      </w:pPr>
      <w:r w:rsidRPr="0080572E">
        <w:rPr>
          <w:sz w:val="22"/>
          <w:szCs w:val="22"/>
        </w:rPr>
        <w:t>d.</w:t>
      </w:r>
      <w:r w:rsidRPr="0080572E">
        <w:rPr>
          <w:sz w:val="22"/>
          <w:szCs w:val="22"/>
        </w:rPr>
        <w:tab/>
      </w:r>
      <w:r w:rsidR="008A4FC5" w:rsidRPr="0080572E">
        <w:rPr>
          <w:sz w:val="22"/>
          <w:szCs w:val="22"/>
        </w:rPr>
        <w:t xml:space="preserve">G@S is een project met als doel om een open platform voor educatieve games te onderzoeken en </w:t>
      </w:r>
      <w:r w:rsidR="0081558A" w:rsidRPr="0080572E">
        <w:rPr>
          <w:sz w:val="22"/>
          <w:szCs w:val="22"/>
        </w:rPr>
        <w:t xml:space="preserve">te </w:t>
      </w:r>
      <w:r w:rsidR="008A4FC5" w:rsidRPr="0080572E">
        <w:rPr>
          <w:sz w:val="22"/>
          <w:szCs w:val="22"/>
        </w:rPr>
        <w:t xml:space="preserve">ontwikkelen. Het project beantwoordt aan de nood om games in te schakelen in het onderwijs door onderzoek te doen naar een platform dat toelaat om op een eenvoudige manier zelf educatieve games te ontwikkelen en te verdelen. </w:t>
      </w:r>
      <w:r w:rsidRPr="0080572E">
        <w:rPr>
          <w:sz w:val="22"/>
          <w:szCs w:val="22"/>
        </w:rPr>
        <w:t>Onder meer</w:t>
      </w:r>
      <w:r w:rsidR="008A4FC5" w:rsidRPr="0080572E">
        <w:rPr>
          <w:sz w:val="22"/>
          <w:szCs w:val="22"/>
        </w:rPr>
        <w:t xml:space="preserve"> GriN, Larian en uitgeverij die Keure zijn binnen dit project actief. </w:t>
      </w:r>
    </w:p>
    <w:p w:rsidR="00C406A4" w:rsidRPr="0080572E" w:rsidRDefault="00C406A4" w:rsidP="00C53E4B">
      <w:pPr>
        <w:jc w:val="both"/>
        <w:rPr>
          <w:sz w:val="22"/>
          <w:szCs w:val="22"/>
        </w:rPr>
      </w:pPr>
    </w:p>
    <w:p w:rsidR="008A4FC5" w:rsidRPr="0080572E" w:rsidRDefault="008A4FC5" w:rsidP="00F77477">
      <w:pPr>
        <w:ind w:left="708"/>
        <w:jc w:val="both"/>
        <w:rPr>
          <w:sz w:val="22"/>
          <w:szCs w:val="22"/>
        </w:rPr>
      </w:pPr>
      <w:r w:rsidRPr="0080572E">
        <w:rPr>
          <w:sz w:val="22"/>
          <w:szCs w:val="22"/>
        </w:rPr>
        <w:t xml:space="preserve">OMEGA heeft als doel een beter inzicht te krijgen in het economisch rendabel lanceren van zogenaamde </w:t>
      </w:r>
      <w:r w:rsidR="00C406A4" w:rsidRPr="0080572E">
        <w:rPr>
          <w:sz w:val="22"/>
          <w:szCs w:val="22"/>
        </w:rPr>
        <w:t>“</w:t>
      </w:r>
      <w:r w:rsidRPr="0080572E">
        <w:rPr>
          <w:sz w:val="22"/>
          <w:szCs w:val="22"/>
        </w:rPr>
        <w:t xml:space="preserve">Massive Multiplayer Online (MMO) </w:t>
      </w:r>
      <w:r w:rsidR="0081558A" w:rsidRPr="0080572E">
        <w:rPr>
          <w:sz w:val="22"/>
          <w:szCs w:val="22"/>
        </w:rPr>
        <w:t>g</w:t>
      </w:r>
      <w:r w:rsidRPr="0080572E">
        <w:rPr>
          <w:sz w:val="22"/>
          <w:szCs w:val="22"/>
        </w:rPr>
        <w:t>ames</w:t>
      </w:r>
      <w:r w:rsidR="00C406A4" w:rsidRPr="0080572E">
        <w:rPr>
          <w:sz w:val="22"/>
          <w:szCs w:val="22"/>
        </w:rPr>
        <w:t>”</w:t>
      </w:r>
      <w:r w:rsidRPr="0080572E">
        <w:rPr>
          <w:sz w:val="22"/>
          <w:szCs w:val="22"/>
        </w:rPr>
        <w:t>. Dit zijn games waarbij de software online op hetzelfde moment door honderden</w:t>
      </w:r>
      <w:r w:rsidR="00C406A4" w:rsidRPr="0080572E">
        <w:rPr>
          <w:sz w:val="22"/>
          <w:szCs w:val="22"/>
        </w:rPr>
        <w:t xml:space="preserve"> – </w:t>
      </w:r>
      <w:r w:rsidRPr="0080572E">
        <w:rPr>
          <w:sz w:val="22"/>
          <w:szCs w:val="22"/>
        </w:rPr>
        <w:t>zelfs</w:t>
      </w:r>
      <w:r w:rsidR="00C406A4" w:rsidRPr="0080572E">
        <w:rPr>
          <w:sz w:val="22"/>
          <w:szCs w:val="22"/>
        </w:rPr>
        <w:t xml:space="preserve"> </w:t>
      </w:r>
      <w:r w:rsidRPr="0080572E">
        <w:rPr>
          <w:sz w:val="22"/>
          <w:szCs w:val="22"/>
        </w:rPr>
        <w:t>miljoenen</w:t>
      </w:r>
      <w:r w:rsidR="00C406A4" w:rsidRPr="0080572E">
        <w:rPr>
          <w:sz w:val="22"/>
          <w:szCs w:val="22"/>
        </w:rPr>
        <w:t xml:space="preserve"> – </w:t>
      </w:r>
      <w:r w:rsidRPr="0080572E">
        <w:rPr>
          <w:sz w:val="22"/>
          <w:szCs w:val="22"/>
        </w:rPr>
        <w:t>mensen</w:t>
      </w:r>
      <w:r w:rsidR="00C406A4" w:rsidRPr="0080572E">
        <w:rPr>
          <w:sz w:val="22"/>
          <w:szCs w:val="22"/>
        </w:rPr>
        <w:t xml:space="preserve"> </w:t>
      </w:r>
      <w:r w:rsidRPr="0080572E">
        <w:rPr>
          <w:sz w:val="22"/>
          <w:szCs w:val="22"/>
        </w:rPr>
        <w:t>tegelijk gebruikt kan worden. Het project stelt zich tot doel om de mogelijkheden en technologieën rond MMO</w:t>
      </w:r>
      <w:r w:rsidR="00C406A4" w:rsidRPr="0080572E">
        <w:rPr>
          <w:sz w:val="22"/>
          <w:szCs w:val="22"/>
        </w:rPr>
        <w:t>-</w:t>
      </w:r>
      <w:r w:rsidRPr="0080572E">
        <w:rPr>
          <w:sz w:val="22"/>
          <w:szCs w:val="22"/>
        </w:rPr>
        <w:t xml:space="preserve">games te verkennen voor kleinere producenten in Vlaanderen. </w:t>
      </w:r>
      <w:r w:rsidR="000D062B" w:rsidRPr="0080572E">
        <w:rPr>
          <w:sz w:val="22"/>
          <w:szCs w:val="22"/>
        </w:rPr>
        <w:t>Onder meer</w:t>
      </w:r>
      <w:r w:rsidRPr="0080572E">
        <w:rPr>
          <w:sz w:val="22"/>
          <w:szCs w:val="22"/>
        </w:rPr>
        <w:t xml:space="preserve"> GriN, Neopica en Visual Impact zijn binnen dit project actief.</w:t>
      </w:r>
    </w:p>
    <w:p w:rsidR="000D062B" w:rsidRPr="0080572E" w:rsidRDefault="000D062B" w:rsidP="00C53E4B">
      <w:pPr>
        <w:jc w:val="both"/>
        <w:rPr>
          <w:sz w:val="22"/>
          <w:szCs w:val="22"/>
        </w:rPr>
      </w:pPr>
    </w:p>
    <w:p w:rsidR="008A4FC5" w:rsidRPr="0080572E" w:rsidRDefault="000D062B" w:rsidP="00F77477">
      <w:pPr>
        <w:ind w:left="709" w:hanging="283"/>
        <w:jc w:val="both"/>
        <w:rPr>
          <w:sz w:val="22"/>
          <w:szCs w:val="22"/>
        </w:rPr>
      </w:pPr>
      <w:r w:rsidRPr="0080572E">
        <w:rPr>
          <w:sz w:val="22"/>
          <w:szCs w:val="22"/>
        </w:rPr>
        <w:t>e.</w:t>
      </w:r>
      <w:r w:rsidRPr="0080572E">
        <w:rPr>
          <w:sz w:val="22"/>
          <w:szCs w:val="22"/>
        </w:rPr>
        <w:tab/>
      </w:r>
      <w:r w:rsidR="008A4FC5" w:rsidRPr="0080572E">
        <w:rPr>
          <w:sz w:val="22"/>
          <w:szCs w:val="22"/>
        </w:rPr>
        <w:t xml:space="preserve">G@S is volledig op het educatieve aspect van </w:t>
      </w:r>
      <w:r w:rsidRPr="0080572E">
        <w:rPr>
          <w:sz w:val="22"/>
          <w:szCs w:val="22"/>
        </w:rPr>
        <w:t>(serious) gamen</w:t>
      </w:r>
      <w:r w:rsidR="008A4FC5" w:rsidRPr="0080572E">
        <w:rPr>
          <w:sz w:val="22"/>
          <w:szCs w:val="22"/>
        </w:rPr>
        <w:t xml:space="preserve"> </w:t>
      </w:r>
      <w:r w:rsidRPr="0080572E">
        <w:rPr>
          <w:sz w:val="22"/>
          <w:szCs w:val="22"/>
        </w:rPr>
        <w:t>ge</w:t>
      </w:r>
      <w:r w:rsidR="008A4FC5" w:rsidRPr="0080572E">
        <w:rPr>
          <w:sz w:val="22"/>
          <w:szCs w:val="22"/>
        </w:rPr>
        <w:t>richt. In dit onderzoek komen zowel technische innovatie aan bod als het verbeteren van het gebruiksgemak om op die manier ook leerkrachten actief te laten deelnemen aan zowel het gebruik als de creatie van nieuwe games. Het OMEGA</w:t>
      </w:r>
      <w:r w:rsidRPr="0080572E">
        <w:rPr>
          <w:sz w:val="22"/>
          <w:szCs w:val="22"/>
        </w:rPr>
        <w:t>-</w:t>
      </w:r>
      <w:r w:rsidR="008A4FC5" w:rsidRPr="0080572E">
        <w:rPr>
          <w:sz w:val="22"/>
          <w:szCs w:val="22"/>
        </w:rPr>
        <w:t xml:space="preserve">project is minder gefocust op onderwijs en meer op de basistechnologie die toelaat om een specifiek type van games te produceren, </w:t>
      </w:r>
      <w:r w:rsidRPr="0080572E">
        <w:rPr>
          <w:sz w:val="22"/>
          <w:szCs w:val="22"/>
        </w:rPr>
        <w:t>namelijk</w:t>
      </w:r>
      <w:r w:rsidR="008A4FC5" w:rsidRPr="0080572E">
        <w:rPr>
          <w:sz w:val="22"/>
          <w:szCs w:val="22"/>
        </w:rPr>
        <w:t xml:space="preserve"> de MMO</w:t>
      </w:r>
      <w:r w:rsidRPr="0080572E">
        <w:rPr>
          <w:sz w:val="22"/>
          <w:szCs w:val="22"/>
        </w:rPr>
        <w:t>-g</w:t>
      </w:r>
      <w:r w:rsidR="008A4FC5" w:rsidRPr="0080572E">
        <w:rPr>
          <w:sz w:val="22"/>
          <w:szCs w:val="22"/>
        </w:rPr>
        <w:t>ames</w:t>
      </w:r>
      <w:r w:rsidRPr="0080572E">
        <w:rPr>
          <w:sz w:val="22"/>
          <w:szCs w:val="22"/>
        </w:rPr>
        <w:t xml:space="preserve"> (zie antwoord op deelvraag 4d)</w:t>
      </w:r>
      <w:r w:rsidR="008A4FC5" w:rsidRPr="0080572E">
        <w:rPr>
          <w:sz w:val="22"/>
          <w:szCs w:val="22"/>
        </w:rPr>
        <w:t xml:space="preserve">. </w:t>
      </w:r>
      <w:r w:rsidRPr="0080572E">
        <w:rPr>
          <w:sz w:val="22"/>
          <w:szCs w:val="22"/>
        </w:rPr>
        <w:t>Teneinde</w:t>
      </w:r>
      <w:r w:rsidR="008A4FC5" w:rsidRPr="0080572E">
        <w:rPr>
          <w:sz w:val="22"/>
          <w:szCs w:val="22"/>
        </w:rPr>
        <w:t xml:space="preserve"> </w:t>
      </w:r>
      <w:r w:rsidRPr="0080572E">
        <w:rPr>
          <w:sz w:val="22"/>
          <w:szCs w:val="22"/>
        </w:rPr>
        <w:t>d</w:t>
      </w:r>
      <w:r w:rsidR="008A4FC5" w:rsidRPr="0080572E">
        <w:rPr>
          <w:sz w:val="22"/>
          <w:szCs w:val="22"/>
        </w:rPr>
        <w:t>e Vlaamse gam</w:t>
      </w:r>
      <w:r w:rsidRPr="0080572E">
        <w:rPr>
          <w:sz w:val="22"/>
          <w:szCs w:val="22"/>
        </w:rPr>
        <w:t>e-</w:t>
      </w:r>
      <w:r w:rsidR="008A4FC5" w:rsidRPr="0080572E">
        <w:rPr>
          <w:sz w:val="22"/>
          <w:szCs w:val="22"/>
        </w:rPr>
        <w:t xml:space="preserve">industrie </w:t>
      </w:r>
      <w:r w:rsidRPr="0080572E">
        <w:rPr>
          <w:sz w:val="22"/>
          <w:szCs w:val="22"/>
        </w:rPr>
        <w:t>toe te laten om</w:t>
      </w:r>
      <w:r w:rsidR="008A4FC5" w:rsidRPr="0080572E">
        <w:rPr>
          <w:sz w:val="22"/>
          <w:szCs w:val="22"/>
        </w:rPr>
        <w:t xml:space="preserve"> ook op dit vlak op een </w:t>
      </w:r>
      <w:r w:rsidRPr="0080572E">
        <w:rPr>
          <w:sz w:val="22"/>
          <w:szCs w:val="22"/>
        </w:rPr>
        <w:t xml:space="preserve">kostefficiënte </w:t>
      </w:r>
      <w:r w:rsidR="008A4FC5" w:rsidRPr="0080572E">
        <w:rPr>
          <w:sz w:val="22"/>
          <w:szCs w:val="22"/>
        </w:rPr>
        <w:t xml:space="preserve">manier producten te ontwikkelen, hebben een aantal bedrijven zich in dit project verenigd om een nieuw platform te ontwikkelen om op die manier beter de concurrentie met het buitenland </w:t>
      </w:r>
      <w:r w:rsidRPr="0080572E">
        <w:rPr>
          <w:sz w:val="22"/>
          <w:szCs w:val="22"/>
        </w:rPr>
        <w:t>te kunnen aan</w:t>
      </w:r>
      <w:r w:rsidR="008A4FC5" w:rsidRPr="0080572E">
        <w:rPr>
          <w:sz w:val="22"/>
          <w:szCs w:val="22"/>
        </w:rPr>
        <w:t>gaan. Dit platform kan later gebruikt worden voor verschillende doelgroepen (waaronder bijvoorbeeld het onderwijs).</w:t>
      </w:r>
    </w:p>
    <w:p w:rsidR="008A4FC5" w:rsidRDefault="008A4FC5" w:rsidP="00C53E4B">
      <w:pPr>
        <w:pStyle w:val="StandaardSV"/>
        <w:rPr>
          <w:szCs w:val="22"/>
        </w:rPr>
      </w:pPr>
    </w:p>
    <w:p w:rsidR="00F77477" w:rsidRPr="0080572E" w:rsidRDefault="00F77477" w:rsidP="00C53E4B">
      <w:pPr>
        <w:pStyle w:val="StandaardSV"/>
        <w:rPr>
          <w:szCs w:val="22"/>
        </w:rPr>
      </w:pPr>
    </w:p>
    <w:p w:rsidR="00023881" w:rsidRPr="00F77477" w:rsidRDefault="00023881" w:rsidP="00C53E4B">
      <w:pPr>
        <w:pStyle w:val="StandaardSV"/>
        <w:rPr>
          <w:szCs w:val="22"/>
        </w:rPr>
      </w:pPr>
      <w:r w:rsidRPr="00F77477">
        <w:rPr>
          <w:b/>
          <w:bCs/>
          <w:smallCaps/>
          <w:color w:val="FF0000"/>
          <w:szCs w:val="22"/>
        </w:rPr>
        <w:t>bijlage</w:t>
      </w:r>
    </w:p>
    <w:p w:rsidR="00023881" w:rsidRPr="0080572E" w:rsidRDefault="00023881" w:rsidP="00C53E4B">
      <w:pPr>
        <w:pStyle w:val="StandaardSV"/>
        <w:rPr>
          <w:szCs w:val="22"/>
        </w:rPr>
      </w:pPr>
    </w:p>
    <w:p w:rsidR="00023881" w:rsidRPr="000D062B" w:rsidRDefault="00023881" w:rsidP="00C53E4B">
      <w:pPr>
        <w:pStyle w:val="StandaardSV"/>
        <w:rPr>
          <w:szCs w:val="22"/>
        </w:rPr>
      </w:pPr>
      <w:r w:rsidRPr="0080572E">
        <w:rPr>
          <w:szCs w:val="22"/>
        </w:rPr>
        <w:t>Overzicht van projecten in de gamesector gesteund door het agentschap voor Innovatie door Wetenschap</w:t>
      </w:r>
      <w:r w:rsidR="00F77477">
        <w:rPr>
          <w:szCs w:val="22"/>
        </w:rPr>
        <w:t xml:space="preserve"> en Technologie (IWT)</w:t>
      </w:r>
      <w:bookmarkStart w:id="0" w:name="_GoBack"/>
      <w:bookmarkEnd w:id="0"/>
    </w:p>
    <w:sectPr w:rsidR="00023881" w:rsidRPr="000D062B" w:rsidSect="004D18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FA" w:rsidRDefault="00BE19FA" w:rsidP="00C143D1">
      <w:r>
        <w:separator/>
      </w:r>
    </w:p>
  </w:endnote>
  <w:endnote w:type="continuationSeparator" w:id="0">
    <w:p w:rsidR="00BE19FA" w:rsidRDefault="00BE19FA" w:rsidP="00C143D1">
      <w:r>
        <w:continuationSeparator/>
      </w:r>
    </w:p>
  </w:endnote>
  <w:endnote w:type="continuationNotice" w:id="1">
    <w:p w:rsidR="00BE19FA" w:rsidRDefault="00BE1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FA" w:rsidRDefault="00BE19FA" w:rsidP="00C143D1">
      <w:r>
        <w:separator/>
      </w:r>
    </w:p>
  </w:footnote>
  <w:footnote w:type="continuationSeparator" w:id="0">
    <w:p w:rsidR="00BE19FA" w:rsidRDefault="00BE19FA" w:rsidP="00C143D1">
      <w:r>
        <w:continuationSeparator/>
      </w:r>
    </w:p>
  </w:footnote>
  <w:footnote w:type="continuationNotice" w:id="1">
    <w:p w:rsidR="00BE19FA" w:rsidRDefault="00BE19FA"/>
  </w:footnote>
  <w:footnote w:id="2">
    <w:p w:rsidR="00680188" w:rsidRDefault="00680188" w:rsidP="00680188">
      <w:pPr>
        <w:pStyle w:val="StandaardSV"/>
        <w:ind w:left="360"/>
        <w:jc w:val="left"/>
        <w:rPr>
          <w:lang w:val="en-GB"/>
        </w:rPr>
      </w:pPr>
      <w:r>
        <w:rPr>
          <w:rStyle w:val="Voetnootmarkering"/>
        </w:rPr>
        <w:footnoteRef/>
      </w:r>
      <w:r w:rsidRPr="00405257">
        <w:rPr>
          <w:lang w:val="en-US"/>
        </w:rPr>
        <w:t xml:space="preserve"> Niet limitatieve lijst van game developers ter illustratie: </w:t>
      </w:r>
      <w:r>
        <w:rPr>
          <w:lang w:val="en-GB"/>
        </w:rPr>
        <w:t>Tale of Tales, GriN, Sakari games, Aim Productions, Gabitasoft, Atomik, City in a bottle, Dirty Dogs Development, Disaster games, Nuclide, Stonefish, Lauwers games, Workspace Unlimited, Neopica, Visual Impact, Calibrate, Edu-Vision, Atomik, Indie Group, Miracle Designs, Larian Studios</w:t>
      </w:r>
    </w:p>
    <w:p w:rsidR="00680188" w:rsidRPr="007A1CC0" w:rsidRDefault="00680188" w:rsidP="00680188">
      <w:pPr>
        <w:pStyle w:val="StandaardSV"/>
        <w:ind w:left="360"/>
        <w:jc w:val="left"/>
        <w:rPr>
          <w:lang w:val="en-US"/>
        </w:rPr>
      </w:pPr>
    </w:p>
    <w:p w:rsidR="00680188" w:rsidRPr="00405257" w:rsidRDefault="00680188">
      <w:pPr>
        <w:pStyle w:val="Voetnoottekst"/>
        <w:rPr>
          <w:lang w:val="en-US"/>
        </w:rPr>
      </w:pPr>
    </w:p>
  </w:footnote>
  <w:footnote w:id="3">
    <w:p w:rsidR="00C143D1" w:rsidRPr="00405257" w:rsidRDefault="00C143D1">
      <w:pPr>
        <w:pStyle w:val="Voetnoottekst"/>
        <w:rPr>
          <w:lang w:val="en-US"/>
        </w:rPr>
      </w:pPr>
      <w:r>
        <w:rPr>
          <w:rStyle w:val="Voetnootmarkering"/>
        </w:rPr>
        <w:footnoteRef/>
      </w:r>
      <w:r w:rsidRPr="00405257">
        <w:rPr>
          <w:lang w:val="en-US"/>
        </w:rPr>
        <w:t xml:space="preserve"> </w:t>
      </w:r>
      <w:hyperlink r:id="rId1" w:history="1">
        <w:r w:rsidR="00DD5704" w:rsidRPr="00405257">
          <w:rPr>
            <w:rStyle w:val="Hyperlink"/>
            <w:lang w:val="en-US"/>
          </w:rPr>
          <w:t>http://www.ibbt.be/nl/onderzoek/overzicht-projecten/p/detail/g-at-s</w:t>
        </w:r>
      </w:hyperlink>
      <w:r w:rsidRPr="00405257">
        <w:rPr>
          <w:lang w:val="en-US"/>
        </w:rPr>
        <w:t>.</w:t>
      </w:r>
    </w:p>
  </w:footnote>
  <w:footnote w:id="4">
    <w:p w:rsidR="00C143D1" w:rsidRPr="00405257" w:rsidRDefault="00C143D1">
      <w:pPr>
        <w:pStyle w:val="Voetnoottekst"/>
        <w:rPr>
          <w:lang w:val="en-US"/>
        </w:rPr>
      </w:pPr>
      <w:r>
        <w:rPr>
          <w:rStyle w:val="Voetnootmarkering"/>
        </w:rPr>
        <w:footnoteRef/>
      </w:r>
      <w:r w:rsidRPr="00405257">
        <w:rPr>
          <w:lang w:val="en-US"/>
        </w:rPr>
        <w:t xml:space="preserve"> </w:t>
      </w:r>
      <w:hyperlink r:id="rId2" w:history="1">
        <w:r w:rsidR="00DD5704" w:rsidRPr="00405257">
          <w:rPr>
            <w:rStyle w:val="Hyperlink"/>
            <w:lang w:val="en-US"/>
          </w:rPr>
          <w:t>http://www.ibbt.be/nl/onderzoek/overzicht-projecten/p/detail/omega-2</w:t>
        </w:r>
      </w:hyperlink>
      <w:r w:rsidRPr="00405257">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8805078"/>
    <w:multiLevelType w:val="hybridMultilevel"/>
    <w:tmpl w:val="9C12D9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34A0D92"/>
    <w:multiLevelType w:val="hybridMultilevel"/>
    <w:tmpl w:val="389C32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6F53AC0"/>
    <w:multiLevelType w:val="hybridMultilevel"/>
    <w:tmpl w:val="1E9210A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29402430"/>
    <w:multiLevelType w:val="hybridMultilevel"/>
    <w:tmpl w:val="155266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30574820"/>
    <w:multiLevelType w:val="hybridMultilevel"/>
    <w:tmpl w:val="5ABC369C"/>
    <w:lvl w:ilvl="0" w:tplc="C286091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391A4FB8"/>
    <w:multiLevelType w:val="hybridMultilevel"/>
    <w:tmpl w:val="F84AF7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BA15508"/>
    <w:multiLevelType w:val="hybridMultilevel"/>
    <w:tmpl w:val="B2864D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5CB2DFC"/>
    <w:multiLevelType w:val="hybridMultilevel"/>
    <w:tmpl w:val="A73C1E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9993E67"/>
    <w:multiLevelType w:val="hybridMultilevel"/>
    <w:tmpl w:val="7166EC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4B512EBA"/>
    <w:multiLevelType w:val="hybridMultilevel"/>
    <w:tmpl w:val="C7F0E7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C556E54"/>
    <w:multiLevelType w:val="hybridMultilevel"/>
    <w:tmpl w:val="8FA8B4B4"/>
    <w:lvl w:ilvl="0" w:tplc="C2860914">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69150F97"/>
    <w:multiLevelType w:val="hybridMultilevel"/>
    <w:tmpl w:val="7CA67F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A3B391C"/>
    <w:multiLevelType w:val="hybridMultilevel"/>
    <w:tmpl w:val="2E6E9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15930A0"/>
    <w:multiLevelType w:val="hybridMultilevel"/>
    <w:tmpl w:val="5AFC0F3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DF503D7"/>
    <w:multiLevelType w:val="hybridMultilevel"/>
    <w:tmpl w:val="D7F804A8"/>
    <w:lvl w:ilvl="0" w:tplc="115C72A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7E6F35C8"/>
    <w:multiLevelType w:val="hybridMultilevel"/>
    <w:tmpl w:val="F25C64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6"/>
  </w:num>
  <w:num w:numId="3">
    <w:abstractNumId w:val="1"/>
  </w:num>
  <w:num w:numId="4">
    <w:abstractNumId w:val="21"/>
  </w:num>
  <w:num w:numId="5">
    <w:abstractNumId w:val="15"/>
  </w:num>
  <w:num w:numId="6">
    <w:abstractNumId w:val="5"/>
  </w:num>
  <w:num w:numId="7">
    <w:abstractNumId w:val="4"/>
  </w:num>
  <w:num w:numId="8">
    <w:abstractNumId w:val="18"/>
  </w:num>
  <w:num w:numId="9">
    <w:abstractNumId w:val="9"/>
  </w:num>
  <w:num w:numId="10">
    <w:abstractNumId w:val="0"/>
  </w:num>
  <w:num w:numId="11">
    <w:abstractNumId w:val="22"/>
  </w:num>
  <w:num w:numId="12">
    <w:abstractNumId w:val="2"/>
  </w:num>
  <w:num w:numId="13">
    <w:abstractNumId w:val="11"/>
  </w:num>
  <w:num w:numId="14">
    <w:abstractNumId w:val="10"/>
  </w:num>
  <w:num w:numId="15">
    <w:abstractNumId w:val="3"/>
  </w:num>
  <w:num w:numId="16">
    <w:abstractNumId w:val="19"/>
  </w:num>
  <w:num w:numId="17">
    <w:abstractNumId w:val="8"/>
  </w:num>
  <w:num w:numId="18">
    <w:abstractNumId w:val="7"/>
  </w:num>
  <w:num w:numId="19">
    <w:abstractNumId w:val="25"/>
  </w:num>
  <w:num w:numId="20">
    <w:abstractNumId w:val="27"/>
  </w:num>
  <w:num w:numId="21">
    <w:abstractNumId w:val="14"/>
  </w:num>
  <w:num w:numId="22">
    <w:abstractNumId w:val="26"/>
  </w:num>
  <w:num w:numId="23">
    <w:abstractNumId w:val="24"/>
  </w:num>
  <w:num w:numId="24">
    <w:abstractNumId w:val="17"/>
  </w:num>
  <w:num w:numId="25">
    <w:abstractNumId w:val="16"/>
  </w:num>
  <w:num w:numId="26">
    <w:abstractNumId w:val="20"/>
  </w:num>
  <w:num w:numId="27">
    <w:abstractNumId w:val="12"/>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941198"/>
    <w:rsid w:val="00004A46"/>
    <w:rsid w:val="00005847"/>
    <w:rsid w:val="000120A5"/>
    <w:rsid w:val="00023881"/>
    <w:rsid w:val="000464A2"/>
    <w:rsid w:val="00070064"/>
    <w:rsid w:val="00071DA4"/>
    <w:rsid w:val="00080040"/>
    <w:rsid w:val="0008539A"/>
    <w:rsid w:val="000D062B"/>
    <w:rsid w:val="000D45C2"/>
    <w:rsid w:val="000D72D2"/>
    <w:rsid w:val="000E23F8"/>
    <w:rsid w:val="001014B8"/>
    <w:rsid w:val="00171F2E"/>
    <w:rsid w:val="00173B48"/>
    <w:rsid w:val="00187BFC"/>
    <w:rsid w:val="001D6902"/>
    <w:rsid w:val="001E4BBA"/>
    <w:rsid w:val="00247D36"/>
    <w:rsid w:val="00282A94"/>
    <w:rsid w:val="002C11E0"/>
    <w:rsid w:val="002D7B15"/>
    <w:rsid w:val="002E6F28"/>
    <w:rsid w:val="00343A8F"/>
    <w:rsid w:val="003B3AA3"/>
    <w:rsid w:val="003F270D"/>
    <w:rsid w:val="00405257"/>
    <w:rsid w:val="00427E2D"/>
    <w:rsid w:val="00447957"/>
    <w:rsid w:val="004724C8"/>
    <w:rsid w:val="00487DEC"/>
    <w:rsid w:val="00493ED3"/>
    <w:rsid w:val="004A554A"/>
    <w:rsid w:val="004D1849"/>
    <w:rsid w:val="004D2F51"/>
    <w:rsid w:val="004D41CD"/>
    <w:rsid w:val="004D7979"/>
    <w:rsid w:val="004E27C5"/>
    <w:rsid w:val="005051B9"/>
    <w:rsid w:val="005A0D53"/>
    <w:rsid w:val="005A4CDD"/>
    <w:rsid w:val="005F000B"/>
    <w:rsid w:val="0061206A"/>
    <w:rsid w:val="006214C5"/>
    <w:rsid w:val="00630DFF"/>
    <w:rsid w:val="00647172"/>
    <w:rsid w:val="00663F67"/>
    <w:rsid w:val="00667CE6"/>
    <w:rsid w:val="00677004"/>
    <w:rsid w:val="00680188"/>
    <w:rsid w:val="00693743"/>
    <w:rsid w:val="006C7714"/>
    <w:rsid w:val="006E27DA"/>
    <w:rsid w:val="006E41D6"/>
    <w:rsid w:val="006F29F5"/>
    <w:rsid w:val="006F49EA"/>
    <w:rsid w:val="00760EE7"/>
    <w:rsid w:val="0078435B"/>
    <w:rsid w:val="007A1CC0"/>
    <w:rsid w:val="007A7738"/>
    <w:rsid w:val="007B1A23"/>
    <w:rsid w:val="007B7B45"/>
    <w:rsid w:val="007E2BBA"/>
    <w:rsid w:val="007F4EB4"/>
    <w:rsid w:val="0080572E"/>
    <w:rsid w:val="0081558A"/>
    <w:rsid w:val="0083747B"/>
    <w:rsid w:val="00842F2E"/>
    <w:rsid w:val="00844521"/>
    <w:rsid w:val="0085492F"/>
    <w:rsid w:val="008A4FC5"/>
    <w:rsid w:val="008C1681"/>
    <w:rsid w:val="008E69AD"/>
    <w:rsid w:val="00927619"/>
    <w:rsid w:val="00941198"/>
    <w:rsid w:val="0095631A"/>
    <w:rsid w:val="009864CE"/>
    <w:rsid w:val="00993E61"/>
    <w:rsid w:val="009C170D"/>
    <w:rsid w:val="009C245A"/>
    <w:rsid w:val="009C6118"/>
    <w:rsid w:val="009F10A6"/>
    <w:rsid w:val="00A25D81"/>
    <w:rsid w:val="00AB4842"/>
    <w:rsid w:val="00AC0936"/>
    <w:rsid w:val="00AC661D"/>
    <w:rsid w:val="00AC7789"/>
    <w:rsid w:val="00AD78E8"/>
    <w:rsid w:val="00B6547D"/>
    <w:rsid w:val="00BD07FB"/>
    <w:rsid w:val="00BE19FA"/>
    <w:rsid w:val="00C143D1"/>
    <w:rsid w:val="00C17E40"/>
    <w:rsid w:val="00C406A4"/>
    <w:rsid w:val="00C47751"/>
    <w:rsid w:val="00C53E4B"/>
    <w:rsid w:val="00C75C7E"/>
    <w:rsid w:val="00C825D7"/>
    <w:rsid w:val="00CC63C8"/>
    <w:rsid w:val="00CC6D55"/>
    <w:rsid w:val="00CD1426"/>
    <w:rsid w:val="00CE62FA"/>
    <w:rsid w:val="00CF4E65"/>
    <w:rsid w:val="00D55F25"/>
    <w:rsid w:val="00D77B94"/>
    <w:rsid w:val="00DD5704"/>
    <w:rsid w:val="00DF6517"/>
    <w:rsid w:val="00E42C74"/>
    <w:rsid w:val="00E61038"/>
    <w:rsid w:val="00E74666"/>
    <w:rsid w:val="00E80FF1"/>
    <w:rsid w:val="00E83F92"/>
    <w:rsid w:val="00E86130"/>
    <w:rsid w:val="00E91B2D"/>
    <w:rsid w:val="00EA61A9"/>
    <w:rsid w:val="00ED6034"/>
    <w:rsid w:val="00EF1A1E"/>
    <w:rsid w:val="00EF296F"/>
    <w:rsid w:val="00F02F84"/>
    <w:rsid w:val="00F41D9D"/>
    <w:rsid w:val="00F52CAF"/>
    <w:rsid w:val="00F77477"/>
    <w:rsid w:val="00F94609"/>
    <w:rsid w:val="00FB1374"/>
    <w:rsid w:val="00FB1747"/>
    <w:rsid w:val="00FB2AE5"/>
    <w:rsid w:val="00FC1093"/>
    <w:rsid w:val="00FC489F"/>
    <w:rsid w:val="00FD59B6"/>
    <w:rsid w:val="00FF6C7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D1849"/>
    <w:rPr>
      <w:sz w:val="24"/>
      <w:lang w:val="nl-NL" w:eastAsia="nl-NL"/>
    </w:rPr>
  </w:style>
  <w:style w:type="paragraph" w:styleId="Kop1">
    <w:name w:val="heading 1"/>
    <w:basedOn w:val="Standaard"/>
    <w:next w:val="Standaard"/>
    <w:qFormat/>
    <w:rsid w:val="004D1849"/>
    <w:pPr>
      <w:keepNext/>
      <w:numPr>
        <w:numId w:val="2"/>
      </w:numPr>
      <w:jc w:val="both"/>
      <w:outlineLvl w:val="0"/>
    </w:pPr>
    <w:rPr>
      <w:b/>
      <w:caps/>
    </w:rPr>
  </w:style>
  <w:style w:type="paragraph" w:styleId="Kop2">
    <w:name w:val="heading 2"/>
    <w:basedOn w:val="Standaard"/>
    <w:next w:val="Standaard"/>
    <w:qFormat/>
    <w:rsid w:val="004D1849"/>
    <w:pPr>
      <w:keepNext/>
      <w:tabs>
        <w:tab w:val="num" w:pos="567"/>
      </w:tabs>
      <w:ind w:left="567" w:hanging="567"/>
      <w:outlineLvl w:val="1"/>
    </w:pPr>
    <w:rPr>
      <w:b/>
    </w:rPr>
  </w:style>
  <w:style w:type="paragraph" w:styleId="Kop3">
    <w:name w:val="heading 3"/>
    <w:basedOn w:val="Standaard"/>
    <w:next w:val="Standaard"/>
    <w:qFormat/>
    <w:rsid w:val="004D1849"/>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4D1849"/>
    <w:pPr>
      <w:framePr w:w="7920" w:h="1980" w:hRule="exact" w:hSpace="141" w:wrap="auto" w:hAnchor="page" w:xAlign="center" w:yAlign="bottom"/>
      <w:ind w:left="2880"/>
    </w:pPr>
  </w:style>
  <w:style w:type="paragraph" w:styleId="Afzender">
    <w:name w:val="envelope return"/>
    <w:basedOn w:val="Standaard"/>
    <w:rsid w:val="004D1849"/>
  </w:style>
  <w:style w:type="paragraph" w:styleId="Inhopg1">
    <w:name w:val="toc 1"/>
    <w:basedOn w:val="Standaard"/>
    <w:next w:val="Standaard"/>
    <w:autoRedefine/>
    <w:semiHidden/>
    <w:rsid w:val="004D1849"/>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4D1849"/>
    <w:pPr>
      <w:tabs>
        <w:tab w:val="right" w:leader="dot" w:pos="9741"/>
      </w:tabs>
      <w:spacing w:before="80" w:after="80"/>
      <w:ind w:left="1134" w:hanging="567"/>
    </w:pPr>
    <w:rPr>
      <w:noProof/>
    </w:rPr>
  </w:style>
  <w:style w:type="paragraph" w:styleId="Inhopg3">
    <w:name w:val="toc 3"/>
    <w:basedOn w:val="Standaard"/>
    <w:next w:val="Standaard"/>
    <w:autoRedefine/>
    <w:semiHidden/>
    <w:rsid w:val="004D1849"/>
    <w:pPr>
      <w:tabs>
        <w:tab w:val="right" w:leader="dot" w:pos="9741"/>
      </w:tabs>
      <w:spacing w:before="40" w:after="40"/>
      <w:ind w:left="1701" w:hanging="567"/>
    </w:pPr>
    <w:rPr>
      <w:i/>
    </w:rPr>
  </w:style>
  <w:style w:type="paragraph" w:styleId="Plattetekst2">
    <w:name w:val="Body Text 2"/>
    <w:basedOn w:val="Standaard"/>
    <w:rsid w:val="004D1849"/>
    <w:pPr>
      <w:jc w:val="both"/>
    </w:pPr>
    <w:rPr>
      <w:i/>
      <w:sz w:val="22"/>
    </w:rPr>
  </w:style>
  <w:style w:type="paragraph" w:styleId="Lijstalinea">
    <w:name w:val="List Paragraph"/>
    <w:basedOn w:val="Standaard"/>
    <w:uiPriority w:val="34"/>
    <w:qFormat/>
    <w:rsid w:val="002C11E0"/>
    <w:pPr>
      <w:ind w:left="708"/>
    </w:pPr>
  </w:style>
  <w:style w:type="paragraph" w:customStyle="1" w:styleId="SVVlaamsParlement">
    <w:name w:val="SV Vlaams Parlement"/>
    <w:basedOn w:val="Standaard"/>
    <w:rsid w:val="004D1849"/>
    <w:pPr>
      <w:jc w:val="both"/>
    </w:pPr>
    <w:rPr>
      <w:b/>
      <w:smallCaps/>
      <w:sz w:val="22"/>
    </w:rPr>
  </w:style>
  <w:style w:type="paragraph" w:customStyle="1" w:styleId="SVTitel">
    <w:name w:val="SV Titel"/>
    <w:basedOn w:val="Standaard"/>
    <w:rsid w:val="004D1849"/>
    <w:pPr>
      <w:jc w:val="both"/>
    </w:pPr>
    <w:rPr>
      <w:i/>
      <w:sz w:val="22"/>
    </w:rPr>
  </w:style>
  <w:style w:type="paragraph" w:customStyle="1" w:styleId="StandaardSV">
    <w:name w:val="Standaard SV"/>
    <w:basedOn w:val="Standaard"/>
    <w:rsid w:val="004D1849"/>
    <w:pPr>
      <w:jc w:val="both"/>
    </w:pPr>
    <w:rPr>
      <w:sz w:val="22"/>
    </w:rPr>
  </w:style>
  <w:style w:type="paragraph" w:styleId="Ballontekst">
    <w:name w:val="Balloon Text"/>
    <w:basedOn w:val="Standaard"/>
    <w:link w:val="BallontekstChar"/>
    <w:rsid w:val="00FB2AE5"/>
    <w:rPr>
      <w:rFonts w:ascii="Tahoma" w:hAnsi="Tahoma"/>
      <w:sz w:val="16"/>
      <w:szCs w:val="16"/>
    </w:rPr>
  </w:style>
  <w:style w:type="character" w:customStyle="1" w:styleId="BallontekstChar">
    <w:name w:val="Ballontekst Char"/>
    <w:link w:val="Ballontekst"/>
    <w:rsid w:val="00FB2AE5"/>
    <w:rPr>
      <w:rFonts w:ascii="Tahoma" w:hAnsi="Tahoma" w:cs="Tahoma"/>
      <w:sz w:val="16"/>
      <w:szCs w:val="16"/>
      <w:lang w:val="nl-NL" w:eastAsia="nl-NL"/>
    </w:rPr>
  </w:style>
  <w:style w:type="paragraph" w:customStyle="1" w:styleId="Default">
    <w:name w:val="Default"/>
    <w:rsid w:val="00004A46"/>
    <w:pPr>
      <w:autoSpaceDE w:val="0"/>
      <w:autoSpaceDN w:val="0"/>
      <w:adjustRightInd w:val="0"/>
    </w:pPr>
    <w:rPr>
      <w:rFonts w:ascii="Arial" w:hAnsi="Arial" w:cs="Arial"/>
      <w:color w:val="000000"/>
      <w:sz w:val="24"/>
      <w:szCs w:val="24"/>
    </w:rPr>
  </w:style>
  <w:style w:type="character" w:styleId="Hyperlink">
    <w:name w:val="Hyperlink"/>
    <w:basedOn w:val="Standaardalinea-lettertype"/>
    <w:rsid w:val="007B1A23"/>
    <w:rPr>
      <w:color w:val="0000FF" w:themeColor="hyperlink"/>
      <w:u w:val="single"/>
    </w:rPr>
  </w:style>
  <w:style w:type="paragraph" w:styleId="Geenafstand">
    <w:name w:val="No Spacing"/>
    <w:uiPriority w:val="1"/>
    <w:qFormat/>
    <w:rsid w:val="007B1A23"/>
    <w:rPr>
      <w:sz w:val="24"/>
      <w:lang w:val="nl-NL" w:eastAsia="nl-NL"/>
    </w:rPr>
  </w:style>
  <w:style w:type="table" w:styleId="Tabelraster">
    <w:name w:val="Table Grid"/>
    <w:basedOn w:val="Standaardtabel"/>
    <w:rsid w:val="00EF1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C143D1"/>
    <w:rPr>
      <w:sz w:val="20"/>
    </w:rPr>
  </w:style>
  <w:style w:type="character" w:customStyle="1" w:styleId="VoetnoottekstChar">
    <w:name w:val="Voetnoottekst Char"/>
    <w:basedOn w:val="Standaardalinea-lettertype"/>
    <w:link w:val="Voetnoottekst"/>
    <w:rsid w:val="00C143D1"/>
    <w:rPr>
      <w:lang w:val="nl-NL" w:eastAsia="nl-NL"/>
    </w:rPr>
  </w:style>
  <w:style w:type="character" w:styleId="Voetnootmarkering">
    <w:name w:val="footnote reference"/>
    <w:basedOn w:val="Standaardalinea-lettertype"/>
    <w:rsid w:val="00C143D1"/>
    <w:rPr>
      <w:vertAlign w:val="superscript"/>
    </w:rPr>
  </w:style>
  <w:style w:type="character" w:styleId="GevolgdeHyperlink">
    <w:name w:val="FollowedHyperlink"/>
    <w:basedOn w:val="Standaardalinea-lettertype"/>
    <w:rsid w:val="00663F67"/>
    <w:rPr>
      <w:color w:val="800080" w:themeColor="followedHyperlink"/>
      <w:u w:val="single"/>
    </w:rPr>
  </w:style>
  <w:style w:type="character" w:styleId="Verwijzingopmerking">
    <w:name w:val="annotation reference"/>
    <w:basedOn w:val="Standaardalinea-lettertype"/>
    <w:rsid w:val="00487DEC"/>
    <w:rPr>
      <w:sz w:val="16"/>
      <w:szCs w:val="16"/>
    </w:rPr>
  </w:style>
  <w:style w:type="paragraph" w:styleId="Tekstopmerking">
    <w:name w:val="annotation text"/>
    <w:basedOn w:val="Standaard"/>
    <w:link w:val="TekstopmerkingChar"/>
    <w:rsid w:val="00487DEC"/>
    <w:rPr>
      <w:sz w:val="20"/>
    </w:rPr>
  </w:style>
  <w:style w:type="character" w:customStyle="1" w:styleId="TekstopmerkingChar">
    <w:name w:val="Tekst opmerking Char"/>
    <w:basedOn w:val="Standaardalinea-lettertype"/>
    <w:link w:val="Tekstopmerking"/>
    <w:rsid w:val="00487DEC"/>
    <w:rPr>
      <w:lang w:val="nl-NL" w:eastAsia="nl-NL"/>
    </w:rPr>
  </w:style>
  <w:style w:type="paragraph" w:styleId="Onderwerpvanopmerking">
    <w:name w:val="annotation subject"/>
    <w:basedOn w:val="Tekstopmerking"/>
    <w:next w:val="Tekstopmerking"/>
    <w:link w:val="OnderwerpvanopmerkingChar"/>
    <w:rsid w:val="00487DEC"/>
    <w:rPr>
      <w:b/>
      <w:bCs/>
    </w:rPr>
  </w:style>
  <w:style w:type="character" w:customStyle="1" w:styleId="OnderwerpvanopmerkingChar">
    <w:name w:val="Onderwerp van opmerking Char"/>
    <w:basedOn w:val="TekstopmerkingChar"/>
    <w:link w:val="Onderwerpvanopmerking"/>
    <w:rsid w:val="00487DEC"/>
    <w:rPr>
      <w:b/>
      <w:bCs/>
      <w:lang w:val="nl-NL" w:eastAsia="nl-NL"/>
    </w:rPr>
  </w:style>
  <w:style w:type="paragraph" w:styleId="Revisie">
    <w:name w:val="Revision"/>
    <w:hidden/>
    <w:uiPriority w:val="99"/>
    <w:semiHidden/>
    <w:rsid w:val="00487DEC"/>
    <w:rPr>
      <w:sz w:val="24"/>
      <w:lang w:val="nl-NL" w:eastAsia="nl-NL"/>
    </w:rPr>
  </w:style>
  <w:style w:type="paragraph" w:styleId="Koptekst">
    <w:name w:val="header"/>
    <w:basedOn w:val="Standaard"/>
    <w:link w:val="KoptekstChar"/>
    <w:rsid w:val="00CE62FA"/>
    <w:pPr>
      <w:tabs>
        <w:tab w:val="center" w:pos="4536"/>
        <w:tab w:val="right" w:pos="9072"/>
      </w:tabs>
    </w:pPr>
  </w:style>
  <w:style w:type="character" w:customStyle="1" w:styleId="KoptekstChar">
    <w:name w:val="Koptekst Char"/>
    <w:basedOn w:val="Standaardalinea-lettertype"/>
    <w:link w:val="Koptekst"/>
    <w:rsid w:val="00CE62FA"/>
    <w:rPr>
      <w:sz w:val="24"/>
      <w:lang w:val="nl-NL" w:eastAsia="nl-NL"/>
    </w:rPr>
  </w:style>
  <w:style w:type="paragraph" w:styleId="Voettekst">
    <w:name w:val="footer"/>
    <w:basedOn w:val="Standaard"/>
    <w:link w:val="VoettekstChar"/>
    <w:rsid w:val="00CE62FA"/>
    <w:pPr>
      <w:tabs>
        <w:tab w:val="center" w:pos="4536"/>
        <w:tab w:val="right" w:pos="9072"/>
      </w:tabs>
    </w:pPr>
  </w:style>
  <w:style w:type="character" w:customStyle="1" w:styleId="VoettekstChar">
    <w:name w:val="Voettekst Char"/>
    <w:basedOn w:val="Standaardalinea-lettertype"/>
    <w:link w:val="Voettekst"/>
    <w:rsid w:val="00CE62FA"/>
    <w:rPr>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Lijstalinea">
    <w:name w:val="List Paragraph"/>
    <w:basedOn w:val="Standaard"/>
    <w:uiPriority w:val="34"/>
    <w:qFormat/>
    <w:rsid w:val="002C11E0"/>
    <w:pPr>
      <w:ind w:left="708"/>
    </w:p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Ballontekst">
    <w:name w:val="Balloon Text"/>
    <w:basedOn w:val="Standaard"/>
    <w:link w:val="BallontekstChar"/>
    <w:rsid w:val="00FB2AE5"/>
    <w:rPr>
      <w:rFonts w:ascii="Tahoma" w:hAnsi="Tahoma"/>
      <w:sz w:val="16"/>
      <w:szCs w:val="16"/>
    </w:rPr>
  </w:style>
  <w:style w:type="character" w:customStyle="1" w:styleId="BallontekstChar">
    <w:name w:val="Ballontekst Char"/>
    <w:link w:val="Ballontekst"/>
    <w:rsid w:val="00FB2AE5"/>
    <w:rPr>
      <w:rFonts w:ascii="Tahoma" w:hAnsi="Tahoma" w:cs="Tahoma"/>
      <w:sz w:val="16"/>
      <w:szCs w:val="16"/>
      <w:lang w:val="nl-NL" w:eastAsia="nl-NL"/>
    </w:rPr>
  </w:style>
  <w:style w:type="paragraph" w:customStyle="1" w:styleId="Default">
    <w:name w:val="Default"/>
    <w:rsid w:val="00004A46"/>
    <w:pPr>
      <w:autoSpaceDE w:val="0"/>
      <w:autoSpaceDN w:val="0"/>
      <w:adjustRightInd w:val="0"/>
    </w:pPr>
    <w:rPr>
      <w:rFonts w:ascii="Arial" w:hAnsi="Arial" w:cs="Arial"/>
      <w:color w:val="000000"/>
      <w:sz w:val="24"/>
      <w:szCs w:val="24"/>
    </w:rPr>
  </w:style>
  <w:style w:type="character" w:styleId="Hyperlink">
    <w:name w:val="Hyperlink"/>
    <w:basedOn w:val="Standaardalinea-lettertype"/>
    <w:rsid w:val="007B1A23"/>
    <w:rPr>
      <w:color w:val="0000FF" w:themeColor="hyperlink"/>
      <w:u w:val="single"/>
    </w:rPr>
  </w:style>
  <w:style w:type="paragraph" w:styleId="Geenafstand">
    <w:name w:val="No Spacing"/>
    <w:uiPriority w:val="1"/>
    <w:qFormat/>
    <w:rsid w:val="007B1A23"/>
    <w:rPr>
      <w:sz w:val="24"/>
      <w:lang w:val="nl-NL" w:eastAsia="nl-NL"/>
    </w:rPr>
  </w:style>
  <w:style w:type="table" w:styleId="Tabelraster">
    <w:name w:val="Table Grid"/>
    <w:basedOn w:val="Standaardtabel"/>
    <w:rsid w:val="00EF1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C143D1"/>
    <w:rPr>
      <w:sz w:val="20"/>
    </w:rPr>
  </w:style>
  <w:style w:type="character" w:customStyle="1" w:styleId="VoetnoottekstChar">
    <w:name w:val="Voetnoottekst Char"/>
    <w:basedOn w:val="Standaardalinea-lettertype"/>
    <w:link w:val="Voetnoottekst"/>
    <w:rsid w:val="00C143D1"/>
    <w:rPr>
      <w:lang w:val="nl-NL" w:eastAsia="nl-NL"/>
    </w:rPr>
  </w:style>
  <w:style w:type="character" w:styleId="Voetnootmarkering">
    <w:name w:val="footnote reference"/>
    <w:basedOn w:val="Standaardalinea-lettertype"/>
    <w:rsid w:val="00C143D1"/>
    <w:rPr>
      <w:vertAlign w:val="superscript"/>
    </w:rPr>
  </w:style>
  <w:style w:type="character" w:styleId="GevolgdeHyperlink">
    <w:name w:val="FollowedHyperlink"/>
    <w:basedOn w:val="Standaardalinea-lettertype"/>
    <w:rsid w:val="00663F67"/>
    <w:rPr>
      <w:color w:val="800080" w:themeColor="followedHyperlink"/>
      <w:u w:val="single"/>
    </w:rPr>
  </w:style>
  <w:style w:type="character" w:styleId="Verwijzingopmerking">
    <w:name w:val="annotation reference"/>
    <w:basedOn w:val="Standaardalinea-lettertype"/>
    <w:rsid w:val="00487DEC"/>
    <w:rPr>
      <w:sz w:val="16"/>
      <w:szCs w:val="16"/>
    </w:rPr>
  </w:style>
  <w:style w:type="paragraph" w:styleId="Tekstopmerking">
    <w:name w:val="annotation text"/>
    <w:basedOn w:val="Standaard"/>
    <w:link w:val="TekstopmerkingChar"/>
    <w:rsid w:val="00487DEC"/>
    <w:rPr>
      <w:sz w:val="20"/>
    </w:rPr>
  </w:style>
  <w:style w:type="character" w:customStyle="1" w:styleId="TekstopmerkingChar">
    <w:name w:val="Tekst opmerking Char"/>
    <w:basedOn w:val="Standaardalinea-lettertype"/>
    <w:link w:val="Tekstopmerking"/>
    <w:rsid w:val="00487DEC"/>
    <w:rPr>
      <w:lang w:val="nl-NL" w:eastAsia="nl-NL"/>
    </w:rPr>
  </w:style>
  <w:style w:type="paragraph" w:styleId="Onderwerpvanopmerking">
    <w:name w:val="annotation subject"/>
    <w:basedOn w:val="Tekstopmerking"/>
    <w:next w:val="Tekstopmerking"/>
    <w:link w:val="OnderwerpvanopmerkingChar"/>
    <w:rsid w:val="00487DEC"/>
    <w:rPr>
      <w:b/>
      <w:bCs/>
    </w:rPr>
  </w:style>
  <w:style w:type="character" w:customStyle="1" w:styleId="OnderwerpvanopmerkingChar">
    <w:name w:val="Onderwerp van opmerking Char"/>
    <w:basedOn w:val="TekstopmerkingChar"/>
    <w:link w:val="Onderwerpvanopmerking"/>
    <w:rsid w:val="00487DEC"/>
    <w:rPr>
      <w:b/>
      <w:bCs/>
      <w:lang w:val="nl-NL" w:eastAsia="nl-NL"/>
    </w:rPr>
  </w:style>
  <w:style w:type="paragraph" w:styleId="Revisie">
    <w:name w:val="Revision"/>
    <w:hidden/>
    <w:uiPriority w:val="99"/>
    <w:semiHidden/>
    <w:rsid w:val="00487DEC"/>
    <w:rPr>
      <w:sz w:val="24"/>
      <w:lang w:val="nl-NL" w:eastAsia="nl-NL"/>
    </w:rPr>
  </w:style>
  <w:style w:type="paragraph" w:styleId="Koptekst">
    <w:name w:val="header"/>
    <w:basedOn w:val="Standaard"/>
    <w:link w:val="KoptekstChar"/>
    <w:rsid w:val="00CE62FA"/>
    <w:pPr>
      <w:tabs>
        <w:tab w:val="center" w:pos="4536"/>
        <w:tab w:val="right" w:pos="9072"/>
      </w:tabs>
    </w:pPr>
  </w:style>
  <w:style w:type="character" w:customStyle="1" w:styleId="KoptekstChar">
    <w:name w:val="Koptekst Char"/>
    <w:basedOn w:val="Standaardalinea-lettertype"/>
    <w:link w:val="Koptekst"/>
    <w:rsid w:val="00CE62FA"/>
    <w:rPr>
      <w:sz w:val="24"/>
      <w:lang w:val="nl-NL" w:eastAsia="nl-NL"/>
    </w:rPr>
  </w:style>
  <w:style w:type="paragraph" w:styleId="Voettekst">
    <w:name w:val="footer"/>
    <w:basedOn w:val="Standaard"/>
    <w:link w:val="VoettekstChar"/>
    <w:rsid w:val="00CE62FA"/>
    <w:pPr>
      <w:tabs>
        <w:tab w:val="center" w:pos="4536"/>
        <w:tab w:val="right" w:pos="9072"/>
      </w:tabs>
    </w:pPr>
  </w:style>
  <w:style w:type="character" w:customStyle="1" w:styleId="VoettekstChar">
    <w:name w:val="Voettekst Char"/>
    <w:basedOn w:val="Standaardalinea-lettertype"/>
    <w:link w:val="Voettekst"/>
    <w:rsid w:val="00CE62FA"/>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74868">
      <w:bodyDiv w:val="1"/>
      <w:marLeft w:val="0"/>
      <w:marRight w:val="0"/>
      <w:marTop w:val="0"/>
      <w:marBottom w:val="0"/>
      <w:divBdr>
        <w:top w:val="none" w:sz="0" w:space="0" w:color="auto"/>
        <w:left w:val="none" w:sz="0" w:space="0" w:color="auto"/>
        <w:bottom w:val="none" w:sz="0" w:space="0" w:color="auto"/>
        <w:right w:val="none" w:sz="0" w:space="0" w:color="auto"/>
      </w:divBdr>
    </w:div>
    <w:div w:id="20649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itstil.be/nieuws/actualiteit/3569-03072012-healseeker-serious-game-voor-kinderen-met-adhd"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jsm.vlaanderen.be/gaming/index.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andersdc.be/nl/kennis/studies/the-legitimation-strategies-of-internationalizing-flemish-sme-s-and-their-subsidiarie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ibbt.be/nl/blog/p/detail/de-vlaming-wordt-homo-digitali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bbt.be/nl/onderzoek/overzicht-projecten/p/detail/omega-2" TargetMode="External"/><Relationship Id="rId1" Type="http://schemas.openxmlformats.org/officeDocument/2006/relationships/hyperlink" Target="http://www.ibbt.be/nl/onderzoek/overzicht-projecten/p/detail/g-at-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D71E-2FA1-44F2-87FA-AB976D87CAFE}">
  <ds:schemaRefs>
    <ds:schemaRef ds:uri="http://schemas.openxmlformats.org/officeDocument/2006/bibliography"/>
  </ds:schemaRefs>
</ds:datastoreItem>
</file>

<file path=customXml/itemProps2.xml><?xml version="1.0" encoding="utf-8"?>
<ds:datastoreItem xmlns:ds="http://schemas.openxmlformats.org/officeDocument/2006/customXml" ds:itemID="{1861DBDC-2AC2-42D3-BB46-7D5F617E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2188</Words>
  <Characters>12038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6</cp:revision>
  <cp:lastPrinted>2012-09-05T09:05:00Z</cp:lastPrinted>
  <dcterms:created xsi:type="dcterms:W3CDTF">2012-09-14T08:55:00Z</dcterms:created>
  <dcterms:modified xsi:type="dcterms:W3CDTF">2012-09-19T11:39:00Z</dcterms:modified>
</cp:coreProperties>
</file>