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D6" w:rsidRPr="00465B56" w:rsidRDefault="00F924D6" w:rsidP="00EE57F5">
      <w:pPr>
        <w:rPr>
          <w:b/>
          <w:smallCaps/>
          <w:sz w:val="22"/>
          <w:szCs w:val="22"/>
        </w:rPr>
      </w:pPr>
      <w:r w:rsidRPr="00465B56">
        <w:rPr>
          <w:b/>
          <w:smallCaps/>
          <w:sz w:val="22"/>
          <w:szCs w:val="22"/>
        </w:rPr>
        <w:t>ingrid lieten</w:t>
      </w:r>
    </w:p>
    <w:p w:rsidR="00F924D6" w:rsidRPr="00465B56" w:rsidRDefault="00F924D6" w:rsidP="00EE57F5">
      <w:pPr>
        <w:pStyle w:val="StandaardSV"/>
        <w:jc w:val="left"/>
        <w:rPr>
          <w:smallCaps/>
          <w:szCs w:val="22"/>
        </w:rPr>
      </w:pPr>
      <w:r w:rsidRPr="00465B56">
        <w:rPr>
          <w:smallCaps/>
          <w:szCs w:val="22"/>
        </w:rPr>
        <w:t>viceminister-president van de vlaamse regering, vlaams minister van innovatie, overheidsinvesteringen, media en armoedebestrijding</w:t>
      </w:r>
    </w:p>
    <w:p w:rsidR="00F924D6" w:rsidRPr="00465B56" w:rsidRDefault="00F924D6" w:rsidP="00EE57F5">
      <w:pPr>
        <w:pBdr>
          <w:bottom w:val="single" w:sz="4" w:space="1" w:color="auto"/>
        </w:pBdr>
        <w:rPr>
          <w:sz w:val="22"/>
          <w:szCs w:val="22"/>
        </w:rPr>
      </w:pPr>
    </w:p>
    <w:p w:rsidR="00F924D6" w:rsidRPr="00465B56" w:rsidRDefault="00F924D6" w:rsidP="00EE57F5">
      <w:pPr>
        <w:rPr>
          <w:sz w:val="22"/>
          <w:szCs w:val="22"/>
        </w:rPr>
      </w:pPr>
    </w:p>
    <w:p w:rsidR="00F924D6" w:rsidRPr="00465B56" w:rsidRDefault="00F924D6" w:rsidP="00EE57F5">
      <w:pPr>
        <w:rPr>
          <w:b/>
          <w:smallCaps/>
          <w:sz w:val="22"/>
          <w:szCs w:val="22"/>
        </w:rPr>
      </w:pPr>
      <w:r w:rsidRPr="00465B56">
        <w:rPr>
          <w:b/>
          <w:smallCaps/>
          <w:sz w:val="22"/>
          <w:szCs w:val="22"/>
        </w:rPr>
        <w:t>antwoord</w:t>
      </w:r>
    </w:p>
    <w:p w:rsidR="00F924D6" w:rsidRPr="00465B56" w:rsidRDefault="00F924D6" w:rsidP="00EE57F5">
      <w:pPr>
        <w:rPr>
          <w:sz w:val="22"/>
          <w:szCs w:val="22"/>
        </w:rPr>
      </w:pPr>
      <w:r w:rsidRPr="00465B56">
        <w:rPr>
          <w:sz w:val="22"/>
          <w:szCs w:val="22"/>
        </w:rPr>
        <w:t>op vraag nr. 348 van 27 juni 2012</w:t>
      </w:r>
    </w:p>
    <w:p w:rsidR="00F924D6" w:rsidRPr="00465B56" w:rsidRDefault="00F924D6" w:rsidP="00EE57F5">
      <w:pPr>
        <w:rPr>
          <w:sz w:val="22"/>
          <w:szCs w:val="22"/>
        </w:rPr>
      </w:pPr>
      <w:r w:rsidRPr="00465B56">
        <w:rPr>
          <w:sz w:val="22"/>
          <w:szCs w:val="22"/>
        </w:rPr>
        <w:t xml:space="preserve">van </w:t>
      </w:r>
      <w:r w:rsidRPr="00465B56">
        <w:rPr>
          <w:b/>
          <w:smallCaps/>
          <w:sz w:val="22"/>
          <w:szCs w:val="22"/>
        </w:rPr>
        <w:t>matthias diependaele</w:t>
      </w:r>
    </w:p>
    <w:p w:rsidR="00F924D6" w:rsidRPr="00465B56" w:rsidRDefault="00F924D6" w:rsidP="00EE57F5">
      <w:pPr>
        <w:pBdr>
          <w:bottom w:val="single" w:sz="4" w:space="1" w:color="auto"/>
        </w:pBdr>
        <w:rPr>
          <w:sz w:val="22"/>
          <w:szCs w:val="22"/>
        </w:rPr>
      </w:pPr>
    </w:p>
    <w:p w:rsidR="00F924D6" w:rsidRPr="00465B56" w:rsidRDefault="00F924D6" w:rsidP="00EE57F5">
      <w:pPr>
        <w:rPr>
          <w:sz w:val="22"/>
          <w:szCs w:val="22"/>
        </w:rPr>
      </w:pPr>
    </w:p>
    <w:p w:rsidR="0029077E" w:rsidRPr="00465B56" w:rsidRDefault="0029077E" w:rsidP="00EE57F5">
      <w:pPr>
        <w:pStyle w:val="StandaardSV"/>
        <w:jc w:val="left"/>
        <w:rPr>
          <w:szCs w:val="22"/>
        </w:rPr>
      </w:pPr>
    </w:p>
    <w:p w:rsidR="00E848D8" w:rsidRPr="00894212" w:rsidRDefault="00E67270" w:rsidP="00894212">
      <w:pPr>
        <w:pStyle w:val="StandaardSV"/>
        <w:numPr>
          <w:ilvl w:val="0"/>
          <w:numId w:val="26"/>
        </w:numPr>
        <w:rPr>
          <w:rFonts w:eastAsia="Calibri"/>
          <w:szCs w:val="22"/>
          <w:lang w:val="nl-BE" w:eastAsia="en-US"/>
        </w:rPr>
      </w:pPr>
      <w:r w:rsidRPr="00894212">
        <w:rPr>
          <w:szCs w:val="22"/>
        </w:rPr>
        <w:t>De</w:t>
      </w:r>
      <w:r w:rsidR="00E615D1" w:rsidRPr="00894212">
        <w:rPr>
          <w:szCs w:val="22"/>
        </w:rPr>
        <w:t xml:space="preserve"> samenwerkings</w:t>
      </w:r>
      <w:r w:rsidRPr="00894212">
        <w:rPr>
          <w:szCs w:val="22"/>
        </w:rPr>
        <w:t>overeenkomst</w:t>
      </w:r>
      <w:r w:rsidR="00E615D1" w:rsidRPr="00894212">
        <w:rPr>
          <w:szCs w:val="22"/>
        </w:rPr>
        <w:t xml:space="preserve"> </w:t>
      </w:r>
      <w:r w:rsidRPr="00894212">
        <w:rPr>
          <w:szCs w:val="22"/>
        </w:rPr>
        <w:t>die</w:t>
      </w:r>
      <w:r w:rsidR="00E615D1" w:rsidRPr="00894212">
        <w:rPr>
          <w:szCs w:val="22"/>
        </w:rPr>
        <w:t xml:space="preserve"> op 14 mei </w:t>
      </w:r>
      <w:r w:rsidR="00E848D8" w:rsidRPr="00894212">
        <w:rPr>
          <w:szCs w:val="22"/>
        </w:rPr>
        <w:t xml:space="preserve">2012 </w:t>
      </w:r>
      <w:r w:rsidR="00E615D1" w:rsidRPr="00894212">
        <w:rPr>
          <w:szCs w:val="22"/>
        </w:rPr>
        <w:t xml:space="preserve">werd afgesloten tussen het FWO en </w:t>
      </w:r>
      <w:r w:rsidR="00394379" w:rsidRPr="00894212">
        <w:rPr>
          <w:szCs w:val="22"/>
        </w:rPr>
        <w:t>TÜBİTAK</w:t>
      </w:r>
      <w:r w:rsidR="00E615D1" w:rsidRPr="00894212">
        <w:rPr>
          <w:szCs w:val="22"/>
        </w:rPr>
        <w:t xml:space="preserve"> zal de basis vormen om op korte termijn de uitwisseling tussen Vlaamse en Turkse onderzoekers te versterken. </w:t>
      </w:r>
      <w:r w:rsidR="0040142A" w:rsidRPr="00894212">
        <w:rPr>
          <w:rFonts w:eastAsia="Calibri"/>
          <w:szCs w:val="22"/>
          <w:lang w:val="nl-BE" w:eastAsia="en-US"/>
        </w:rPr>
        <w:t xml:space="preserve">Aangezien er nog geen </w:t>
      </w:r>
      <w:r w:rsidR="00394379" w:rsidRPr="00894212">
        <w:rPr>
          <w:rFonts w:eastAsia="Calibri"/>
          <w:szCs w:val="22"/>
          <w:lang w:val="nl-BE" w:eastAsia="en-US"/>
        </w:rPr>
        <w:t>project</w:t>
      </w:r>
      <w:r w:rsidR="0040142A" w:rsidRPr="00894212">
        <w:rPr>
          <w:rFonts w:eastAsia="Calibri"/>
          <w:szCs w:val="22"/>
          <w:lang w:val="nl-BE" w:eastAsia="en-US"/>
        </w:rPr>
        <w:t xml:space="preserve">oproep </w:t>
      </w:r>
      <w:r w:rsidR="00394379" w:rsidRPr="00894212">
        <w:rPr>
          <w:rFonts w:eastAsia="Calibri"/>
          <w:szCs w:val="22"/>
          <w:lang w:val="nl-BE" w:eastAsia="en-US"/>
        </w:rPr>
        <w:t xml:space="preserve">is </w:t>
      </w:r>
      <w:r w:rsidR="0040142A" w:rsidRPr="00894212">
        <w:rPr>
          <w:rFonts w:eastAsia="Calibri"/>
          <w:szCs w:val="22"/>
          <w:lang w:val="nl-BE" w:eastAsia="en-US"/>
        </w:rPr>
        <w:t>gelanceerd, kunnen we op dit ogenblik onmogelijk een zicht hebben op de concrete onderzoek</w:t>
      </w:r>
      <w:r w:rsidRPr="00894212">
        <w:rPr>
          <w:rFonts w:eastAsia="Calibri"/>
          <w:szCs w:val="22"/>
          <w:lang w:val="nl-BE" w:eastAsia="en-US"/>
        </w:rPr>
        <w:t>s</w:t>
      </w:r>
      <w:r w:rsidR="0040142A" w:rsidRPr="00894212">
        <w:rPr>
          <w:rFonts w:eastAsia="Calibri"/>
          <w:szCs w:val="22"/>
          <w:lang w:val="nl-BE" w:eastAsia="en-US"/>
        </w:rPr>
        <w:t xml:space="preserve">domeinen </w:t>
      </w:r>
      <w:r w:rsidR="00465B56" w:rsidRPr="00894212">
        <w:rPr>
          <w:rFonts w:eastAsia="Calibri"/>
          <w:szCs w:val="22"/>
          <w:lang w:val="nl-BE" w:eastAsia="en-US"/>
        </w:rPr>
        <w:t xml:space="preserve">waarbinnen </w:t>
      </w:r>
      <w:r w:rsidRPr="00894212">
        <w:rPr>
          <w:rFonts w:eastAsia="Calibri"/>
          <w:szCs w:val="22"/>
          <w:lang w:val="nl-BE" w:eastAsia="en-US"/>
        </w:rPr>
        <w:t>z</w:t>
      </w:r>
      <w:r w:rsidR="0040142A" w:rsidRPr="00894212">
        <w:rPr>
          <w:rFonts w:eastAsia="Calibri"/>
          <w:szCs w:val="22"/>
          <w:lang w:val="nl-BE" w:eastAsia="en-US"/>
        </w:rPr>
        <w:t xml:space="preserve">al </w:t>
      </w:r>
      <w:r w:rsidR="00394379" w:rsidRPr="00894212">
        <w:rPr>
          <w:rFonts w:eastAsia="Calibri"/>
          <w:szCs w:val="22"/>
          <w:lang w:val="nl-BE" w:eastAsia="en-US"/>
        </w:rPr>
        <w:t>worden samengewerkt</w:t>
      </w:r>
      <w:r w:rsidR="0040142A" w:rsidRPr="00894212">
        <w:rPr>
          <w:rFonts w:eastAsia="Calibri"/>
          <w:szCs w:val="22"/>
          <w:lang w:val="nl-BE" w:eastAsia="en-US"/>
        </w:rPr>
        <w:t xml:space="preserve">. </w:t>
      </w:r>
      <w:r w:rsidR="00E615D1" w:rsidRPr="00894212">
        <w:rPr>
          <w:rFonts w:eastAsia="Calibri"/>
          <w:szCs w:val="22"/>
          <w:lang w:val="nl-BE" w:eastAsia="en-US"/>
        </w:rPr>
        <w:t>Conform zijn mi</w:t>
      </w:r>
      <w:r w:rsidR="00E848D8" w:rsidRPr="00894212">
        <w:rPr>
          <w:rFonts w:eastAsia="Calibri"/>
          <w:szCs w:val="22"/>
          <w:lang w:val="nl-BE" w:eastAsia="en-US"/>
        </w:rPr>
        <w:t>s</w:t>
      </w:r>
      <w:r w:rsidR="00E615D1" w:rsidRPr="00894212">
        <w:rPr>
          <w:rFonts w:eastAsia="Calibri"/>
          <w:szCs w:val="22"/>
          <w:lang w:val="nl-BE" w:eastAsia="en-US"/>
        </w:rPr>
        <w:t xml:space="preserve">sie </w:t>
      </w:r>
      <w:r w:rsidR="0040142A" w:rsidRPr="00894212">
        <w:rPr>
          <w:rFonts w:eastAsia="Calibri"/>
          <w:szCs w:val="22"/>
          <w:lang w:val="nl-BE" w:eastAsia="en-US"/>
        </w:rPr>
        <w:t xml:space="preserve">werkt het FWO volgens het bottom-up principe waarbij de onderzoekers zelf op basis van hun wetenschappelijke interesse projectvoorstellen kunnen uitwerken. </w:t>
      </w:r>
      <w:r w:rsidR="00394379" w:rsidRPr="00894212">
        <w:rPr>
          <w:szCs w:val="22"/>
        </w:rPr>
        <w:t>TÜBİTAK</w:t>
      </w:r>
      <w:r w:rsidR="0040142A" w:rsidRPr="00894212">
        <w:rPr>
          <w:rFonts w:eastAsia="Calibri"/>
          <w:szCs w:val="22"/>
          <w:lang w:val="nl-BE" w:eastAsia="en-US"/>
        </w:rPr>
        <w:t xml:space="preserve"> verklaarde zich akkoord om deze samenwerkingsovereenkomst ruim op te vatten wat betreft de </w:t>
      </w:r>
      <w:r w:rsidR="00F1767E">
        <w:rPr>
          <w:rFonts w:eastAsia="Calibri"/>
          <w:szCs w:val="22"/>
          <w:lang w:val="nl-BE" w:eastAsia="en-US"/>
        </w:rPr>
        <w:t>toegelaten</w:t>
      </w:r>
      <w:r w:rsidR="0040142A" w:rsidRPr="00894212">
        <w:rPr>
          <w:rFonts w:eastAsia="Calibri"/>
          <w:szCs w:val="22"/>
          <w:lang w:val="nl-BE" w:eastAsia="en-US"/>
        </w:rPr>
        <w:t xml:space="preserve"> wetenschappelijke disciplines. </w:t>
      </w:r>
      <w:r w:rsidR="00E615D1" w:rsidRPr="00894212">
        <w:rPr>
          <w:rFonts w:eastAsia="Calibri"/>
          <w:szCs w:val="22"/>
          <w:lang w:val="nl-BE" w:eastAsia="en-US"/>
        </w:rPr>
        <w:t>De projecten zullen</w:t>
      </w:r>
      <w:r w:rsidR="00394379" w:rsidRPr="00894212">
        <w:rPr>
          <w:rFonts w:eastAsia="Calibri"/>
          <w:szCs w:val="22"/>
          <w:lang w:val="nl-BE" w:eastAsia="en-US"/>
        </w:rPr>
        <w:t>, zoals bij alle FWO-projecten</w:t>
      </w:r>
      <w:r w:rsidR="00E615D1" w:rsidRPr="00894212">
        <w:rPr>
          <w:rFonts w:eastAsia="Calibri"/>
          <w:szCs w:val="22"/>
          <w:lang w:val="nl-BE" w:eastAsia="en-US"/>
        </w:rPr>
        <w:t xml:space="preserve"> </w:t>
      </w:r>
      <w:r w:rsidR="00394379" w:rsidRPr="00894212">
        <w:rPr>
          <w:rFonts w:eastAsia="Calibri"/>
          <w:szCs w:val="22"/>
          <w:lang w:val="nl-BE" w:eastAsia="en-US"/>
        </w:rPr>
        <w:t>het geval is, w</w:t>
      </w:r>
      <w:r w:rsidR="00E615D1" w:rsidRPr="00894212">
        <w:rPr>
          <w:rFonts w:eastAsia="Calibri"/>
          <w:szCs w:val="22"/>
          <w:lang w:val="nl-BE" w:eastAsia="en-US"/>
        </w:rPr>
        <w:t>orden geselecteerd op basis van excellentie en in competitie</w:t>
      </w:r>
      <w:r w:rsidR="00394379" w:rsidRPr="00894212">
        <w:rPr>
          <w:rFonts w:eastAsia="Calibri"/>
          <w:szCs w:val="22"/>
          <w:lang w:val="nl-BE" w:eastAsia="en-US"/>
        </w:rPr>
        <w:t>.</w:t>
      </w:r>
    </w:p>
    <w:p w:rsidR="0029077E" w:rsidRPr="00465B56" w:rsidRDefault="0029077E" w:rsidP="00894212">
      <w:pPr>
        <w:pStyle w:val="StandaardSV"/>
        <w:ind w:left="360"/>
        <w:rPr>
          <w:szCs w:val="22"/>
        </w:rPr>
      </w:pPr>
    </w:p>
    <w:p w:rsidR="0040142A" w:rsidRPr="00465B56" w:rsidRDefault="002D1A89" w:rsidP="00581A6B">
      <w:pPr>
        <w:pStyle w:val="StandaardSV"/>
        <w:ind w:left="720" w:hanging="360"/>
        <w:rPr>
          <w:szCs w:val="22"/>
        </w:rPr>
      </w:pPr>
      <w:r w:rsidRPr="00465B56">
        <w:rPr>
          <w:szCs w:val="22"/>
        </w:rPr>
        <w:t>a.</w:t>
      </w:r>
      <w:r w:rsidRPr="00465B56">
        <w:rPr>
          <w:szCs w:val="22"/>
        </w:rPr>
        <w:tab/>
      </w:r>
      <w:r w:rsidR="00E615D1" w:rsidRPr="00465B56">
        <w:rPr>
          <w:szCs w:val="22"/>
        </w:rPr>
        <w:t xml:space="preserve">De domeinen die in het persbericht </w:t>
      </w:r>
      <w:r w:rsidR="00E67270" w:rsidRPr="00465B56">
        <w:rPr>
          <w:szCs w:val="22"/>
        </w:rPr>
        <w:t>worden vermeld</w:t>
      </w:r>
      <w:r w:rsidR="000E5F4D" w:rsidRPr="00465B56">
        <w:rPr>
          <w:szCs w:val="22"/>
        </w:rPr>
        <w:t>,</w:t>
      </w:r>
      <w:r w:rsidR="00E615D1" w:rsidRPr="00465B56">
        <w:rPr>
          <w:szCs w:val="22"/>
        </w:rPr>
        <w:t xml:space="preserve"> zijn d</w:t>
      </w:r>
      <w:r w:rsidR="000E5F4D" w:rsidRPr="00465B56">
        <w:rPr>
          <w:szCs w:val="22"/>
        </w:rPr>
        <w:t>omeinen waarin onderzoekers uit</w:t>
      </w:r>
      <w:r w:rsidR="00E615D1" w:rsidRPr="00465B56">
        <w:rPr>
          <w:szCs w:val="22"/>
        </w:rPr>
        <w:t xml:space="preserve"> Vlaanderen </w:t>
      </w:r>
      <w:r w:rsidR="000E5F4D" w:rsidRPr="00465B56">
        <w:rPr>
          <w:szCs w:val="22"/>
        </w:rPr>
        <w:t>en</w:t>
      </w:r>
      <w:r w:rsidR="00E615D1" w:rsidRPr="00465B56">
        <w:rPr>
          <w:szCs w:val="22"/>
        </w:rPr>
        <w:t xml:space="preserve"> Turkije</w:t>
      </w:r>
      <w:r w:rsidR="000E5F4D" w:rsidRPr="00465B56">
        <w:rPr>
          <w:szCs w:val="22"/>
        </w:rPr>
        <w:t xml:space="preserve"> sterk presteren.</w:t>
      </w:r>
      <w:r w:rsidR="00E848D8" w:rsidRPr="00465B56">
        <w:rPr>
          <w:szCs w:val="22"/>
        </w:rPr>
        <w:t xml:space="preserve"> </w:t>
      </w:r>
      <w:r w:rsidR="000E5F4D" w:rsidRPr="00465B56">
        <w:rPr>
          <w:szCs w:val="22"/>
        </w:rPr>
        <w:t>Bovendien zijn</w:t>
      </w:r>
      <w:r w:rsidR="00394379" w:rsidRPr="00465B56">
        <w:rPr>
          <w:szCs w:val="22"/>
        </w:rPr>
        <w:t>,</w:t>
      </w:r>
      <w:r w:rsidR="000E5F4D" w:rsidRPr="00465B56">
        <w:rPr>
          <w:szCs w:val="22"/>
        </w:rPr>
        <w:t xml:space="preserve"> naast onderzoek op het vlak van de grote maatschappelijke vraagstukken</w:t>
      </w:r>
      <w:r w:rsidR="00394379" w:rsidRPr="00465B56">
        <w:rPr>
          <w:szCs w:val="22"/>
        </w:rPr>
        <w:t xml:space="preserve"> – </w:t>
      </w:r>
      <w:r w:rsidR="000E5F4D" w:rsidRPr="00465B56">
        <w:rPr>
          <w:szCs w:val="22"/>
        </w:rPr>
        <w:t>zo</w:t>
      </w:r>
      <w:r w:rsidR="0040142A" w:rsidRPr="00465B56">
        <w:rPr>
          <w:szCs w:val="22"/>
        </w:rPr>
        <w:t>als</w:t>
      </w:r>
      <w:r w:rsidR="00394379" w:rsidRPr="00465B56">
        <w:rPr>
          <w:szCs w:val="22"/>
        </w:rPr>
        <w:t xml:space="preserve"> </w:t>
      </w:r>
      <w:r w:rsidR="000E5F4D" w:rsidRPr="00465B56">
        <w:rPr>
          <w:szCs w:val="22"/>
        </w:rPr>
        <w:t xml:space="preserve">in de domeinen </w:t>
      </w:r>
      <w:r w:rsidR="0040142A" w:rsidRPr="00465B56">
        <w:rPr>
          <w:szCs w:val="22"/>
        </w:rPr>
        <w:t>energie</w:t>
      </w:r>
      <w:r w:rsidR="000E5F4D" w:rsidRPr="00465B56">
        <w:rPr>
          <w:szCs w:val="22"/>
        </w:rPr>
        <w:t>,</w:t>
      </w:r>
      <w:r w:rsidR="0040142A" w:rsidRPr="00465B56">
        <w:rPr>
          <w:szCs w:val="22"/>
        </w:rPr>
        <w:t xml:space="preserve"> mobiliteit</w:t>
      </w:r>
      <w:r w:rsidR="000E5F4D" w:rsidRPr="00465B56">
        <w:rPr>
          <w:szCs w:val="22"/>
        </w:rPr>
        <w:t xml:space="preserve">, geneeskunde en </w:t>
      </w:r>
      <w:r w:rsidRPr="00465B56">
        <w:rPr>
          <w:szCs w:val="22"/>
        </w:rPr>
        <w:t>landbouw</w:t>
      </w:r>
      <w:r w:rsidR="00394379" w:rsidRPr="00465B56">
        <w:rPr>
          <w:szCs w:val="22"/>
        </w:rPr>
        <w:t xml:space="preserve"> – </w:t>
      </w:r>
      <w:r w:rsidR="000E5F4D" w:rsidRPr="00465B56">
        <w:rPr>
          <w:szCs w:val="22"/>
        </w:rPr>
        <w:t>en</w:t>
      </w:r>
      <w:r w:rsidR="00394379" w:rsidRPr="00465B56">
        <w:rPr>
          <w:szCs w:val="22"/>
        </w:rPr>
        <w:t xml:space="preserve"> </w:t>
      </w:r>
      <w:r w:rsidR="000E5F4D" w:rsidRPr="00465B56">
        <w:rPr>
          <w:szCs w:val="22"/>
        </w:rPr>
        <w:t xml:space="preserve">op het vlak van meer economisch relevante innovatie in de </w:t>
      </w:r>
      <w:r w:rsidRPr="00465B56">
        <w:rPr>
          <w:szCs w:val="22"/>
        </w:rPr>
        <w:t xml:space="preserve">domeinen </w:t>
      </w:r>
      <w:r w:rsidR="000E5F4D" w:rsidRPr="00465B56">
        <w:rPr>
          <w:szCs w:val="22"/>
        </w:rPr>
        <w:t xml:space="preserve">industriële technologie en biotechnologie, </w:t>
      </w:r>
      <w:r w:rsidRPr="00465B56">
        <w:rPr>
          <w:szCs w:val="22"/>
        </w:rPr>
        <w:t xml:space="preserve">ook </w:t>
      </w:r>
      <w:r w:rsidR="0040142A" w:rsidRPr="00465B56">
        <w:rPr>
          <w:szCs w:val="22"/>
        </w:rPr>
        <w:t xml:space="preserve">de sociale wetenschappen </w:t>
      </w:r>
      <w:r w:rsidRPr="00465B56">
        <w:rPr>
          <w:szCs w:val="22"/>
        </w:rPr>
        <w:t xml:space="preserve">opgenomen. </w:t>
      </w:r>
      <w:r w:rsidR="00486ADA" w:rsidRPr="00465B56">
        <w:rPr>
          <w:szCs w:val="22"/>
        </w:rPr>
        <w:t>De</w:t>
      </w:r>
      <w:r w:rsidR="0040142A" w:rsidRPr="00465B56">
        <w:rPr>
          <w:szCs w:val="22"/>
        </w:rPr>
        <w:t xml:space="preserve"> samenwerking met Turkije </w:t>
      </w:r>
      <w:r w:rsidRPr="00465B56">
        <w:rPr>
          <w:szCs w:val="22"/>
        </w:rPr>
        <w:t xml:space="preserve">kan </w:t>
      </w:r>
      <w:r w:rsidR="0040142A" w:rsidRPr="00465B56">
        <w:rPr>
          <w:szCs w:val="22"/>
        </w:rPr>
        <w:t>voor Vlaamse wetenschappers een grote troef</w:t>
      </w:r>
      <w:r w:rsidR="00486ADA" w:rsidRPr="00465B56">
        <w:rPr>
          <w:szCs w:val="22"/>
        </w:rPr>
        <w:t xml:space="preserve"> zijn</w:t>
      </w:r>
      <w:r w:rsidR="0040142A" w:rsidRPr="00465B56">
        <w:rPr>
          <w:szCs w:val="22"/>
        </w:rPr>
        <w:t xml:space="preserve">. Als kruispunt tussen Europa, Azië en het Midden-Oosten is Turkije </w:t>
      </w:r>
      <w:r w:rsidR="00486ADA" w:rsidRPr="00465B56">
        <w:rPr>
          <w:szCs w:val="22"/>
        </w:rPr>
        <w:t xml:space="preserve">immers </w:t>
      </w:r>
      <w:r w:rsidR="0040142A" w:rsidRPr="00465B56">
        <w:rPr>
          <w:szCs w:val="22"/>
        </w:rPr>
        <w:t>rijk aan cultuur en geschiedenis</w:t>
      </w:r>
      <w:r w:rsidR="00486ADA" w:rsidRPr="00465B56">
        <w:rPr>
          <w:szCs w:val="22"/>
        </w:rPr>
        <w:t xml:space="preserve"> </w:t>
      </w:r>
      <w:r w:rsidRPr="00465B56">
        <w:rPr>
          <w:szCs w:val="22"/>
        </w:rPr>
        <w:t xml:space="preserve">(cf. </w:t>
      </w:r>
      <w:r w:rsidR="0040142A" w:rsidRPr="00465B56">
        <w:rPr>
          <w:szCs w:val="22"/>
        </w:rPr>
        <w:t>het Sagalassosproject van professor Waelkens</w:t>
      </w:r>
      <w:r w:rsidR="00486ADA" w:rsidRPr="00465B56">
        <w:rPr>
          <w:szCs w:val="22"/>
        </w:rPr>
        <w:t>)</w:t>
      </w:r>
      <w:r w:rsidR="0040142A" w:rsidRPr="00465B56">
        <w:rPr>
          <w:szCs w:val="22"/>
        </w:rPr>
        <w:t xml:space="preserve">. De tegenstelling tussen stad en platteland, de grootstedenproblematiek, de tegenstelling tussen westelijk en oostelijk </w:t>
      </w:r>
      <w:r w:rsidR="00E848D8" w:rsidRPr="00465B56">
        <w:rPr>
          <w:szCs w:val="22"/>
        </w:rPr>
        <w:t>Istanbul</w:t>
      </w:r>
      <w:r w:rsidR="0040142A" w:rsidRPr="00465B56">
        <w:rPr>
          <w:szCs w:val="22"/>
        </w:rPr>
        <w:t xml:space="preserve"> </w:t>
      </w:r>
      <w:r w:rsidR="00394379" w:rsidRPr="00465B56">
        <w:rPr>
          <w:szCs w:val="22"/>
        </w:rPr>
        <w:t xml:space="preserve">en </w:t>
      </w:r>
      <w:r w:rsidR="0040142A" w:rsidRPr="00465B56">
        <w:rPr>
          <w:szCs w:val="22"/>
        </w:rPr>
        <w:t xml:space="preserve">de grensconflicten </w:t>
      </w:r>
      <w:r w:rsidRPr="00465B56">
        <w:rPr>
          <w:szCs w:val="22"/>
        </w:rPr>
        <w:t xml:space="preserve">vormen </w:t>
      </w:r>
      <w:r w:rsidR="0040142A" w:rsidRPr="00465B56">
        <w:rPr>
          <w:szCs w:val="22"/>
        </w:rPr>
        <w:t>interessant</w:t>
      </w:r>
      <w:r w:rsidR="00486ADA" w:rsidRPr="00465B56">
        <w:rPr>
          <w:szCs w:val="22"/>
        </w:rPr>
        <w:t>e onderzoektopics</w:t>
      </w:r>
      <w:r w:rsidR="0040142A" w:rsidRPr="00465B56">
        <w:rPr>
          <w:szCs w:val="22"/>
        </w:rPr>
        <w:t xml:space="preserve"> voor politicologen, sociologen, sociaal geografen</w:t>
      </w:r>
      <w:r w:rsidR="00486ADA" w:rsidRPr="00465B56">
        <w:rPr>
          <w:szCs w:val="22"/>
        </w:rPr>
        <w:t xml:space="preserve">, planologen, </w:t>
      </w:r>
      <w:r w:rsidR="00394379" w:rsidRPr="00465B56">
        <w:rPr>
          <w:szCs w:val="22"/>
        </w:rPr>
        <w:t>etc.</w:t>
      </w:r>
    </w:p>
    <w:p w:rsidR="002D1A89" w:rsidRPr="00465B56" w:rsidRDefault="002D1A89" w:rsidP="00894212">
      <w:pPr>
        <w:pStyle w:val="Geenafstand"/>
        <w:ind w:left="360"/>
        <w:jc w:val="both"/>
        <w:rPr>
          <w:rFonts w:eastAsia="Calibri"/>
          <w:sz w:val="22"/>
          <w:szCs w:val="22"/>
          <w:lang w:val="nl-BE" w:eastAsia="en-US"/>
        </w:rPr>
      </w:pPr>
    </w:p>
    <w:p w:rsidR="004B174C" w:rsidRPr="00465B56" w:rsidRDefault="002D1A89" w:rsidP="00581A6B">
      <w:pPr>
        <w:pStyle w:val="StandaardSV"/>
        <w:ind w:left="720" w:hanging="360"/>
        <w:rPr>
          <w:rFonts w:eastAsia="Calibri"/>
          <w:szCs w:val="22"/>
          <w:lang w:val="nl-BE" w:eastAsia="en-US"/>
        </w:rPr>
      </w:pPr>
      <w:r w:rsidRPr="00465B56">
        <w:rPr>
          <w:szCs w:val="22"/>
        </w:rPr>
        <w:t>b.</w:t>
      </w:r>
      <w:r w:rsidRPr="00465B56">
        <w:rPr>
          <w:szCs w:val="22"/>
        </w:rPr>
        <w:tab/>
      </w:r>
      <w:r w:rsidR="00627F18" w:rsidRPr="00465B56">
        <w:rPr>
          <w:szCs w:val="22"/>
        </w:rPr>
        <w:t xml:space="preserve">Zoals vermeld in het antwoord op </w:t>
      </w:r>
      <w:r w:rsidR="00710DCF" w:rsidRPr="00465B56">
        <w:rPr>
          <w:szCs w:val="22"/>
        </w:rPr>
        <w:t xml:space="preserve">deelvraag 4 van </w:t>
      </w:r>
      <w:r w:rsidR="00627F18" w:rsidRPr="00465B56">
        <w:rPr>
          <w:szCs w:val="22"/>
        </w:rPr>
        <w:t>uw schriftelijke parlementaire vraag nr. 347 van 27 juni 2012</w:t>
      </w:r>
      <w:r w:rsidR="00D250A5" w:rsidRPr="00465B56">
        <w:rPr>
          <w:szCs w:val="22"/>
        </w:rPr>
        <w:t xml:space="preserve"> </w:t>
      </w:r>
      <w:r w:rsidR="00710DCF" w:rsidRPr="00465B56">
        <w:rPr>
          <w:szCs w:val="22"/>
        </w:rPr>
        <w:t xml:space="preserve">ondertekenden het FWO en TÜBİTAK </w:t>
      </w:r>
      <w:r w:rsidR="00D250A5" w:rsidRPr="00465B56">
        <w:rPr>
          <w:szCs w:val="22"/>
        </w:rPr>
        <w:t>op</w:t>
      </w:r>
      <w:r w:rsidR="00710DCF" w:rsidRPr="00465B56">
        <w:rPr>
          <w:szCs w:val="22"/>
        </w:rPr>
        <w:t xml:space="preserve"> </w:t>
      </w:r>
      <w:r w:rsidR="00D250A5" w:rsidRPr="00465B56">
        <w:rPr>
          <w:szCs w:val="22"/>
        </w:rPr>
        <w:t xml:space="preserve">14 mei 2012 </w:t>
      </w:r>
      <w:r w:rsidR="00EE57F5" w:rsidRPr="00465B56">
        <w:rPr>
          <w:szCs w:val="22"/>
        </w:rPr>
        <w:t xml:space="preserve">in Ankara </w:t>
      </w:r>
      <w:r w:rsidR="00710DCF" w:rsidRPr="00465B56">
        <w:rPr>
          <w:szCs w:val="22"/>
        </w:rPr>
        <w:t xml:space="preserve">een Memorandum of Understanding (MoU) dat een kader moet vormen voor verdere structurele samenwerking. Het FWO voert nu besprekingen met TÜBITAK om tot een </w:t>
      </w:r>
      <w:r w:rsidR="00D250A5" w:rsidRPr="00465B56">
        <w:rPr>
          <w:szCs w:val="22"/>
        </w:rPr>
        <w:t>concreet samenwerkings</w:t>
      </w:r>
      <w:r w:rsidR="00710DCF" w:rsidRPr="00465B56">
        <w:rPr>
          <w:szCs w:val="22"/>
        </w:rPr>
        <w:t>akkoord te komen dat de uitwisseling van onderzoekers op projectbasis mogelijk maakt</w:t>
      </w:r>
      <w:r w:rsidR="004B174C" w:rsidRPr="00465B56">
        <w:rPr>
          <w:rFonts w:eastAsia="Calibri"/>
          <w:szCs w:val="22"/>
          <w:lang w:val="nl-BE" w:eastAsia="en-US"/>
        </w:rPr>
        <w:t xml:space="preserve">. De ondertekening </w:t>
      </w:r>
      <w:r w:rsidR="00D250A5" w:rsidRPr="00465B56">
        <w:rPr>
          <w:rFonts w:eastAsia="Calibri"/>
          <w:szCs w:val="22"/>
          <w:lang w:val="nl-BE" w:eastAsia="en-US"/>
        </w:rPr>
        <w:t>van dat akkoord</w:t>
      </w:r>
      <w:r w:rsidR="004B174C" w:rsidRPr="00465B56">
        <w:rPr>
          <w:rFonts w:eastAsia="Calibri"/>
          <w:szCs w:val="22"/>
          <w:lang w:val="nl-BE" w:eastAsia="en-US"/>
        </w:rPr>
        <w:t xml:space="preserve"> en </w:t>
      </w:r>
      <w:r w:rsidR="00627F18" w:rsidRPr="00465B56">
        <w:rPr>
          <w:rFonts w:eastAsia="Calibri"/>
          <w:szCs w:val="22"/>
          <w:lang w:val="nl-BE" w:eastAsia="en-US"/>
        </w:rPr>
        <w:t>de</w:t>
      </w:r>
      <w:r w:rsidR="004B174C" w:rsidRPr="00465B56">
        <w:rPr>
          <w:rFonts w:eastAsia="Calibri"/>
          <w:szCs w:val="22"/>
          <w:lang w:val="nl-BE" w:eastAsia="en-US"/>
        </w:rPr>
        <w:t xml:space="preserve"> lancer</w:t>
      </w:r>
      <w:r w:rsidR="00627F18" w:rsidRPr="00465B56">
        <w:rPr>
          <w:rFonts w:eastAsia="Calibri"/>
          <w:szCs w:val="22"/>
          <w:lang w:val="nl-BE" w:eastAsia="en-US"/>
        </w:rPr>
        <w:t>ing</w:t>
      </w:r>
      <w:r w:rsidR="004B174C" w:rsidRPr="00465B56">
        <w:rPr>
          <w:rFonts w:eastAsia="Calibri"/>
          <w:szCs w:val="22"/>
          <w:lang w:val="nl-BE" w:eastAsia="en-US"/>
        </w:rPr>
        <w:t xml:space="preserve"> van een eerste </w:t>
      </w:r>
      <w:r w:rsidR="00627F18" w:rsidRPr="00465B56">
        <w:rPr>
          <w:rFonts w:eastAsia="Calibri"/>
          <w:szCs w:val="22"/>
          <w:lang w:val="nl-BE" w:eastAsia="en-US"/>
        </w:rPr>
        <w:t>project</w:t>
      </w:r>
      <w:r w:rsidR="004B174C" w:rsidRPr="00465B56">
        <w:rPr>
          <w:rFonts w:eastAsia="Calibri"/>
          <w:szCs w:val="22"/>
          <w:lang w:val="nl-BE" w:eastAsia="en-US"/>
        </w:rPr>
        <w:t>oproep</w:t>
      </w:r>
      <w:r w:rsidR="00627F18" w:rsidRPr="00465B56">
        <w:rPr>
          <w:rFonts w:eastAsia="Calibri"/>
          <w:szCs w:val="22"/>
          <w:lang w:val="nl-BE" w:eastAsia="en-US"/>
        </w:rPr>
        <w:t xml:space="preserve"> w</w:t>
      </w:r>
      <w:r w:rsidR="004B174C" w:rsidRPr="00465B56">
        <w:rPr>
          <w:rFonts w:eastAsia="Calibri"/>
          <w:szCs w:val="22"/>
          <w:lang w:val="nl-BE" w:eastAsia="en-US"/>
        </w:rPr>
        <w:t>ordt verwacht tegen eind 2012.</w:t>
      </w:r>
    </w:p>
    <w:p w:rsidR="002D1A89" w:rsidRPr="00465B56" w:rsidRDefault="002D1A89" w:rsidP="00894212">
      <w:pPr>
        <w:pStyle w:val="StandaardSV"/>
        <w:ind w:left="720" w:hanging="360"/>
        <w:rPr>
          <w:rFonts w:eastAsia="Calibri"/>
          <w:szCs w:val="22"/>
          <w:lang w:val="nl-BE" w:eastAsia="en-US"/>
        </w:rPr>
      </w:pPr>
    </w:p>
    <w:p w:rsidR="004B174C" w:rsidRPr="00465B56" w:rsidRDefault="002D1A89" w:rsidP="00581A6B">
      <w:pPr>
        <w:pStyle w:val="StandaardSV"/>
        <w:ind w:left="720" w:hanging="360"/>
        <w:rPr>
          <w:rFonts w:eastAsia="Calibri"/>
          <w:szCs w:val="22"/>
          <w:lang w:val="nl-BE" w:eastAsia="en-US"/>
        </w:rPr>
      </w:pPr>
      <w:r w:rsidRPr="00465B56">
        <w:rPr>
          <w:rFonts w:eastAsia="Calibri"/>
          <w:szCs w:val="22"/>
          <w:lang w:val="nl-BE" w:eastAsia="en-US"/>
        </w:rPr>
        <w:t>c.</w:t>
      </w:r>
      <w:r w:rsidRPr="00465B56">
        <w:rPr>
          <w:rFonts w:eastAsia="Calibri"/>
          <w:szCs w:val="22"/>
          <w:lang w:val="nl-BE" w:eastAsia="en-US"/>
        </w:rPr>
        <w:tab/>
      </w:r>
      <w:r w:rsidRPr="00465B56">
        <w:rPr>
          <w:szCs w:val="22"/>
        </w:rPr>
        <w:t>W</w:t>
      </w:r>
      <w:r w:rsidR="004B174C" w:rsidRPr="00465B56">
        <w:rPr>
          <w:rFonts w:eastAsia="Calibri"/>
          <w:szCs w:val="22"/>
          <w:lang w:val="nl-BE" w:eastAsia="en-US"/>
        </w:rPr>
        <w:t>at de meerwaarde voor Vlaamse onderzoekers betreft, geldt hetzelfde als voor Québec</w:t>
      </w:r>
      <w:r w:rsidR="00627F18" w:rsidRPr="00465B56">
        <w:rPr>
          <w:rFonts w:eastAsia="Calibri"/>
          <w:szCs w:val="22"/>
          <w:lang w:val="nl-BE" w:eastAsia="en-US"/>
        </w:rPr>
        <w:t xml:space="preserve"> (zie het antwoord op </w:t>
      </w:r>
      <w:r w:rsidR="00D250A5" w:rsidRPr="00465B56">
        <w:rPr>
          <w:rFonts w:eastAsia="Calibri"/>
          <w:szCs w:val="22"/>
          <w:lang w:val="nl-BE" w:eastAsia="en-US"/>
        </w:rPr>
        <w:t xml:space="preserve">deelvraag 1 van </w:t>
      </w:r>
      <w:r w:rsidR="00627F18" w:rsidRPr="00465B56">
        <w:rPr>
          <w:rFonts w:eastAsia="Calibri"/>
          <w:szCs w:val="22"/>
          <w:lang w:val="nl-BE" w:eastAsia="en-US"/>
        </w:rPr>
        <w:t>uw schriftelijke parlementaire vraag nr. 347 van 27 juni 2012</w:t>
      </w:r>
      <w:r w:rsidR="00710DCF" w:rsidRPr="00465B56">
        <w:rPr>
          <w:rFonts w:eastAsia="Calibri"/>
          <w:szCs w:val="22"/>
          <w:lang w:val="nl-BE" w:eastAsia="en-US"/>
        </w:rPr>
        <w:t>): c</w:t>
      </w:r>
      <w:r w:rsidR="004B174C" w:rsidRPr="00465B56">
        <w:rPr>
          <w:rFonts w:eastAsia="Calibri"/>
          <w:szCs w:val="22"/>
          <w:lang w:val="nl-BE" w:eastAsia="en-US"/>
        </w:rPr>
        <w:t>omplementariteit,</w:t>
      </w:r>
      <w:r w:rsidR="00486ADA" w:rsidRPr="00465B56">
        <w:rPr>
          <w:rFonts w:eastAsia="Calibri"/>
          <w:szCs w:val="22"/>
          <w:lang w:val="nl-BE" w:eastAsia="en-US"/>
        </w:rPr>
        <w:t xml:space="preserve"> uitwisseling van </w:t>
      </w:r>
      <w:r w:rsidRPr="00465B56">
        <w:rPr>
          <w:rFonts w:eastAsia="Calibri"/>
          <w:szCs w:val="22"/>
          <w:lang w:val="nl-BE" w:eastAsia="en-US"/>
        </w:rPr>
        <w:t xml:space="preserve">expertise, </w:t>
      </w:r>
      <w:r w:rsidR="004B174C" w:rsidRPr="00465B56">
        <w:rPr>
          <w:rFonts w:eastAsia="Calibri"/>
          <w:szCs w:val="22"/>
          <w:lang w:val="nl-BE" w:eastAsia="en-US"/>
        </w:rPr>
        <w:t>verruiming op alle vlakken en internationaal netwerken. Specifiek voor Turkije is ook de ligging erg belangrijk. Het land ligt op het kruispunt tussen Europa, Azië en het Midden-Oosten waardoor onderzoek</w:t>
      </w:r>
      <w:r w:rsidR="00E848D8" w:rsidRPr="00465B56">
        <w:rPr>
          <w:rFonts w:eastAsia="Calibri"/>
          <w:szCs w:val="22"/>
          <w:lang w:val="nl-BE" w:eastAsia="en-US"/>
        </w:rPr>
        <w:t>s</w:t>
      </w:r>
      <w:r w:rsidR="004B174C" w:rsidRPr="00465B56">
        <w:rPr>
          <w:rFonts w:eastAsia="Calibri"/>
          <w:szCs w:val="22"/>
          <w:lang w:val="nl-BE" w:eastAsia="en-US"/>
        </w:rPr>
        <w:t>gerelateerde uitwisselingen meer dan elders ook een culturele uitdaging zijn. Verder heeft het land een enorm rijke historische bagage en vormt het ook politiek gezien een interessante case. Tot slot vormde deze regio tot nu toe een blinde vlek op de samenwerkingskaart van het FWO.</w:t>
      </w:r>
    </w:p>
    <w:p w:rsidR="002D1A89" w:rsidRPr="00465B56" w:rsidRDefault="002D1A89" w:rsidP="00894212">
      <w:pPr>
        <w:pStyle w:val="StandaardSV"/>
        <w:ind w:left="720" w:hanging="360"/>
        <w:rPr>
          <w:rFonts w:eastAsia="Calibri"/>
          <w:szCs w:val="22"/>
          <w:lang w:val="nl-BE" w:eastAsia="en-US"/>
        </w:rPr>
      </w:pPr>
    </w:p>
    <w:p w:rsidR="00DB2B16" w:rsidRPr="00465B56" w:rsidRDefault="002D1A89" w:rsidP="00581A6B">
      <w:pPr>
        <w:pStyle w:val="StandaardSV"/>
        <w:ind w:left="720" w:hanging="360"/>
        <w:rPr>
          <w:rFonts w:eastAsia="Calibri"/>
          <w:szCs w:val="22"/>
          <w:lang w:val="nl-BE" w:eastAsia="en-US"/>
        </w:rPr>
      </w:pPr>
      <w:r w:rsidRPr="00465B56">
        <w:rPr>
          <w:rFonts w:eastAsia="Calibri"/>
          <w:szCs w:val="22"/>
          <w:lang w:val="nl-BE" w:eastAsia="en-US"/>
        </w:rPr>
        <w:t>d.</w:t>
      </w:r>
      <w:r w:rsidRPr="00465B56">
        <w:rPr>
          <w:rFonts w:eastAsia="Calibri"/>
          <w:szCs w:val="22"/>
          <w:lang w:val="nl-BE" w:eastAsia="en-US"/>
        </w:rPr>
        <w:tab/>
      </w:r>
      <w:r w:rsidRPr="00465B56">
        <w:rPr>
          <w:szCs w:val="22"/>
        </w:rPr>
        <w:t>D</w:t>
      </w:r>
      <w:r w:rsidR="00DB2B16" w:rsidRPr="00465B56">
        <w:rPr>
          <w:rFonts w:eastAsia="Calibri"/>
          <w:szCs w:val="22"/>
          <w:lang w:val="nl-BE" w:eastAsia="en-US"/>
        </w:rPr>
        <w:t xml:space="preserve">e kaderovereenkomst </w:t>
      </w:r>
      <w:r w:rsidR="00EE57F5" w:rsidRPr="00465B56">
        <w:rPr>
          <w:rFonts w:eastAsia="Calibri"/>
          <w:szCs w:val="22"/>
          <w:lang w:val="nl-BE" w:eastAsia="en-US"/>
        </w:rPr>
        <w:t xml:space="preserve">(MoU) </w:t>
      </w:r>
      <w:r w:rsidR="00DB2B16" w:rsidRPr="00465B56">
        <w:rPr>
          <w:rFonts w:eastAsia="Calibri"/>
          <w:szCs w:val="22"/>
          <w:lang w:val="nl-BE" w:eastAsia="en-US"/>
        </w:rPr>
        <w:t xml:space="preserve">die </w:t>
      </w:r>
      <w:r w:rsidR="00EE57F5" w:rsidRPr="00465B56">
        <w:rPr>
          <w:rFonts w:eastAsia="Calibri"/>
          <w:szCs w:val="22"/>
          <w:lang w:val="nl-BE" w:eastAsia="en-US"/>
        </w:rPr>
        <w:t xml:space="preserve">werd </w:t>
      </w:r>
      <w:r w:rsidR="00DB2B16" w:rsidRPr="00465B56">
        <w:rPr>
          <w:rFonts w:eastAsia="Calibri"/>
          <w:szCs w:val="22"/>
          <w:lang w:val="nl-BE" w:eastAsia="en-US"/>
        </w:rPr>
        <w:t xml:space="preserve">ondertekend </w:t>
      </w:r>
      <w:r w:rsidR="00EE57F5" w:rsidRPr="00465B56">
        <w:rPr>
          <w:rFonts w:eastAsia="Calibri"/>
          <w:szCs w:val="22"/>
          <w:lang w:val="nl-BE" w:eastAsia="en-US"/>
        </w:rPr>
        <w:t>in</w:t>
      </w:r>
      <w:r w:rsidR="00DB2B16" w:rsidRPr="00465B56">
        <w:rPr>
          <w:rFonts w:eastAsia="Calibri"/>
          <w:szCs w:val="22"/>
          <w:lang w:val="nl-BE" w:eastAsia="en-US"/>
        </w:rPr>
        <w:t xml:space="preserve"> Ankara op 14 mei 2012 blijft vijf jaar geldig. </w:t>
      </w:r>
      <w:r w:rsidR="00486ADA" w:rsidRPr="00465B56">
        <w:rPr>
          <w:rFonts w:eastAsia="Calibri"/>
          <w:szCs w:val="22"/>
          <w:lang w:val="nl-BE" w:eastAsia="en-US"/>
        </w:rPr>
        <w:t>Het concret</w:t>
      </w:r>
      <w:r w:rsidR="00710DCF" w:rsidRPr="00465B56">
        <w:rPr>
          <w:rFonts w:eastAsia="Calibri"/>
          <w:szCs w:val="22"/>
          <w:lang w:val="nl-BE" w:eastAsia="en-US"/>
        </w:rPr>
        <w:t>e</w:t>
      </w:r>
      <w:r w:rsidR="00486ADA" w:rsidRPr="00465B56">
        <w:rPr>
          <w:rFonts w:eastAsia="Calibri"/>
          <w:szCs w:val="22"/>
          <w:lang w:val="nl-BE" w:eastAsia="en-US"/>
        </w:rPr>
        <w:t xml:space="preserve"> </w:t>
      </w:r>
      <w:r w:rsidR="00EE57F5" w:rsidRPr="00465B56">
        <w:rPr>
          <w:rFonts w:eastAsia="Calibri"/>
          <w:szCs w:val="22"/>
          <w:lang w:val="nl-BE" w:eastAsia="en-US"/>
        </w:rPr>
        <w:t xml:space="preserve">samenwerkingsakkoord </w:t>
      </w:r>
      <w:r w:rsidR="00DB2B16" w:rsidRPr="00465B56">
        <w:rPr>
          <w:rFonts w:eastAsia="Calibri"/>
          <w:szCs w:val="22"/>
          <w:lang w:val="nl-BE" w:eastAsia="en-US"/>
        </w:rPr>
        <w:t xml:space="preserve">betreffende de uitwisselingsprojecten </w:t>
      </w:r>
      <w:r w:rsidR="00486ADA" w:rsidRPr="00465B56">
        <w:rPr>
          <w:rFonts w:eastAsia="Calibri"/>
          <w:szCs w:val="22"/>
          <w:lang w:val="nl-BE" w:eastAsia="en-US"/>
        </w:rPr>
        <w:t>is nog in voorbereiding</w:t>
      </w:r>
      <w:r w:rsidR="00DB2B16" w:rsidRPr="00465B56">
        <w:rPr>
          <w:rFonts w:eastAsia="Calibri"/>
          <w:szCs w:val="22"/>
          <w:lang w:val="nl-BE" w:eastAsia="en-US"/>
        </w:rPr>
        <w:t>.</w:t>
      </w:r>
    </w:p>
    <w:p w:rsidR="002D1A89" w:rsidRPr="00465B56" w:rsidRDefault="002D1A89" w:rsidP="00894212">
      <w:pPr>
        <w:pStyle w:val="StandaardSV"/>
        <w:ind w:left="720" w:hanging="360"/>
        <w:rPr>
          <w:rFonts w:eastAsia="Calibri"/>
          <w:szCs w:val="22"/>
          <w:lang w:val="nl-BE" w:eastAsia="en-US"/>
        </w:rPr>
      </w:pPr>
    </w:p>
    <w:p w:rsidR="00DB2B16" w:rsidRPr="00465B56" w:rsidRDefault="002D1A89" w:rsidP="00581A6B">
      <w:pPr>
        <w:pStyle w:val="StandaardSV"/>
        <w:ind w:left="720" w:hanging="360"/>
        <w:rPr>
          <w:rFonts w:eastAsia="Calibri"/>
          <w:szCs w:val="22"/>
          <w:lang w:val="nl-BE" w:eastAsia="en-US"/>
        </w:rPr>
      </w:pPr>
      <w:r w:rsidRPr="00465B56">
        <w:rPr>
          <w:rFonts w:eastAsia="Calibri"/>
          <w:szCs w:val="22"/>
          <w:lang w:val="nl-BE" w:eastAsia="en-US"/>
        </w:rPr>
        <w:lastRenderedPageBreak/>
        <w:t>e.</w:t>
      </w:r>
      <w:r w:rsidRPr="00465B56">
        <w:rPr>
          <w:rFonts w:eastAsia="Calibri"/>
          <w:szCs w:val="22"/>
          <w:lang w:val="nl-BE" w:eastAsia="en-US"/>
        </w:rPr>
        <w:tab/>
      </w:r>
      <w:r w:rsidRPr="00465B56">
        <w:rPr>
          <w:szCs w:val="22"/>
        </w:rPr>
        <w:t>D</w:t>
      </w:r>
      <w:r w:rsidR="00DB2B16" w:rsidRPr="00465B56">
        <w:rPr>
          <w:rFonts w:eastAsia="Calibri"/>
          <w:szCs w:val="22"/>
          <w:lang w:val="nl-BE" w:eastAsia="en-US"/>
        </w:rPr>
        <w:t>e evaluatie gebeurt op dezelfde manier als bij de reguliere projecten</w:t>
      </w:r>
      <w:r w:rsidR="00EE57F5" w:rsidRPr="00465B56">
        <w:rPr>
          <w:rFonts w:eastAsia="Calibri"/>
          <w:szCs w:val="22"/>
          <w:lang w:val="nl-BE" w:eastAsia="en-US"/>
        </w:rPr>
        <w:t xml:space="preserve"> (z</w:t>
      </w:r>
      <w:r w:rsidR="00DB2B16" w:rsidRPr="00465B56">
        <w:rPr>
          <w:rFonts w:eastAsia="Calibri"/>
          <w:szCs w:val="22"/>
          <w:lang w:val="nl-BE" w:eastAsia="en-US"/>
        </w:rPr>
        <w:t>ie ook het antwoord op</w:t>
      </w:r>
      <w:r w:rsidR="00EE57F5" w:rsidRPr="00465B56">
        <w:rPr>
          <w:rFonts w:eastAsia="Calibri"/>
          <w:szCs w:val="22"/>
          <w:lang w:val="nl-BE" w:eastAsia="en-US"/>
        </w:rPr>
        <w:t xml:space="preserve"> deelv</w:t>
      </w:r>
      <w:r w:rsidR="00DB2B16" w:rsidRPr="00465B56">
        <w:rPr>
          <w:rFonts w:eastAsia="Calibri"/>
          <w:szCs w:val="22"/>
          <w:lang w:val="nl-BE" w:eastAsia="en-US"/>
        </w:rPr>
        <w:t xml:space="preserve">raag 2 </w:t>
      </w:r>
      <w:r w:rsidR="00EE57F5" w:rsidRPr="00465B56">
        <w:rPr>
          <w:szCs w:val="22"/>
        </w:rPr>
        <w:t>van uw schriftelijke parlementaire vraag nr. 347 van 27 juni 2012)</w:t>
      </w:r>
      <w:r w:rsidR="00DB2B16" w:rsidRPr="00465B56">
        <w:rPr>
          <w:rFonts w:eastAsia="Calibri"/>
          <w:szCs w:val="22"/>
          <w:lang w:val="nl-BE" w:eastAsia="en-US"/>
        </w:rPr>
        <w:t>.</w:t>
      </w:r>
    </w:p>
    <w:p w:rsidR="002D1A89" w:rsidRPr="00465B56" w:rsidRDefault="002D1A89" w:rsidP="00894212">
      <w:pPr>
        <w:pStyle w:val="Geenafstand"/>
        <w:ind w:left="360"/>
        <w:jc w:val="both"/>
        <w:rPr>
          <w:rFonts w:eastAsia="Calibri"/>
          <w:sz w:val="22"/>
          <w:szCs w:val="22"/>
          <w:lang w:val="nl-BE" w:eastAsia="en-US"/>
        </w:rPr>
      </w:pPr>
    </w:p>
    <w:p w:rsidR="00DB2B16" w:rsidRPr="00465B56" w:rsidRDefault="00DB2B16" w:rsidP="00894212">
      <w:pPr>
        <w:pStyle w:val="Geenafstand"/>
        <w:numPr>
          <w:ilvl w:val="0"/>
          <w:numId w:val="26"/>
        </w:numPr>
        <w:jc w:val="both"/>
        <w:rPr>
          <w:rFonts w:eastAsia="Calibri"/>
          <w:sz w:val="22"/>
          <w:szCs w:val="22"/>
          <w:lang w:val="nl-BE" w:eastAsia="en-US"/>
        </w:rPr>
      </w:pPr>
      <w:r w:rsidRPr="00465B56">
        <w:rPr>
          <w:rFonts w:eastAsia="Calibri"/>
          <w:sz w:val="22"/>
          <w:szCs w:val="22"/>
          <w:lang w:val="nl-BE" w:eastAsia="en-US"/>
        </w:rPr>
        <w:t>De bedoeling is om op een structurele manier uitwisselingen en kruisbestuiving tussen Vlaamse en Turkse onderzoekers mogelijk te maken. Zulk uitwisselingsakkoord vormt bovendien een uitstekende antenne om de wederzijdse interesse te meten op basis waarvan we in de toekomst de samenwerking eventueel kunnen uitbreiden. Algemeen gezien kan Vlaanderen als kleine regio er alleen maar wel bij varen om de internationale kaart te spelen</w:t>
      </w:r>
      <w:r w:rsidR="00373167" w:rsidRPr="00465B56">
        <w:rPr>
          <w:rFonts w:eastAsia="Calibri"/>
          <w:sz w:val="22"/>
          <w:szCs w:val="22"/>
          <w:lang w:val="nl-BE" w:eastAsia="en-US"/>
        </w:rPr>
        <w:t>.</w:t>
      </w:r>
    </w:p>
    <w:p w:rsidR="002D1A89" w:rsidRPr="00465B56" w:rsidRDefault="002D1A89" w:rsidP="00894212">
      <w:pPr>
        <w:pStyle w:val="Geenafstand"/>
        <w:ind w:left="360"/>
        <w:jc w:val="both"/>
        <w:rPr>
          <w:rFonts w:eastAsia="Calibri"/>
          <w:sz w:val="22"/>
          <w:szCs w:val="22"/>
          <w:lang w:val="nl-BE" w:eastAsia="en-US"/>
        </w:rPr>
      </w:pPr>
    </w:p>
    <w:p w:rsidR="00DB2B16" w:rsidRPr="00465B56" w:rsidRDefault="00DB2B16" w:rsidP="00894212">
      <w:pPr>
        <w:pStyle w:val="Lijstalinea"/>
        <w:numPr>
          <w:ilvl w:val="0"/>
          <w:numId w:val="26"/>
        </w:numPr>
        <w:spacing w:after="200" w:line="276" w:lineRule="auto"/>
        <w:contextualSpacing/>
        <w:jc w:val="both"/>
        <w:rPr>
          <w:rFonts w:eastAsia="Calibri"/>
          <w:sz w:val="22"/>
          <w:szCs w:val="22"/>
          <w:lang w:val="nl-BE" w:eastAsia="en-US"/>
        </w:rPr>
      </w:pPr>
      <w:r w:rsidRPr="00465B56">
        <w:rPr>
          <w:rFonts w:eastAsia="Calibri"/>
          <w:sz w:val="22"/>
          <w:szCs w:val="22"/>
          <w:lang w:val="nl-BE" w:eastAsia="en-US"/>
        </w:rPr>
        <w:t>De financiering van deze samenwerking zal verlopen zoals bij andere uitwisselingsovereen</w:t>
      </w:r>
      <w:r w:rsidR="00581A6B">
        <w:rPr>
          <w:rFonts w:eastAsia="Calibri"/>
          <w:sz w:val="22"/>
          <w:szCs w:val="22"/>
          <w:lang w:val="nl-BE" w:eastAsia="en-US"/>
        </w:rPr>
        <w:softHyphen/>
      </w:r>
      <w:bookmarkStart w:id="0" w:name="_GoBack"/>
      <w:bookmarkEnd w:id="0"/>
      <w:r w:rsidRPr="00465B56">
        <w:rPr>
          <w:rFonts w:eastAsia="Calibri"/>
          <w:sz w:val="22"/>
          <w:szCs w:val="22"/>
          <w:lang w:val="nl-BE" w:eastAsia="en-US"/>
        </w:rPr>
        <w:t>komsten. Het FWO heeft hier een specifieke budgetlijn voor en houdt voor internationale uitwisselingen steeds dezelfde modaliteiten aan: de zendende partner betaalt de reiskosten heen en terug, de ontvangende partner betaalt accommodatie en ziekteverzekering. Het FWO betaalt hiervoor een dagvergoeding van 66 euro per dag met een maximum van 1.650 euro per maand.</w:t>
      </w:r>
    </w:p>
    <w:p w:rsidR="002D1A89" w:rsidRPr="00465B56" w:rsidRDefault="002D1A89" w:rsidP="00894212">
      <w:pPr>
        <w:pStyle w:val="Lijstalinea"/>
        <w:ind w:left="360"/>
        <w:jc w:val="both"/>
        <w:rPr>
          <w:rFonts w:eastAsia="Calibri"/>
          <w:sz w:val="22"/>
          <w:szCs w:val="22"/>
          <w:lang w:val="nl-BE" w:eastAsia="en-US"/>
        </w:rPr>
      </w:pPr>
    </w:p>
    <w:p w:rsidR="001D11E3" w:rsidRDefault="00B02F32" w:rsidP="00894212">
      <w:pPr>
        <w:pStyle w:val="Lijstalinea"/>
        <w:numPr>
          <w:ilvl w:val="0"/>
          <w:numId w:val="26"/>
        </w:numPr>
        <w:jc w:val="both"/>
        <w:rPr>
          <w:rFonts w:eastAsia="Calibri"/>
          <w:sz w:val="22"/>
          <w:szCs w:val="22"/>
          <w:lang w:val="nl-BE" w:eastAsia="en-US"/>
        </w:rPr>
      </w:pPr>
      <w:r w:rsidRPr="00465B56">
        <w:rPr>
          <w:rFonts w:eastAsia="Calibri"/>
          <w:sz w:val="22"/>
          <w:szCs w:val="22"/>
          <w:lang w:val="nl-BE" w:eastAsia="en-US"/>
        </w:rPr>
        <w:t xml:space="preserve">Op basis van informatie die we hebben bekomen van het Turkse </w:t>
      </w:r>
      <w:r w:rsidR="001D11E3">
        <w:rPr>
          <w:rFonts w:eastAsia="Calibri"/>
          <w:sz w:val="22"/>
          <w:szCs w:val="22"/>
          <w:lang w:val="nl-BE" w:eastAsia="en-US"/>
        </w:rPr>
        <w:t>M</w:t>
      </w:r>
      <w:r w:rsidRPr="00465B56">
        <w:rPr>
          <w:rFonts w:eastAsia="Calibri"/>
          <w:sz w:val="22"/>
          <w:szCs w:val="22"/>
          <w:lang w:val="nl-BE" w:eastAsia="en-US"/>
        </w:rPr>
        <w:t xml:space="preserve">inisterie van </w:t>
      </w:r>
      <w:r w:rsidR="001D11E3">
        <w:rPr>
          <w:rFonts w:eastAsia="Calibri"/>
          <w:sz w:val="22"/>
          <w:szCs w:val="22"/>
          <w:lang w:val="nl-BE" w:eastAsia="en-US"/>
        </w:rPr>
        <w:t>E</w:t>
      </w:r>
      <w:r w:rsidRPr="00465B56">
        <w:rPr>
          <w:rFonts w:eastAsia="Calibri"/>
          <w:sz w:val="22"/>
          <w:szCs w:val="22"/>
          <w:lang w:val="nl-BE" w:eastAsia="en-US"/>
        </w:rPr>
        <w:t>conomie zijn er momenteel 457 Belgische bedrijven gevestigd in Turkije.</w:t>
      </w:r>
      <w:r w:rsidR="001D11E3">
        <w:rPr>
          <w:rFonts w:eastAsia="Calibri"/>
          <w:sz w:val="22"/>
          <w:szCs w:val="22"/>
          <w:lang w:val="nl-BE" w:eastAsia="en-US"/>
        </w:rPr>
        <w:t xml:space="preserve"> Een oplijsting van de sectoren waarin deze bedrijven actief zijn, vindt u in onderstaande tabel (bron: </w:t>
      </w:r>
      <w:r w:rsidR="001D11E3" w:rsidRPr="001D11E3">
        <w:rPr>
          <w:rFonts w:eastAsia="Calibri"/>
          <w:i/>
          <w:sz w:val="22"/>
          <w:szCs w:val="22"/>
          <w:lang w:val="nl-BE" w:eastAsia="en-US"/>
        </w:rPr>
        <w:t>Republic of Turkey Ministry of Economy</w:t>
      </w:r>
      <w:r w:rsidR="001D11E3">
        <w:rPr>
          <w:rFonts w:eastAsia="Calibri"/>
          <w:sz w:val="22"/>
          <w:szCs w:val="22"/>
          <w:lang w:val="nl-BE" w:eastAsia="en-US"/>
        </w:rPr>
        <w:t xml:space="preserve"> </w:t>
      </w:r>
      <w:r w:rsidR="00AD47E0">
        <w:rPr>
          <w:rFonts w:eastAsia="Calibri"/>
          <w:sz w:val="22"/>
          <w:szCs w:val="22"/>
          <w:lang w:val="nl-BE" w:eastAsia="en-US"/>
        </w:rPr>
        <w:t xml:space="preserve">– </w:t>
      </w:r>
      <w:hyperlink r:id="rId7" w:history="1">
        <w:r w:rsidR="001D11E3" w:rsidRPr="006B7654">
          <w:rPr>
            <w:rStyle w:val="Hyperlink"/>
            <w:rFonts w:eastAsia="Calibri"/>
            <w:sz w:val="22"/>
            <w:szCs w:val="22"/>
            <w:lang w:val="nl-BE" w:eastAsia="en-US"/>
          </w:rPr>
          <w:t>www.economy.gov.tr</w:t>
        </w:r>
      </w:hyperlink>
      <w:r w:rsidR="001D11E3">
        <w:rPr>
          <w:rFonts w:eastAsia="Calibri"/>
          <w:sz w:val="22"/>
          <w:szCs w:val="22"/>
          <w:lang w:val="nl-BE" w:eastAsia="en-US"/>
        </w:rPr>
        <w:t>).</w:t>
      </w:r>
    </w:p>
    <w:p w:rsidR="001D11E3" w:rsidRDefault="001D11E3" w:rsidP="00894212">
      <w:pPr>
        <w:ind w:left="360"/>
        <w:jc w:val="both"/>
        <w:rPr>
          <w:rFonts w:eastAsia="Calibri"/>
          <w:sz w:val="22"/>
          <w:szCs w:val="22"/>
          <w:lang w:val="nl-BE" w:eastAsia="en-US"/>
        </w:rPr>
      </w:pPr>
    </w:p>
    <w:tbl>
      <w:tblPr>
        <w:tblW w:w="6275" w:type="dxa"/>
        <w:tblInd w:w="496" w:type="dxa"/>
        <w:tblCellMar>
          <w:left w:w="70" w:type="dxa"/>
          <w:right w:w="70" w:type="dxa"/>
        </w:tblCellMar>
        <w:tblLook w:val="04A0" w:firstRow="1" w:lastRow="0" w:firstColumn="1" w:lastColumn="0" w:noHBand="0" w:noVBand="1"/>
      </w:tblPr>
      <w:tblGrid>
        <w:gridCol w:w="4717"/>
        <w:gridCol w:w="818"/>
        <w:gridCol w:w="740"/>
      </w:tblGrid>
      <w:tr w:rsidR="001D11E3" w:rsidRPr="001D11E3" w:rsidTr="00042275">
        <w:trPr>
          <w:trHeight w:val="315"/>
        </w:trPr>
        <w:tc>
          <w:tcPr>
            <w:tcW w:w="4717" w:type="dxa"/>
            <w:tcBorders>
              <w:top w:val="single" w:sz="8" w:space="0" w:color="auto"/>
              <w:left w:val="single" w:sz="8" w:space="0" w:color="auto"/>
              <w:bottom w:val="single" w:sz="8" w:space="0" w:color="auto"/>
              <w:right w:val="nil"/>
            </w:tcBorders>
            <w:shd w:val="clear" w:color="auto" w:fill="auto"/>
            <w:noWrap/>
            <w:vAlign w:val="center"/>
            <w:hideMark/>
          </w:tcPr>
          <w:p w:rsidR="001D11E3" w:rsidRPr="001D11E3" w:rsidRDefault="001D11E3" w:rsidP="00894212">
            <w:pPr>
              <w:jc w:val="both"/>
              <w:rPr>
                <w:b/>
                <w:bCs/>
                <w:color w:val="000000"/>
                <w:sz w:val="20"/>
                <w:lang w:val="nl-BE" w:eastAsia="nl-BE"/>
              </w:rPr>
            </w:pPr>
            <w:r w:rsidRPr="001D11E3">
              <w:rPr>
                <w:b/>
                <w:bCs/>
                <w:color w:val="000000"/>
                <w:sz w:val="20"/>
                <w:lang w:val="nl-BE" w:eastAsia="nl-BE"/>
              </w:rPr>
              <w:t>Sector</w:t>
            </w:r>
          </w:p>
        </w:tc>
        <w:tc>
          <w:tcPr>
            <w:tcW w:w="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11E3" w:rsidRPr="001D11E3" w:rsidRDefault="001D11E3" w:rsidP="00894212">
            <w:pPr>
              <w:jc w:val="both"/>
              <w:rPr>
                <w:b/>
                <w:bCs/>
                <w:color w:val="000000"/>
                <w:sz w:val="20"/>
                <w:lang w:val="nl-BE" w:eastAsia="nl-BE"/>
              </w:rPr>
            </w:pPr>
            <w:r w:rsidRPr="001D11E3">
              <w:rPr>
                <w:b/>
                <w:bCs/>
                <w:color w:val="000000"/>
                <w:sz w:val="20"/>
                <w:lang w:val="nl-BE" w:eastAsia="nl-BE"/>
              </w:rPr>
              <w:t>Aantal</w:t>
            </w:r>
          </w:p>
        </w:tc>
        <w:tc>
          <w:tcPr>
            <w:tcW w:w="740" w:type="dxa"/>
            <w:tcBorders>
              <w:top w:val="single" w:sz="8" w:space="0" w:color="auto"/>
              <w:left w:val="nil"/>
              <w:bottom w:val="single" w:sz="8" w:space="0" w:color="auto"/>
              <w:right w:val="single" w:sz="8" w:space="0" w:color="auto"/>
            </w:tcBorders>
            <w:shd w:val="clear" w:color="auto" w:fill="auto"/>
            <w:noWrap/>
            <w:vAlign w:val="center"/>
            <w:hideMark/>
          </w:tcPr>
          <w:p w:rsidR="001D11E3" w:rsidRPr="001D11E3" w:rsidRDefault="001D11E3" w:rsidP="00894212">
            <w:pPr>
              <w:jc w:val="both"/>
              <w:rPr>
                <w:b/>
                <w:bCs/>
                <w:color w:val="000000"/>
                <w:sz w:val="20"/>
                <w:lang w:val="nl-BE" w:eastAsia="nl-BE"/>
              </w:rPr>
            </w:pPr>
            <w:r w:rsidRPr="001D11E3">
              <w:rPr>
                <w:b/>
                <w:bCs/>
                <w:color w:val="000000"/>
                <w:sz w:val="20"/>
                <w:lang w:val="nl-BE" w:eastAsia="nl-BE"/>
              </w:rPr>
              <w:t>in %</w:t>
            </w:r>
          </w:p>
        </w:tc>
      </w:tr>
      <w:tr w:rsidR="001D11E3" w:rsidRPr="001D11E3" w:rsidTr="00042275">
        <w:trPr>
          <w:trHeight w:val="300"/>
        </w:trPr>
        <w:tc>
          <w:tcPr>
            <w:tcW w:w="4717" w:type="dxa"/>
            <w:tcBorders>
              <w:top w:val="nil"/>
              <w:left w:val="single" w:sz="8" w:space="0" w:color="auto"/>
              <w:bottom w:val="single" w:sz="4" w:space="0" w:color="auto"/>
              <w:right w:val="nil"/>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Bouw</w:t>
            </w:r>
          </w:p>
        </w:tc>
        <w:tc>
          <w:tcPr>
            <w:tcW w:w="818" w:type="dxa"/>
            <w:tcBorders>
              <w:top w:val="nil"/>
              <w:left w:val="single" w:sz="8" w:space="0" w:color="auto"/>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55</w:t>
            </w:r>
          </w:p>
        </w:tc>
        <w:tc>
          <w:tcPr>
            <w:tcW w:w="740" w:type="dxa"/>
            <w:tcBorders>
              <w:top w:val="nil"/>
              <w:left w:val="nil"/>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12%</w:t>
            </w:r>
          </w:p>
        </w:tc>
      </w:tr>
      <w:tr w:rsidR="001D11E3" w:rsidRPr="001D11E3" w:rsidTr="00042275">
        <w:trPr>
          <w:trHeight w:val="300"/>
        </w:trPr>
        <w:tc>
          <w:tcPr>
            <w:tcW w:w="4717" w:type="dxa"/>
            <w:tcBorders>
              <w:top w:val="nil"/>
              <w:left w:val="single" w:sz="8" w:space="0" w:color="auto"/>
              <w:bottom w:val="single" w:sz="4" w:space="0" w:color="auto"/>
              <w:right w:val="nil"/>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Detailhandel (exclusief motorvoertuigen)</w:t>
            </w:r>
          </w:p>
        </w:tc>
        <w:tc>
          <w:tcPr>
            <w:tcW w:w="818" w:type="dxa"/>
            <w:tcBorders>
              <w:top w:val="nil"/>
              <w:left w:val="single" w:sz="8" w:space="0" w:color="auto"/>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16</w:t>
            </w:r>
          </w:p>
        </w:tc>
        <w:tc>
          <w:tcPr>
            <w:tcW w:w="740" w:type="dxa"/>
            <w:tcBorders>
              <w:top w:val="nil"/>
              <w:left w:val="nil"/>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4%</w:t>
            </w:r>
          </w:p>
        </w:tc>
      </w:tr>
      <w:tr w:rsidR="001D11E3" w:rsidRPr="001D11E3" w:rsidTr="00042275">
        <w:trPr>
          <w:trHeight w:val="300"/>
        </w:trPr>
        <w:tc>
          <w:tcPr>
            <w:tcW w:w="4717" w:type="dxa"/>
            <w:tcBorders>
              <w:top w:val="nil"/>
              <w:left w:val="single" w:sz="8" w:space="0" w:color="auto"/>
              <w:bottom w:val="single" w:sz="4" w:space="0" w:color="auto"/>
              <w:right w:val="nil"/>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Gezondheid en sociale diensten</w:t>
            </w:r>
          </w:p>
        </w:tc>
        <w:tc>
          <w:tcPr>
            <w:tcW w:w="818" w:type="dxa"/>
            <w:tcBorders>
              <w:top w:val="nil"/>
              <w:left w:val="single" w:sz="8" w:space="0" w:color="auto"/>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10</w:t>
            </w:r>
          </w:p>
        </w:tc>
        <w:tc>
          <w:tcPr>
            <w:tcW w:w="740" w:type="dxa"/>
            <w:tcBorders>
              <w:top w:val="nil"/>
              <w:left w:val="nil"/>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2%</w:t>
            </w:r>
          </w:p>
        </w:tc>
      </w:tr>
      <w:tr w:rsidR="001D11E3" w:rsidRPr="001D11E3" w:rsidTr="00042275">
        <w:trPr>
          <w:trHeight w:val="300"/>
        </w:trPr>
        <w:tc>
          <w:tcPr>
            <w:tcW w:w="4717" w:type="dxa"/>
            <w:tcBorders>
              <w:top w:val="nil"/>
              <w:left w:val="single" w:sz="8" w:space="0" w:color="auto"/>
              <w:bottom w:val="single" w:sz="4" w:space="0" w:color="auto"/>
              <w:right w:val="nil"/>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Groothandel (exclusief motorvoertuigen)</w:t>
            </w:r>
          </w:p>
        </w:tc>
        <w:tc>
          <w:tcPr>
            <w:tcW w:w="818" w:type="dxa"/>
            <w:tcBorders>
              <w:top w:val="nil"/>
              <w:left w:val="single" w:sz="8" w:space="0" w:color="auto"/>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83</w:t>
            </w:r>
          </w:p>
        </w:tc>
        <w:tc>
          <w:tcPr>
            <w:tcW w:w="740" w:type="dxa"/>
            <w:tcBorders>
              <w:top w:val="nil"/>
              <w:left w:val="nil"/>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18%</w:t>
            </w:r>
          </w:p>
        </w:tc>
      </w:tr>
      <w:tr w:rsidR="001D11E3" w:rsidRPr="001D11E3" w:rsidTr="00042275">
        <w:trPr>
          <w:trHeight w:val="300"/>
        </w:trPr>
        <w:tc>
          <w:tcPr>
            <w:tcW w:w="4717" w:type="dxa"/>
            <w:tcBorders>
              <w:top w:val="nil"/>
              <w:left w:val="single" w:sz="8" w:space="0" w:color="auto"/>
              <w:bottom w:val="single" w:sz="4" w:space="0" w:color="auto"/>
              <w:right w:val="nil"/>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Hotels en restaurants</w:t>
            </w:r>
          </w:p>
        </w:tc>
        <w:tc>
          <w:tcPr>
            <w:tcW w:w="818" w:type="dxa"/>
            <w:tcBorders>
              <w:top w:val="nil"/>
              <w:left w:val="single" w:sz="8" w:space="0" w:color="auto"/>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34</w:t>
            </w:r>
          </w:p>
        </w:tc>
        <w:tc>
          <w:tcPr>
            <w:tcW w:w="740" w:type="dxa"/>
            <w:tcBorders>
              <w:top w:val="nil"/>
              <w:left w:val="nil"/>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7%</w:t>
            </w:r>
          </w:p>
        </w:tc>
      </w:tr>
      <w:tr w:rsidR="001D11E3" w:rsidRPr="001D11E3" w:rsidTr="00042275">
        <w:trPr>
          <w:trHeight w:val="300"/>
        </w:trPr>
        <w:tc>
          <w:tcPr>
            <w:tcW w:w="4717" w:type="dxa"/>
            <w:tcBorders>
              <w:top w:val="nil"/>
              <w:left w:val="single" w:sz="8" w:space="0" w:color="auto"/>
              <w:bottom w:val="single" w:sz="4" w:space="0" w:color="auto"/>
              <w:right w:val="nil"/>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Productie van chemische stoffen en producten</w:t>
            </w:r>
          </w:p>
        </w:tc>
        <w:tc>
          <w:tcPr>
            <w:tcW w:w="818" w:type="dxa"/>
            <w:tcBorders>
              <w:top w:val="nil"/>
              <w:left w:val="single" w:sz="8" w:space="0" w:color="auto"/>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10</w:t>
            </w:r>
          </w:p>
        </w:tc>
        <w:tc>
          <w:tcPr>
            <w:tcW w:w="740" w:type="dxa"/>
            <w:tcBorders>
              <w:top w:val="nil"/>
              <w:left w:val="nil"/>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2%</w:t>
            </w:r>
          </w:p>
        </w:tc>
      </w:tr>
      <w:tr w:rsidR="001D11E3" w:rsidRPr="001D11E3" w:rsidTr="00042275">
        <w:trPr>
          <w:trHeight w:val="300"/>
        </w:trPr>
        <w:tc>
          <w:tcPr>
            <w:tcW w:w="4717" w:type="dxa"/>
            <w:tcBorders>
              <w:top w:val="nil"/>
              <w:left w:val="single" w:sz="8" w:space="0" w:color="auto"/>
              <w:bottom w:val="single" w:sz="4" w:space="0" w:color="auto"/>
              <w:right w:val="nil"/>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Productie van motorvoertuigen (inclusief [semi]trailers)</w:t>
            </w:r>
          </w:p>
        </w:tc>
        <w:tc>
          <w:tcPr>
            <w:tcW w:w="818" w:type="dxa"/>
            <w:tcBorders>
              <w:top w:val="nil"/>
              <w:left w:val="single" w:sz="8" w:space="0" w:color="auto"/>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10</w:t>
            </w:r>
          </w:p>
        </w:tc>
        <w:tc>
          <w:tcPr>
            <w:tcW w:w="740" w:type="dxa"/>
            <w:tcBorders>
              <w:top w:val="nil"/>
              <w:left w:val="nil"/>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2%</w:t>
            </w:r>
          </w:p>
        </w:tc>
      </w:tr>
      <w:tr w:rsidR="001D11E3" w:rsidRPr="001D11E3" w:rsidTr="00042275">
        <w:trPr>
          <w:trHeight w:val="300"/>
        </w:trPr>
        <w:tc>
          <w:tcPr>
            <w:tcW w:w="4717" w:type="dxa"/>
            <w:tcBorders>
              <w:top w:val="nil"/>
              <w:left w:val="single" w:sz="8" w:space="0" w:color="auto"/>
              <w:bottom w:val="single" w:sz="4" w:space="0" w:color="auto"/>
              <w:right w:val="nil"/>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Productie van textiel</w:t>
            </w:r>
          </w:p>
        </w:tc>
        <w:tc>
          <w:tcPr>
            <w:tcW w:w="818" w:type="dxa"/>
            <w:tcBorders>
              <w:top w:val="nil"/>
              <w:left w:val="single" w:sz="8" w:space="0" w:color="auto"/>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15</w:t>
            </w:r>
          </w:p>
        </w:tc>
        <w:tc>
          <w:tcPr>
            <w:tcW w:w="740" w:type="dxa"/>
            <w:tcBorders>
              <w:top w:val="nil"/>
              <w:left w:val="nil"/>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3%</w:t>
            </w:r>
          </w:p>
        </w:tc>
      </w:tr>
      <w:tr w:rsidR="001D11E3" w:rsidRPr="001D11E3" w:rsidTr="00042275">
        <w:trPr>
          <w:trHeight w:val="300"/>
        </w:trPr>
        <w:tc>
          <w:tcPr>
            <w:tcW w:w="4717" w:type="dxa"/>
            <w:tcBorders>
              <w:top w:val="nil"/>
              <w:left w:val="single" w:sz="8" w:space="0" w:color="auto"/>
              <w:bottom w:val="single" w:sz="4" w:space="0" w:color="auto"/>
              <w:right w:val="nil"/>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Reisbureaus</w:t>
            </w:r>
          </w:p>
        </w:tc>
        <w:tc>
          <w:tcPr>
            <w:tcW w:w="818" w:type="dxa"/>
            <w:tcBorders>
              <w:top w:val="nil"/>
              <w:left w:val="single" w:sz="8" w:space="0" w:color="auto"/>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25</w:t>
            </w:r>
          </w:p>
        </w:tc>
        <w:tc>
          <w:tcPr>
            <w:tcW w:w="740" w:type="dxa"/>
            <w:tcBorders>
              <w:top w:val="nil"/>
              <w:left w:val="nil"/>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5%</w:t>
            </w:r>
          </w:p>
        </w:tc>
      </w:tr>
      <w:tr w:rsidR="001D11E3" w:rsidRPr="001D11E3" w:rsidTr="00042275">
        <w:trPr>
          <w:trHeight w:val="300"/>
        </w:trPr>
        <w:tc>
          <w:tcPr>
            <w:tcW w:w="4717" w:type="dxa"/>
            <w:tcBorders>
              <w:top w:val="nil"/>
              <w:left w:val="single" w:sz="8" w:space="0" w:color="auto"/>
              <w:bottom w:val="single" w:sz="4" w:space="0" w:color="auto"/>
              <w:right w:val="nil"/>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Vastgoed</w:t>
            </w:r>
          </w:p>
        </w:tc>
        <w:tc>
          <w:tcPr>
            <w:tcW w:w="818" w:type="dxa"/>
            <w:tcBorders>
              <w:top w:val="nil"/>
              <w:left w:val="single" w:sz="8" w:space="0" w:color="auto"/>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53</w:t>
            </w:r>
          </w:p>
        </w:tc>
        <w:tc>
          <w:tcPr>
            <w:tcW w:w="740" w:type="dxa"/>
            <w:tcBorders>
              <w:top w:val="nil"/>
              <w:left w:val="nil"/>
              <w:bottom w:val="single" w:sz="4" w:space="0" w:color="auto"/>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12%</w:t>
            </w:r>
          </w:p>
        </w:tc>
      </w:tr>
      <w:tr w:rsidR="001D11E3" w:rsidRPr="001D11E3" w:rsidTr="00042275">
        <w:trPr>
          <w:trHeight w:val="315"/>
        </w:trPr>
        <w:tc>
          <w:tcPr>
            <w:tcW w:w="4717" w:type="dxa"/>
            <w:tcBorders>
              <w:top w:val="nil"/>
              <w:left w:val="single" w:sz="8" w:space="0" w:color="auto"/>
              <w:bottom w:val="nil"/>
              <w:right w:val="nil"/>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Overige activiteiten</w:t>
            </w:r>
          </w:p>
        </w:tc>
        <w:tc>
          <w:tcPr>
            <w:tcW w:w="818" w:type="dxa"/>
            <w:tcBorders>
              <w:top w:val="nil"/>
              <w:left w:val="single" w:sz="8" w:space="0" w:color="auto"/>
              <w:bottom w:val="nil"/>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146</w:t>
            </w:r>
          </w:p>
        </w:tc>
        <w:tc>
          <w:tcPr>
            <w:tcW w:w="740" w:type="dxa"/>
            <w:tcBorders>
              <w:top w:val="nil"/>
              <w:left w:val="nil"/>
              <w:bottom w:val="nil"/>
              <w:right w:val="single" w:sz="8" w:space="0" w:color="auto"/>
            </w:tcBorders>
            <w:shd w:val="clear" w:color="auto" w:fill="auto"/>
            <w:noWrap/>
            <w:vAlign w:val="center"/>
            <w:hideMark/>
          </w:tcPr>
          <w:p w:rsidR="001D11E3" w:rsidRPr="001D11E3" w:rsidRDefault="001D11E3" w:rsidP="00894212">
            <w:pPr>
              <w:jc w:val="both"/>
              <w:rPr>
                <w:color w:val="000000"/>
                <w:sz w:val="20"/>
                <w:lang w:val="nl-BE" w:eastAsia="nl-BE"/>
              </w:rPr>
            </w:pPr>
            <w:r w:rsidRPr="001D11E3">
              <w:rPr>
                <w:color w:val="000000"/>
                <w:sz w:val="20"/>
                <w:lang w:val="nl-BE" w:eastAsia="nl-BE"/>
              </w:rPr>
              <w:t>32%</w:t>
            </w:r>
          </w:p>
        </w:tc>
      </w:tr>
      <w:tr w:rsidR="001D11E3" w:rsidRPr="001D11E3" w:rsidTr="00042275">
        <w:trPr>
          <w:trHeight w:val="315"/>
        </w:trPr>
        <w:tc>
          <w:tcPr>
            <w:tcW w:w="4717" w:type="dxa"/>
            <w:tcBorders>
              <w:top w:val="single" w:sz="8" w:space="0" w:color="auto"/>
              <w:left w:val="single" w:sz="8" w:space="0" w:color="auto"/>
              <w:bottom w:val="single" w:sz="8" w:space="0" w:color="auto"/>
              <w:right w:val="nil"/>
            </w:tcBorders>
            <w:shd w:val="clear" w:color="auto" w:fill="auto"/>
            <w:noWrap/>
            <w:vAlign w:val="center"/>
            <w:hideMark/>
          </w:tcPr>
          <w:p w:rsidR="001D11E3" w:rsidRPr="001D11E3" w:rsidRDefault="001D11E3" w:rsidP="00894212">
            <w:pPr>
              <w:jc w:val="both"/>
              <w:rPr>
                <w:b/>
                <w:bCs/>
                <w:color w:val="000000"/>
                <w:sz w:val="20"/>
                <w:lang w:val="nl-BE" w:eastAsia="nl-BE"/>
              </w:rPr>
            </w:pPr>
            <w:r w:rsidRPr="001D11E3">
              <w:rPr>
                <w:b/>
                <w:bCs/>
                <w:color w:val="000000"/>
                <w:sz w:val="20"/>
                <w:lang w:val="nl-BE" w:eastAsia="nl-BE"/>
              </w:rPr>
              <w:t>Totaal</w:t>
            </w:r>
          </w:p>
        </w:tc>
        <w:tc>
          <w:tcPr>
            <w:tcW w:w="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11E3" w:rsidRPr="001D11E3" w:rsidRDefault="001D11E3" w:rsidP="00894212">
            <w:pPr>
              <w:jc w:val="both"/>
              <w:rPr>
                <w:b/>
                <w:bCs/>
                <w:color w:val="000000"/>
                <w:sz w:val="20"/>
                <w:lang w:val="nl-BE" w:eastAsia="nl-BE"/>
              </w:rPr>
            </w:pPr>
            <w:r w:rsidRPr="001D11E3">
              <w:rPr>
                <w:b/>
                <w:bCs/>
                <w:color w:val="000000"/>
                <w:sz w:val="20"/>
                <w:lang w:val="nl-BE" w:eastAsia="nl-BE"/>
              </w:rPr>
              <w:t>457</w:t>
            </w:r>
          </w:p>
        </w:tc>
        <w:tc>
          <w:tcPr>
            <w:tcW w:w="740" w:type="dxa"/>
            <w:tcBorders>
              <w:top w:val="single" w:sz="8" w:space="0" w:color="auto"/>
              <w:left w:val="nil"/>
              <w:bottom w:val="single" w:sz="8" w:space="0" w:color="auto"/>
              <w:right w:val="single" w:sz="8" w:space="0" w:color="auto"/>
            </w:tcBorders>
            <w:shd w:val="clear" w:color="auto" w:fill="auto"/>
            <w:noWrap/>
            <w:vAlign w:val="center"/>
            <w:hideMark/>
          </w:tcPr>
          <w:p w:rsidR="001D11E3" w:rsidRPr="001D11E3" w:rsidRDefault="001D11E3" w:rsidP="00894212">
            <w:pPr>
              <w:jc w:val="both"/>
              <w:rPr>
                <w:b/>
                <w:bCs/>
                <w:color w:val="000000"/>
                <w:sz w:val="20"/>
                <w:lang w:val="nl-BE" w:eastAsia="nl-BE"/>
              </w:rPr>
            </w:pPr>
            <w:r w:rsidRPr="001D11E3">
              <w:rPr>
                <w:b/>
                <w:bCs/>
                <w:color w:val="000000"/>
                <w:sz w:val="20"/>
                <w:lang w:val="nl-BE" w:eastAsia="nl-BE"/>
              </w:rPr>
              <w:t>100%</w:t>
            </w:r>
          </w:p>
        </w:tc>
      </w:tr>
    </w:tbl>
    <w:p w:rsidR="001D11E3" w:rsidRDefault="001D11E3" w:rsidP="00894212">
      <w:pPr>
        <w:ind w:left="360"/>
        <w:jc w:val="both"/>
        <w:rPr>
          <w:rFonts w:eastAsia="Calibri"/>
          <w:sz w:val="22"/>
          <w:szCs w:val="22"/>
          <w:lang w:val="nl-BE" w:eastAsia="en-US"/>
        </w:rPr>
      </w:pPr>
    </w:p>
    <w:p w:rsidR="001D11E3" w:rsidRDefault="001D11E3" w:rsidP="00894212">
      <w:pPr>
        <w:ind w:left="360"/>
        <w:jc w:val="both"/>
        <w:rPr>
          <w:rFonts w:eastAsia="Calibri"/>
          <w:sz w:val="22"/>
          <w:szCs w:val="22"/>
          <w:lang w:val="nl-BE" w:eastAsia="en-US"/>
        </w:rPr>
      </w:pPr>
      <w:r w:rsidRPr="001D11E3">
        <w:rPr>
          <w:rFonts w:eastAsia="Calibri"/>
          <w:sz w:val="22"/>
          <w:szCs w:val="22"/>
          <w:lang w:val="nl-BE" w:eastAsia="en-US"/>
        </w:rPr>
        <w:t>Op het aandeel Vlaamse bedrijven hebben we geen zicht. Vlaamse bedrijven zijn immers niet verplicht een investering in Turkije aan de Vlaamse overheid kenbaar te maken. De Vlaamse overheid houdt dan ook geen data bij over het aantal Vlaamse bedrijven met een vestiging in Turkije.</w:t>
      </w:r>
    </w:p>
    <w:sectPr w:rsidR="001D11E3" w:rsidSect="000A4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1D764E"/>
    <w:multiLevelType w:val="hybridMultilevel"/>
    <w:tmpl w:val="D30294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39A5193"/>
    <w:multiLevelType w:val="hybridMultilevel"/>
    <w:tmpl w:val="658E6BF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AFA4783"/>
    <w:multiLevelType w:val="hybridMultilevel"/>
    <w:tmpl w:val="F31AD2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2086D1A"/>
    <w:multiLevelType w:val="hybridMultilevel"/>
    <w:tmpl w:val="D39A75A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2DE7294"/>
    <w:multiLevelType w:val="hybridMultilevel"/>
    <w:tmpl w:val="3656E83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86928DB"/>
    <w:multiLevelType w:val="hybridMultilevel"/>
    <w:tmpl w:val="DC4261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1C010460"/>
    <w:multiLevelType w:val="hybridMultilevel"/>
    <w:tmpl w:val="65E67D30"/>
    <w:lvl w:ilvl="0" w:tplc="08130017">
      <w:start w:val="1"/>
      <w:numFmt w:val="lowerLetter"/>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1FF23A5F"/>
    <w:multiLevelType w:val="hybridMultilevel"/>
    <w:tmpl w:val="D84C5A3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27D8428B"/>
    <w:multiLevelType w:val="hybridMultilevel"/>
    <w:tmpl w:val="E0E6581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5A2D4A0F"/>
    <w:multiLevelType w:val="hybridMultilevel"/>
    <w:tmpl w:val="2BB8BA8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61984FE5"/>
    <w:multiLevelType w:val="hybridMultilevel"/>
    <w:tmpl w:val="A7062C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6CF65FFC"/>
    <w:multiLevelType w:val="hybridMultilevel"/>
    <w:tmpl w:val="42A051C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nsid w:val="7C4B0D88"/>
    <w:multiLevelType w:val="hybridMultilevel"/>
    <w:tmpl w:val="F580CA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8"/>
  </w:num>
  <w:num w:numId="3">
    <w:abstractNumId w:val="2"/>
  </w:num>
  <w:num w:numId="4">
    <w:abstractNumId w:val="20"/>
  </w:num>
  <w:num w:numId="5">
    <w:abstractNumId w:val="17"/>
  </w:num>
  <w:num w:numId="6">
    <w:abstractNumId w:val="7"/>
  </w:num>
  <w:num w:numId="7">
    <w:abstractNumId w:val="6"/>
  </w:num>
  <w:num w:numId="8">
    <w:abstractNumId w:val="18"/>
  </w:num>
  <w:num w:numId="9">
    <w:abstractNumId w:val="15"/>
  </w:num>
  <w:num w:numId="10">
    <w:abstractNumId w:val="0"/>
  </w:num>
  <w:num w:numId="11">
    <w:abstractNumId w:val="22"/>
  </w:num>
  <w:num w:numId="12">
    <w:abstractNumId w:val="3"/>
  </w:num>
  <w:num w:numId="13">
    <w:abstractNumId w:val="16"/>
  </w:num>
  <w:num w:numId="14">
    <w:abstractNumId w:val="11"/>
  </w:num>
  <w:num w:numId="15">
    <w:abstractNumId w:val="19"/>
  </w:num>
  <w:num w:numId="16">
    <w:abstractNumId w:val="12"/>
  </w:num>
  <w:num w:numId="17">
    <w:abstractNumId w:val="9"/>
  </w:num>
  <w:num w:numId="18">
    <w:abstractNumId w:val="4"/>
  </w:num>
  <w:num w:numId="19">
    <w:abstractNumId w:val="24"/>
  </w:num>
  <w:num w:numId="20">
    <w:abstractNumId w:val="21"/>
  </w:num>
  <w:num w:numId="21">
    <w:abstractNumId w:val="23"/>
  </w:num>
  <w:num w:numId="22">
    <w:abstractNumId w:val="13"/>
  </w:num>
  <w:num w:numId="23">
    <w:abstractNumId w:val="5"/>
  </w:num>
  <w:num w:numId="24">
    <w:abstractNumId w:val="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41198"/>
    <w:rsid w:val="000464A2"/>
    <w:rsid w:val="00070064"/>
    <w:rsid w:val="00071DA4"/>
    <w:rsid w:val="00080040"/>
    <w:rsid w:val="000A418A"/>
    <w:rsid w:val="000E5F4D"/>
    <w:rsid w:val="00171F2E"/>
    <w:rsid w:val="00187BFC"/>
    <w:rsid w:val="001D11E3"/>
    <w:rsid w:val="001D543F"/>
    <w:rsid w:val="001E1917"/>
    <w:rsid w:val="001E4BBA"/>
    <w:rsid w:val="0029077E"/>
    <w:rsid w:val="002D1A89"/>
    <w:rsid w:val="002F3309"/>
    <w:rsid w:val="00343A8F"/>
    <w:rsid w:val="00373167"/>
    <w:rsid w:val="00394379"/>
    <w:rsid w:val="0040142A"/>
    <w:rsid w:val="00427E2D"/>
    <w:rsid w:val="00435418"/>
    <w:rsid w:val="00465B56"/>
    <w:rsid w:val="00486ADA"/>
    <w:rsid w:val="004A3678"/>
    <w:rsid w:val="004B174C"/>
    <w:rsid w:val="004D7979"/>
    <w:rsid w:val="005051B9"/>
    <w:rsid w:val="00505D08"/>
    <w:rsid w:val="00581A6B"/>
    <w:rsid w:val="005A0D53"/>
    <w:rsid w:val="0061408A"/>
    <w:rsid w:val="00627F18"/>
    <w:rsid w:val="00667CE6"/>
    <w:rsid w:val="00693743"/>
    <w:rsid w:val="006F29F5"/>
    <w:rsid w:val="006F49EA"/>
    <w:rsid w:val="00710DCF"/>
    <w:rsid w:val="00714739"/>
    <w:rsid w:val="0078435B"/>
    <w:rsid w:val="007A7738"/>
    <w:rsid w:val="007E2BBA"/>
    <w:rsid w:val="007E5CF0"/>
    <w:rsid w:val="007F1DB6"/>
    <w:rsid w:val="0083747B"/>
    <w:rsid w:val="00842F2E"/>
    <w:rsid w:val="00844521"/>
    <w:rsid w:val="00894212"/>
    <w:rsid w:val="00941198"/>
    <w:rsid w:val="009864CE"/>
    <w:rsid w:val="009C170D"/>
    <w:rsid w:val="009F10A6"/>
    <w:rsid w:val="00AD47E0"/>
    <w:rsid w:val="00AD78E8"/>
    <w:rsid w:val="00B02F32"/>
    <w:rsid w:val="00B6547D"/>
    <w:rsid w:val="00BC0163"/>
    <w:rsid w:val="00BD07FB"/>
    <w:rsid w:val="00BE1E59"/>
    <w:rsid w:val="00C75C7E"/>
    <w:rsid w:val="00CA7462"/>
    <w:rsid w:val="00CC63C8"/>
    <w:rsid w:val="00CF4E65"/>
    <w:rsid w:val="00D13D22"/>
    <w:rsid w:val="00D2463F"/>
    <w:rsid w:val="00D250A5"/>
    <w:rsid w:val="00D42F08"/>
    <w:rsid w:val="00DB2B16"/>
    <w:rsid w:val="00DF6517"/>
    <w:rsid w:val="00E615D1"/>
    <w:rsid w:val="00E67270"/>
    <w:rsid w:val="00E7310D"/>
    <w:rsid w:val="00E848D8"/>
    <w:rsid w:val="00EE57F5"/>
    <w:rsid w:val="00EF296F"/>
    <w:rsid w:val="00F149E1"/>
    <w:rsid w:val="00F1767E"/>
    <w:rsid w:val="00F52CAF"/>
    <w:rsid w:val="00F8076E"/>
    <w:rsid w:val="00F924D6"/>
    <w:rsid w:val="00FC1093"/>
    <w:rsid w:val="00FC48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A418A"/>
    <w:rPr>
      <w:sz w:val="24"/>
      <w:lang w:val="nl-NL" w:eastAsia="nl-NL"/>
    </w:rPr>
  </w:style>
  <w:style w:type="paragraph" w:styleId="Kop1">
    <w:name w:val="heading 1"/>
    <w:basedOn w:val="Standaard"/>
    <w:next w:val="Standaard"/>
    <w:qFormat/>
    <w:rsid w:val="000A418A"/>
    <w:pPr>
      <w:keepNext/>
      <w:numPr>
        <w:numId w:val="2"/>
      </w:numPr>
      <w:jc w:val="both"/>
      <w:outlineLvl w:val="0"/>
    </w:pPr>
    <w:rPr>
      <w:b/>
      <w:caps/>
    </w:rPr>
  </w:style>
  <w:style w:type="paragraph" w:styleId="Kop2">
    <w:name w:val="heading 2"/>
    <w:basedOn w:val="Standaard"/>
    <w:next w:val="Standaard"/>
    <w:qFormat/>
    <w:rsid w:val="000A418A"/>
    <w:pPr>
      <w:keepNext/>
      <w:tabs>
        <w:tab w:val="num" w:pos="567"/>
      </w:tabs>
      <w:ind w:left="567" w:hanging="567"/>
      <w:outlineLvl w:val="1"/>
    </w:pPr>
    <w:rPr>
      <w:b/>
    </w:rPr>
  </w:style>
  <w:style w:type="paragraph" w:styleId="Kop3">
    <w:name w:val="heading 3"/>
    <w:basedOn w:val="Standaard"/>
    <w:next w:val="Standaard"/>
    <w:qFormat/>
    <w:rsid w:val="000A418A"/>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0A418A"/>
    <w:pPr>
      <w:framePr w:w="7920" w:h="1980" w:hRule="exact" w:hSpace="141" w:wrap="auto" w:hAnchor="page" w:xAlign="center" w:yAlign="bottom"/>
      <w:ind w:left="2880"/>
    </w:pPr>
  </w:style>
  <w:style w:type="paragraph" w:styleId="Afzender">
    <w:name w:val="envelope return"/>
    <w:basedOn w:val="Standaard"/>
    <w:rsid w:val="000A418A"/>
  </w:style>
  <w:style w:type="paragraph" w:styleId="Inhopg1">
    <w:name w:val="toc 1"/>
    <w:basedOn w:val="Standaard"/>
    <w:next w:val="Standaard"/>
    <w:autoRedefine/>
    <w:semiHidden/>
    <w:rsid w:val="000A418A"/>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0A418A"/>
    <w:pPr>
      <w:tabs>
        <w:tab w:val="right" w:leader="dot" w:pos="9741"/>
      </w:tabs>
      <w:spacing w:before="80" w:after="80"/>
      <w:ind w:left="1134" w:hanging="567"/>
    </w:pPr>
    <w:rPr>
      <w:noProof/>
    </w:rPr>
  </w:style>
  <w:style w:type="paragraph" w:styleId="Inhopg3">
    <w:name w:val="toc 3"/>
    <w:basedOn w:val="Standaard"/>
    <w:next w:val="Standaard"/>
    <w:autoRedefine/>
    <w:semiHidden/>
    <w:rsid w:val="000A418A"/>
    <w:pPr>
      <w:tabs>
        <w:tab w:val="right" w:leader="dot" w:pos="9741"/>
      </w:tabs>
      <w:spacing w:before="40" w:after="40"/>
      <w:ind w:left="1701" w:hanging="567"/>
    </w:pPr>
    <w:rPr>
      <w:i/>
    </w:rPr>
  </w:style>
  <w:style w:type="paragraph" w:styleId="Plattetekst2">
    <w:name w:val="Body Text 2"/>
    <w:basedOn w:val="Standaard"/>
    <w:rsid w:val="000A418A"/>
    <w:pPr>
      <w:jc w:val="both"/>
    </w:pPr>
    <w:rPr>
      <w:i/>
      <w:sz w:val="22"/>
    </w:rPr>
  </w:style>
  <w:style w:type="paragraph" w:styleId="Lijstalinea">
    <w:name w:val="List Paragraph"/>
    <w:basedOn w:val="Standaard"/>
    <w:uiPriority w:val="34"/>
    <w:qFormat/>
    <w:rsid w:val="007F1DB6"/>
    <w:pPr>
      <w:ind w:left="708"/>
    </w:pPr>
  </w:style>
  <w:style w:type="paragraph" w:customStyle="1" w:styleId="SVVlaamsParlement">
    <w:name w:val="SV Vlaams Parlement"/>
    <w:basedOn w:val="Standaard"/>
    <w:rsid w:val="000A418A"/>
    <w:pPr>
      <w:jc w:val="both"/>
    </w:pPr>
    <w:rPr>
      <w:b/>
      <w:smallCaps/>
      <w:sz w:val="22"/>
    </w:rPr>
  </w:style>
  <w:style w:type="paragraph" w:customStyle="1" w:styleId="SVTitel">
    <w:name w:val="SV Titel"/>
    <w:basedOn w:val="Standaard"/>
    <w:rsid w:val="000A418A"/>
    <w:pPr>
      <w:jc w:val="both"/>
    </w:pPr>
    <w:rPr>
      <w:i/>
      <w:sz w:val="22"/>
    </w:rPr>
  </w:style>
  <w:style w:type="paragraph" w:customStyle="1" w:styleId="StandaardSV">
    <w:name w:val="Standaard SV"/>
    <w:basedOn w:val="Standaard"/>
    <w:rsid w:val="000A418A"/>
    <w:pPr>
      <w:jc w:val="both"/>
    </w:pPr>
    <w:rPr>
      <w:sz w:val="22"/>
    </w:rPr>
  </w:style>
  <w:style w:type="paragraph" w:styleId="Ballontekst">
    <w:name w:val="Balloon Text"/>
    <w:basedOn w:val="Standaard"/>
    <w:link w:val="BallontekstChar"/>
    <w:rsid w:val="007F1DB6"/>
    <w:rPr>
      <w:rFonts w:ascii="Tahoma" w:hAnsi="Tahoma"/>
      <w:sz w:val="16"/>
      <w:szCs w:val="16"/>
    </w:rPr>
  </w:style>
  <w:style w:type="character" w:customStyle="1" w:styleId="BallontekstChar">
    <w:name w:val="Ballontekst Char"/>
    <w:link w:val="Ballontekst"/>
    <w:rsid w:val="007F1DB6"/>
    <w:rPr>
      <w:rFonts w:ascii="Tahoma" w:hAnsi="Tahoma" w:cs="Tahoma"/>
      <w:sz w:val="16"/>
      <w:szCs w:val="16"/>
      <w:lang w:val="nl-NL" w:eastAsia="nl-NL"/>
    </w:rPr>
  </w:style>
  <w:style w:type="paragraph" w:styleId="Geenafstand">
    <w:name w:val="No Spacing"/>
    <w:uiPriority w:val="1"/>
    <w:qFormat/>
    <w:rsid w:val="002D1A89"/>
    <w:rPr>
      <w:sz w:val="24"/>
      <w:lang w:val="nl-NL" w:eastAsia="nl-NL"/>
    </w:rPr>
  </w:style>
  <w:style w:type="character" w:styleId="Hyperlink">
    <w:name w:val="Hyperlink"/>
    <w:basedOn w:val="Standaardalinea-lettertype"/>
    <w:rsid w:val="001D11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Lijstalinea">
    <w:name w:val="List Paragraph"/>
    <w:basedOn w:val="Standaard"/>
    <w:uiPriority w:val="34"/>
    <w:qFormat/>
    <w:rsid w:val="007F1DB6"/>
    <w:pPr>
      <w:ind w:left="708"/>
    </w:p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Ballontekst">
    <w:name w:val="Balloon Text"/>
    <w:basedOn w:val="Standaard"/>
    <w:link w:val="BallontekstChar"/>
    <w:rsid w:val="007F1DB6"/>
    <w:rPr>
      <w:rFonts w:ascii="Tahoma" w:hAnsi="Tahoma"/>
      <w:sz w:val="16"/>
      <w:szCs w:val="16"/>
    </w:rPr>
  </w:style>
  <w:style w:type="character" w:customStyle="1" w:styleId="BallontekstChar">
    <w:name w:val="Ballontekst Char"/>
    <w:link w:val="Ballontekst"/>
    <w:rsid w:val="007F1DB6"/>
    <w:rPr>
      <w:rFonts w:ascii="Tahoma" w:hAnsi="Tahoma" w:cs="Tahoma"/>
      <w:sz w:val="16"/>
      <w:szCs w:val="16"/>
      <w:lang w:val="nl-NL" w:eastAsia="nl-NL"/>
    </w:rPr>
  </w:style>
  <w:style w:type="paragraph" w:styleId="Geenafstand">
    <w:name w:val="No Spacing"/>
    <w:uiPriority w:val="1"/>
    <w:qFormat/>
    <w:rsid w:val="002D1A89"/>
    <w:rPr>
      <w:sz w:val="24"/>
      <w:lang w:val="nl-NL" w:eastAsia="nl-NL"/>
    </w:rPr>
  </w:style>
  <w:style w:type="character" w:styleId="Hyperlink">
    <w:name w:val="Hyperlink"/>
    <w:basedOn w:val="Standaardalinea-lettertype"/>
    <w:rsid w:val="001D1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4507">
      <w:bodyDiv w:val="1"/>
      <w:marLeft w:val="0"/>
      <w:marRight w:val="0"/>
      <w:marTop w:val="0"/>
      <w:marBottom w:val="0"/>
      <w:divBdr>
        <w:top w:val="none" w:sz="0" w:space="0" w:color="auto"/>
        <w:left w:val="none" w:sz="0" w:space="0" w:color="auto"/>
        <w:bottom w:val="none" w:sz="0" w:space="0" w:color="auto"/>
        <w:right w:val="none" w:sz="0" w:space="0" w:color="auto"/>
      </w:divBdr>
    </w:div>
    <w:div w:id="19873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conomy.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05CC-434B-45E8-AFE3-002F10CF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4</cp:revision>
  <cp:lastPrinted>2012-06-28T15:52:00Z</cp:lastPrinted>
  <dcterms:created xsi:type="dcterms:W3CDTF">2012-09-11T10:35:00Z</dcterms:created>
  <dcterms:modified xsi:type="dcterms:W3CDTF">2012-09-19T09:14:00Z</dcterms:modified>
</cp:coreProperties>
</file>