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C7" w:rsidRDefault="001F0937">
      <w:pPr>
        <w:rPr>
          <w:b/>
          <w:smallCaps/>
          <w:sz w:val="22"/>
        </w:rPr>
      </w:pPr>
      <w:r>
        <w:rPr>
          <w:b/>
          <w:smallCaps/>
          <w:sz w:val="22"/>
        </w:rPr>
        <w:t>ingrid lieten</w:t>
      </w:r>
    </w:p>
    <w:p w:rsidR="005431C7" w:rsidRDefault="005431C7">
      <w:pPr>
        <w:pStyle w:val="StandaardSV"/>
        <w:rPr>
          <w:smallCaps/>
        </w:rPr>
      </w:pPr>
      <w:r>
        <w:rPr>
          <w:smallCaps/>
        </w:rPr>
        <w:t xml:space="preserve">viceminister-president van de vlaamse regering, vlaams minister van </w:t>
      </w:r>
      <w:r w:rsidR="001F0937">
        <w:rPr>
          <w:smallCaps/>
        </w:rPr>
        <w:t>innovatie, overheidsinvesteringen, media en armoedebestrijding</w:t>
      </w:r>
    </w:p>
    <w:p w:rsidR="005431C7" w:rsidRDefault="005431C7">
      <w:pPr>
        <w:pBdr>
          <w:bottom w:val="single" w:sz="4" w:space="1" w:color="auto"/>
        </w:pBdr>
        <w:rPr>
          <w:sz w:val="22"/>
        </w:rPr>
      </w:pPr>
    </w:p>
    <w:p w:rsidR="005431C7" w:rsidRDefault="005431C7">
      <w:pPr>
        <w:rPr>
          <w:sz w:val="22"/>
        </w:rPr>
      </w:pPr>
    </w:p>
    <w:p w:rsidR="00CA30A2" w:rsidRPr="00103D45" w:rsidRDefault="00CA30A2" w:rsidP="00CA30A2">
      <w:pPr>
        <w:rPr>
          <w:b/>
          <w:smallCaps/>
          <w:sz w:val="22"/>
          <w:szCs w:val="22"/>
        </w:rPr>
      </w:pPr>
      <w:r w:rsidRPr="00103D45">
        <w:rPr>
          <w:b/>
          <w:smallCaps/>
          <w:sz w:val="22"/>
          <w:szCs w:val="22"/>
        </w:rPr>
        <w:t>antwoord</w:t>
      </w:r>
    </w:p>
    <w:p w:rsidR="00CA30A2" w:rsidRPr="00103D45" w:rsidRDefault="00CA30A2" w:rsidP="00CA30A2">
      <w:pPr>
        <w:rPr>
          <w:sz w:val="22"/>
          <w:szCs w:val="22"/>
        </w:rPr>
      </w:pPr>
      <w:r w:rsidRPr="00103D45">
        <w:rPr>
          <w:sz w:val="22"/>
          <w:szCs w:val="22"/>
        </w:rPr>
        <w:t xml:space="preserve">op vraag nr. </w:t>
      </w:r>
      <w:r w:rsidR="003D60CF">
        <w:rPr>
          <w:sz w:val="22"/>
        </w:rPr>
        <w:t>347</w:t>
      </w:r>
      <w:r w:rsidRPr="00103D45">
        <w:rPr>
          <w:sz w:val="22"/>
          <w:szCs w:val="22"/>
        </w:rPr>
        <w:t xml:space="preserve"> van </w:t>
      </w:r>
      <w:r w:rsidR="003D60CF">
        <w:rPr>
          <w:sz w:val="22"/>
        </w:rPr>
        <w:t>27 juni 2012</w:t>
      </w:r>
    </w:p>
    <w:p w:rsidR="005431C7" w:rsidRDefault="00CA30A2" w:rsidP="00CA30A2">
      <w:pPr>
        <w:rPr>
          <w:sz w:val="22"/>
        </w:rPr>
      </w:pPr>
      <w:r w:rsidRPr="00103D45">
        <w:rPr>
          <w:sz w:val="22"/>
          <w:szCs w:val="22"/>
        </w:rPr>
        <w:t xml:space="preserve">van </w:t>
      </w:r>
      <w:r w:rsidR="003D60CF">
        <w:rPr>
          <w:b/>
          <w:smallCaps/>
        </w:rPr>
        <w:t>matthias diependaele</w:t>
      </w:r>
    </w:p>
    <w:p w:rsidR="005431C7" w:rsidRDefault="005431C7" w:rsidP="009976C1">
      <w:pPr>
        <w:pBdr>
          <w:bottom w:val="single" w:sz="4" w:space="1" w:color="auto"/>
        </w:pBdr>
        <w:jc w:val="both"/>
        <w:rPr>
          <w:sz w:val="22"/>
        </w:rPr>
      </w:pPr>
    </w:p>
    <w:p w:rsidR="005431C7" w:rsidRPr="00957891" w:rsidRDefault="005431C7" w:rsidP="009976C1">
      <w:pPr>
        <w:jc w:val="both"/>
        <w:rPr>
          <w:sz w:val="22"/>
          <w:szCs w:val="22"/>
        </w:rPr>
      </w:pPr>
    </w:p>
    <w:p w:rsidR="00957891" w:rsidRPr="00957891" w:rsidRDefault="00957891" w:rsidP="00957891">
      <w:pPr>
        <w:rPr>
          <w:sz w:val="22"/>
          <w:szCs w:val="22"/>
        </w:rPr>
      </w:pPr>
    </w:p>
    <w:p w:rsidR="00957891" w:rsidRPr="00957891" w:rsidRDefault="00957891" w:rsidP="003F5F8B">
      <w:pPr>
        <w:pStyle w:val="Lijstalinea"/>
        <w:numPr>
          <w:ilvl w:val="0"/>
          <w:numId w:val="12"/>
        </w:numPr>
        <w:ind w:left="426" w:hanging="426"/>
        <w:jc w:val="both"/>
        <w:rPr>
          <w:sz w:val="22"/>
          <w:szCs w:val="22"/>
        </w:rPr>
      </w:pPr>
      <w:r w:rsidRPr="00957891">
        <w:rPr>
          <w:sz w:val="22"/>
          <w:szCs w:val="22"/>
        </w:rPr>
        <w:t>Het bilaterale samenwerkingsakkoord met Québec sluit helemaal aan bij de wijze waarop het FWO invulling geeft aan zijn missie: op basis van excellentie en interuniversitaire competitie Vlaamse wetenschappers de kans geven om in samenwerking met Canadese collega’s nieuwe innovatieve ideeën uit te werken. Volgens het bottom-up principe is dit bilaterale akkoord zeer ruim opgevat en kan het onderzoek behelzen in alle mogelijke wetenschappelijke disciplines. In overleg met de partner in Québec, het Ministerie voor Economische Ontwikkeling, Export en Innovatie (</w:t>
      </w:r>
      <w:r w:rsidR="0023466E" w:rsidRPr="00E62011">
        <w:rPr>
          <w:sz w:val="22"/>
          <w:szCs w:val="22"/>
          <w:lang w:val="nl-BE"/>
        </w:rPr>
        <w:t>Ministère du Développement Économique, de l’Innovation et de l’Exportation</w:t>
      </w:r>
      <w:r w:rsidR="0023466E">
        <w:rPr>
          <w:sz w:val="22"/>
          <w:szCs w:val="22"/>
        </w:rPr>
        <w:t xml:space="preserve"> – M</w:t>
      </w:r>
      <w:r w:rsidRPr="00957891">
        <w:rPr>
          <w:sz w:val="22"/>
          <w:szCs w:val="22"/>
        </w:rPr>
        <w:t>DEIE), werden er wel een aantal meer prioritaire domeinen gedefinieerd</w:t>
      </w:r>
      <w:r w:rsidR="00EF1373">
        <w:rPr>
          <w:sz w:val="22"/>
          <w:szCs w:val="22"/>
        </w:rPr>
        <w:t>, meer bepaald de volgende</w:t>
      </w:r>
      <w:r w:rsidRPr="00957891">
        <w:rPr>
          <w:sz w:val="22"/>
          <w:szCs w:val="22"/>
        </w:rPr>
        <w:t>:</w:t>
      </w:r>
    </w:p>
    <w:p w:rsidR="00957891" w:rsidRPr="00957891" w:rsidRDefault="00957891" w:rsidP="004F2152">
      <w:pPr>
        <w:pStyle w:val="Lijstalinea"/>
        <w:numPr>
          <w:ilvl w:val="0"/>
          <w:numId w:val="11"/>
        </w:numPr>
        <w:ind w:hanging="294"/>
        <w:jc w:val="both"/>
        <w:rPr>
          <w:sz w:val="22"/>
          <w:szCs w:val="22"/>
        </w:rPr>
      </w:pPr>
      <w:r w:rsidRPr="00957891">
        <w:rPr>
          <w:sz w:val="22"/>
          <w:szCs w:val="22"/>
        </w:rPr>
        <w:t>Biotechnologie,</w:t>
      </w:r>
      <w:r w:rsidRPr="003D60CF">
        <w:rPr>
          <w:sz w:val="22"/>
          <w:szCs w:val="22"/>
          <w:lang w:val="en-GB"/>
        </w:rPr>
        <w:t xml:space="preserve"> genomics</w:t>
      </w:r>
      <w:r w:rsidRPr="00957891">
        <w:rPr>
          <w:sz w:val="22"/>
          <w:szCs w:val="22"/>
        </w:rPr>
        <w:t xml:space="preserve"> en</w:t>
      </w:r>
      <w:r w:rsidRPr="003D60CF">
        <w:rPr>
          <w:sz w:val="22"/>
          <w:szCs w:val="22"/>
          <w:lang w:val="en-GB"/>
        </w:rPr>
        <w:t xml:space="preserve"> proteomics</w:t>
      </w:r>
      <w:r>
        <w:rPr>
          <w:sz w:val="22"/>
          <w:szCs w:val="22"/>
        </w:rPr>
        <w:t>;</w:t>
      </w:r>
    </w:p>
    <w:p w:rsidR="00957891" w:rsidRPr="00957891" w:rsidRDefault="00957891" w:rsidP="004F2152">
      <w:pPr>
        <w:pStyle w:val="Lijstalinea"/>
        <w:numPr>
          <w:ilvl w:val="0"/>
          <w:numId w:val="11"/>
        </w:numPr>
        <w:ind w:hanging="294"/>
        <w:jc w:val="both"/>
        <w:rPr>
          <w:sz w:val="22"/>
          <w:szCs w:val="22"/>
        </w:rPr>
      </w:pPr>
      <w:r w:rsidRPr="00957891">
        <w:rPr>
          <w:sz w:val="22"/>
          <w:szCs w:val="22"/>
        </w:rPr>
        <w:t>Gezondheidswetenschappen</w:t>
      </w:r>
      <w:r>
        <w:rPr>
          <w:sz w:val="22"/>
          <w:szCs w:val="22"/>
        </w:rPr>
        <w:t>;</w:t>
      </w:r>
    </w:p>
    <w:p w:rsidR="00957891" w:rsidRPr="00957891" w:rsidRDefault="00957891" w:rsidP="004F2152">
      <w:pPr>
        <w:pStyle w:val="Lijstalinea"/>
        <w:numPr>
          <w:ilvl w:val="0"/>
          <w:numId w:val="11"/>
        </w:numPr>
        <w:ind w:hanging="294"/>
        <w:jc w:val="both"/>
        <w:rPr>
          <w:sz w:val="22"/>
          <w:szCs w:val="22"/>
        </w:rPr>
      </w:pPr>
      <w:r w:rsidRPr="00957891">
        <w:rPr>
          <w:sz w:val="22"/>
          <w:szCs w:val="22"/>
        </w:rPr>
        <w:t>Nanotechnologie e</w:t>
      </w:r>
      <w:r w:rsidR="00CC0717">
        <w:rPr>
          <w:sz w:val="22"/>
          <w:szCs w:val="22"/>
        </w:rPr>
        <w:t>n</w:t>
      </w:r>
      <w:r w:rsidRPr="00957891">
        <w:rPr>
          <w:sz w:val="22"/>
          <w:szCs w:val="22"/>
        </w:rPr>
        <w:t xml:space="preserve"> materiaalwetenschap</w:t>
      </w:r>
      <w:r>
        <w:rPr>
          <w:sz w:val="22"/>
          <w:szCs w:val="22"/>
        </w:rPr>
        <w:t>;</w:t>
      </w:r>
    </w:p>
    <w:p w:rsidR="00957891" w:rsidRPr="00957891" w:rsidRDefault="00957891" w:rsidP="004F2152">
      <w:pPr>
        <w:pStyle w:val="Lijstalinea"/>
        <w:numPr>
          <w:ilvl w:val="0"/>
          <w:numId w:val="11"/>
        </w:numPr>
        <w:ind w:hanging="294"/>
        <w:jc w:val="both"/>
        <w:rPr>
          <w:sz w:val="22"/>
          <w:szCs w:val="22"/>
        </w:rPr>
      </w:pPr>
      <w:r w:rsidRPr="00957891">
        <w:rPr>
          <w:sz w:val="22"/>
          <w:szCs w:val="22"/>
        </w:rPr>
        <w:t>Informatietechnologie, in het bijzonder bio-informatica, optica-</w:t>
      </w:r>
      <w:r w:rsidR="005B0761">
        <w:rPr>
          <w:sz w:val="22"/>
          <w:szCs w:val="22"/>
        </w:rPr>
        <w:t>f</w:t>
      </w:r>
      <w:r w:rsidRPr="00957891">
        <w:rPr>
          <w:sz w:val="22"/>
          <w:szCs w:val="22"/>
        </w:rPr>
        <w:t>otonica, geomatica, beveiliging en automatische vertaling</w:t>
      </w:r>
      <w:r w:rsidR="005B0761">
        <w:rPr>
          <w:sz w:val="22"/>
          <w:szCs w:val="22"/>
        </w:rPr>
        <w:t>;</w:t>
      </w:r>
    </w:p>
    <w:p w:rsidR="00957891" w:rsidRPr="00957891" w:rsidRDefault="00957891" w:rsidP="004F2152">
      <w:pPr>
        <w:pStyle w:val="Lijstalinea"/>
        <w:numPr>
          <w:ilvl w:val="0"/>
          <w:numId w:val="11"/>
        </w:numPr>
        <w:ind w:hanging="294"/>
        <w:jc w:val="both"/>
        <w:rPr>
          <w:sz w:val="22"/>
          <w:szCs w:val="22"/>
        </w:rPr>
      </w:pPr>
      <w:r w:rsidRPr="00957891">
        <w:rPr>
          <w:sz w:val="22"/>
          <w:szCs w:val="22"/>
        </w:rPr>
        <w:t>Ruimte- en luchtvaarttechnologie</w:t>
      </w:r>
      <w:r>
        <w:rPr>
          <w:sz w:val="22"/>
          <w:szCs w:val="22"/>
        </w:rPr>
        <w:t>;</w:t>
      </w:r>
    </w:p>
    <w:p w:rsidR="00957891" w:rsidRPr="00957891" w:rsidRDefault="00957891" w:rsidP="004F2152">
      <w:pPr>
        <w:pStyle w:val="Lijstalinea"/>
        <w:numPr>
          <w:ilvl w:val="0"/>
          <w:numId w:val="11"/>
        </w:numPr>
        <w:ind w:hanging="294"/>
        <w:jc w:val="both"/>
        <w:rPr>
          <w:sz w:val="22"/>
          <w:szCs w:val="22"/>
        </w:rPr>
      </w:pPr>
      <w:r w:rsidRPr="00957891">
        <w:rPr>
          <w:sz w:val="22"/>
          <w:szCs w:val="22"/>
        </w:rPr>
        <w:t>Klimaatverandering en duurzame ontwikkeling</w:t>
      </w:r>
      <w:r>
        <w:rPr>
          <w:sz w:val="22"/>
          <w:szCs w:val="22"/>
        </w:rPr>
        <w:t>;</w:t>
      </w:r>
    </w:p>
    <w:p w:rsidR="00957891" w:rsidRPr="00957891" w:rsidRDefault="00957891" w:rsidP="004F2152">
      <w:pPr>
        <w:pStyle w:val="Lijstalinea"/>
        <w:numPr>
          <w:ilvl w:val="0"/>
          <w:numId w:val="11"/>
        </w:numPr>
        <w:ind w:hanging="294"/>
        <w:jc w:val="both"/>
        <w:rPr>
          <w:sz w:val="22"/>
          <w:szCs w:val="22"/>
        </w:rPr>
      </w:pPr>
      <w:r w:rsidRPr="00957891">
        <w:rPr>
          <w:sz w:val="22"/>
          <w:szCs w:val="22"/>
        </w:rPr>
        <w:t>Waterbeheer</w:t>
      </w:r>
      <w:r>
        <w:rPr>
          <w:sz w:val="22"/>
          <w:szCs w:val="22"/>
        </w:rPr>
        <w:t>;</w:t>
      </w:r>
    </w:p>
    <w:p w:rsidR="00957891" w:rsidRPr="00957891" w:rsidRDefault="00957891" w:rsidP="004F2152">
      <w:pPr>
        <w:pStyle w:val="Lijstalinea"/>
        <w:numPr>
          <w:ilvl w:val="0"/>
          <w:numId w:val="11"/>
        </w:numPr>
        <w:ind w:hanging="294"/>
        <w:jc w:val="both"/>
        <w:rPr>
          <w:sz w:val="22"/>
          <w:szCs w:val="22"/>
        </w:rPr>
      </w:pPr>
      <w:r w:rsidRPr="00957891">
        <w:rPr>
          <w:sz w:val="22"/>
          <w:szCs w:val="22"/>
        </w:rPr>
        <w:t>Cyanobacteriën</w:t>
      </w:r>
      <w:r>
        <w:rPr>
          <w:sz w:val="22"/>
          <w:szCs w:val="22"/>
        </w:rPr>
        <w:t>;</w:t>
      </w:r>
    </w:p>
    <w:p w:rsidR="00957891" w:rsidRPr="00957891" w:rsidRDefault="00957891" w:rsidP="004F2152">
      <w:pPr>
        <w:pStyle w:val="Lijstalinea"/>
        <w:numPr>
          <w:ilvl w:val="0"/>
          <w:numId w:val="11"/>
        </w:numPr>
        <w:ind w:hanging="294"/>
        <w:jc w:val="both"/>
        <w:rPr>
          <w:sz w:val="22"/>
          <w:szCs w:val="22"/>
        </w:rPr>
      </w:pPr>
      <w:r w:rsidRPr="00957891">
        <w:rPr>
          <w:sz w:val="22"/>
          <w:szCs w:val="22"/>
        </w:rPr>
        <w:t>Nutraceutica, voedseltechnologie en voedselveiligheid</w:t>
      </w:r>
      <w:r>
        <w:rPr>
          <w:sz w:val="22"/>
          <w:szCs w:val="22"/>
        </w:rPr>
        <w:t>;</w:t>
      </w:r>
    </w:p>
    <w:p w:rsidR="00957891" w:rsidRPr="00957891" w:rsidRDefault="00957891" w:rsidP="004F2152">
      <w:pPr>
        <w:pStyle w:val="Lijstalinea"/>
        <w:numPr>
          <w:ilvl w:val="0"/>
          <w:numId w:val="11"/>
        </w:numPr>
        <w:ind w:hanging="294"/>
        <w:jc w:val="both"/>
        <w:rPr>
          <w:sz w:val="22"/>
          <w:szCs w:val="22"/>
        </w:rPr>
      </w:pPr>
      <w:r w:rsidRPr="00957891">
        <w:rPr>
          <w:sz w:val="22"/>
          <w:szCs w:val="22"/>
        </w:rPr>
        <w:t xml:space="preserve">Zeewetenschap en </w:t>
      </w:r>
      <w:r>
        <w:rPr>
          <w:sz w:val="22"/>
          <w:szCs w:val="22"/>
        </w:rPr>
        <w:t>–</w:t>
      </w:r>
      <w:r w:rsidRPr="00957891">
        <w:rPr>
          <w:sz w:val="22"/>
          <w:szCs w:val="22"/>
        </w:rPr>
        <w:t>technologie</w:t>
      </w:r>
      <w:r>
        <w:rPr>
          <w:sz w:val="22"/>
          <w:szCs w:val="22"/>
        </w:rPr>
        <w:t>;</w:t>
      </w:r>
    </w:p>
    <w:p w:rsidR="00957891" w:rsidRPr="00957891" w:rsidRDefault="00957891" w:rsidP="004F2152">
      <w:pPr>
        <w:pStyle w:val="Lijstalinea"/>
        <w:numPr>
          <w:ilvl w:val="0"/>
          <w:numId w:val="11"/>
        </w:numPr>
        <w:ind w:hanging="294"/>
        <w:jc w:val="both"/>
        <w:rPr>
          <w:sz w:val="22"/>
          <w:szCs w:val="22"/>
        </w:rPr>
      </w:pPr>
      <w:r w:rsidRPr="00957891">
        <w:rPr>
          <w:sz w:val="22"/>
          <w:szCs w:val="22"/>
        </w:rPr>
        <w:t>Waterstof en hernieuwbare energie</w:t>
      </w:r>
      <w:r>
        <w:rPr>
          <w:sz w:val="22"/>
          <w:szCs w:val="22"/>
        </w:rPr>
        <w:t>;</w:t>
      </w:r>
    </w:p>
    <w:p w:rsidR="00957891" w:rsidRPr="00957891" w:rsidRDefault="00957891" w:rsidP="004F2152">
      <w:pPr>
        <w:pStyle w:val="Lijstalinea"/>
        <w:numPr>
          <w:ilvl w:val="0"/>
          <w:numId w:val="11"/>
        </w:numPr>
        <w:ind w:hanging="294"/>
        <w:jc w:val="both"/>
        <w:rPr>
          <w:sz w:val="22"/>
          <w:szCs w:val="22"/>
        </w:rPr>
      </w:pPr>
      <w:r w:rsidRPr="00957891">
        <w:rPr>
          <w:sz w:val="22"/>
          <w:szCs w:val="22"/>
        </w:rPr>
        <w:t>Menswetenschappen</w:t>
      </w:r>
      <w:r>
        <w:rPr>
          <w:sz w:val="22"/>
          <w:szCs w:val="22"/>
        </w:rPr>
        <w:t>.</w:t>
      </w:r>
    </w:p>
    <w:p w:rsidR="00957891" w:rsidRPr="00957891" w:rsidRDefault="00957891" w:rsidP="004F2152">
      <w:pPr>
        <w:ind w:left="426"/>
        <w:jc w:val="both"/>
        <w:rPr>
          <w:sz w:val="22"/>
          <w:szCs w:val="22"/>
        </w:rPr>
      </w:pPr>
    </w:p>
    <w:p w:rsidR="00957891" w:rsidRPr="00957891" w:rsidRDefault="00957891" w:rsidP="004F2152">
      <w:pPr>
        <w:ind w:left="426"/>
        <w:jc w:val="both"/>
        <w:rPr>
          <w:sz w:val="22"/>
          <w:szCs w:val="22"/>
          <w:lang w:val="fr-BE"/>
        </w:rPr>
      </w:pPr>
      <w:r w:rsidRPr="00E62011">
        <w:rPr>
          <w:sz w:val="22"/>
          <w:szCs w:val="22"/>
          <w:lang w:val="fr-FR"/>
        </w:rPr>
        <w:t>De samenwerking kadert binnen het plaatselijke programma</w:t>
      </w:r>
      <w:r w:rsidRPr="00957891">
        <w:rPr>
          <w:sz w:val="22"/>
          <w:szCs w:val="22"/>
          <w:lang w:val="fr-BE"/>
        </w:rPr>
        <w:t xml:space="preserve"> </w:t>
      </w:r>
      <w:r w:rsidRPr="00957891">
        <w:rPr>
          <w:b/>
          <w:bCs/>
          <w:sz w:val="22"/>
          <w:szCs w:val="22"/>
          <w:lang w:val="fr-BE"/>
        </w:rPr>
        <w:t>“</w:t>
      </w:r>
      <w:hyperlink r:id="rId6" w:history="1">
        <w:r w:rsidRPr="005B0761">
          <w:rPr>
            <w:rStyle w:val="Hyperlink"/>
            <w:b/>
            <w:bCs/>
            <w:color w:val="0000FF"/>
            <w:sz w:val="22"/>
            <w:szCs w:val="22"/>
            <w:lang w:val="fr-CA"/>
          </w:rPr>
          <w:t>Programme de Soutien à la Recherche – Soutien aux Initiatives Internationales de Recherche et d’Innovation</w:t>
        </w:r>
      </w:hyperlink>
      <w:r w:rsidRPr="00957891">
        <w:rPr>
          <w:b/>
          <w:bCs/>
          <w:sz w:val="22"/>
          <w:szCs w:val="22"/>
          <w:lang w:val="fr-BE"/>
        </w:rPr>
        <w:t>”</w:t>
      </w:r>
      <w:r w:rsidRPr="00957891">
        <w:rPr>
          <w:sz w:val="22"/>
          <w:szCs w:val="22"/>
          <w:lang w:val="fr-BE"/>
        </w:rPr>
        <w:t xml:space="preserve"> (PSR-SIIRI). </w:t>
      </w:r>
    </w:p>
    <w:p w:rsidR="00957891" w:rsidRPr="00957891" w:rsidRDefault="00957891" w:rsidP="004F2152">
      <w:pPr>
        <w:ind w:left="360" w:firstLine="66"/>
        <w:jc w:val="both"/>
        <w:rPr>
          <w:sz w:val="22"/>
          <w:szCs w:val="22"/>
          <w:lang w:val="fr-BE"/>
        </w:rPr>
      </w:pPr>
    </w:p>
    <w:p w:rsidR="00957891" w:rsidRPr="00957891" w:rsidRDefault="00957891" w:rsidP="004F2152">
      <w:pPr>
        <w:ind w:left="426"/>
        <w:jc w:val="both"/>
        <w:rPr>
          <w:sz w:val="22"/>
          <w:szCs w:val="22"/>
        </w:rPr>
      </w:pPr>
      <w:r w:rsidRPr="00957891">
        <w:rPr>
          <w:sz w:val="22"/>
          <w:szCs w:val="22"/>
        </w:rPr>
        <w:t>De voorstellen die werden ingediend tijdens de voorbije aanvraagronde situeren zich binnen de onderzoekdomeinen biologie, medische wetenschappen, en wetenschap en technologie. De titels van de projecten die voor verdere evaluatie in aanmerking komen zijn de volgende:</w:t>
      </w:r>
    </w:p>
    <w:p w:rsidR="00957891" w:rsidRPr="007A2DE6" w:rsidRDefault="00957891" w:rsidP="004F2152">
      <w:pPr>
        <w:pStyle w:val="Lijstalinea"/>
        <w:numPr>
          <w:ilvl w:val="0"/>
          <w:numId w:val="18"/>
        </w:numPr>
        <w:jc w:val="both"/>
        <w:rPr>
          <w:sz w:val="22"/>
          <w:szCs w:val="22"/>
          <w:lang w:val="en-US"/>
        </w:rPr>
      </w:pPr>
      <w:r w:rsidRPr="007A2DE6">
        <w:rPr>
          <w:sz w:val="22"/>
          <w:szCs w:val="22"/>
          <w:lang w:val="en-US"/>
        </w:rPr>
        <w:t>Regulation of the APC/C by the mTOR pathway during the cell cycle and its involvement in the etiology of colorectal cancer.</w:t>
      </w:r>
    </w:p>
    <w:p w:rsidR="00957891" w:rsidRPr="007A2DE6" w:rsidRDefault="00957891" w:rsidP="004F2152">
      <w:pPr>
        <w:pStyle w:val="Lijstalinea"/>
        <w:numPr>
          <w:ilvl w:val="0"/>
          <w:numId w:val="18"/>
        </w:numPr>
        <w:jc w:val="both"/>
        <w:rPr>
          <w:sz w:val="22"/>
          <w:szCs w:val="22"/>
          <w:lang w:val="en-US"/>
        </w:rPr>
      </w:pPr>
      <w:r w:rsidRPr="007A2DE6">
        <w:rPr>
          <w:sz w:val="22"/>
          <w:szCs w:val="22"/>
          <w:lang w:val="en-US"/>
        </w:rPr>
        <w:t>Individual susceptibility to noise-induced hearing loss: development of an in situ screening approach.</w:t>
      </w:r>
    </w:p>
    <w:p w:rsidR="00957891" w:rsidRPr="007A2DE6" w:rsidRDefault="00957891" w:rsidP="004F2152">
      <w:pPr>
        <w:pStyle w:val="Lijstalinea"/>
        <w:numPr>
          <w:ilvl w:val="0"/>
          <w:numId w:val="18"/>
        </w:numPr>
        <w:jc w:val="both"/>
        <w:rPr>
          <w:sz w:val="22"/>
          <w:szCs w:val="22"/>
          <w:lang w:val="en-US"/>
        </w:rPr>
      </w:pPr>
      <w:r w:rsidRPr="007A2DE6">
        <w:rPr>
          <w:sz w:val="22"/>
          <w:szCs w:val="22"/>
          <w:lang w:val="en-US"/>
        </w:rPr>
        <w:t>Growth patterns of liver metastases: from biology to biomarkers.</w:t>
      </w:r>
    </w:p>
    <w:p w:rsidR="00957891" w:rsidRPr="007A2DE6" w:rsidRDefault="00957891" w:rsidP="004F2152">
      <w:pPr>
        <w:pStyle w:val="Lijstalinea"/>
        <w:numPr>
          <w:ilvl w:val="0"/>
          <w:numId w:val="18"/>
        </w:numPr>
        <w:jc w:val="both"/>
        <w:rPr>
          <w:sz w:val="22"/>
          <w:szCs w:val="22"/>
          <w:lang w:val="en-US"/>
        </w:rPr>
      </w:pPr>
      <w:r w:rsidRPr="007A2DE6">
        <w:rPr>
          <w:sz w:val="22"/>
          <w:szCs w:val="22"/>
          <w:lang w:val="en-US"/>
        </w:rPr>
        <w:t>Whole genome sequencing. A “genetic” report for every child?</w:t>
      </w:r>
    </w:p>
    <w:p w:rsidR="00957891" w:rsidRPr="007A2DE6" w:rsidRDefault="00957891" w:rsidP="004F2152">
      <w:pPr>
        <w:pStyle w:val="Lijstalinea"/>
        <w:numPr>
          <w:ilvl w:val="0"/>
          <w:numId w:val="18"/>
        </w:numPr>
        <w:jc w:val="both"/>
        <w:rPr>
          <w:sz w:val="22"/>
          <w:szCs w:val="22"/>
          <w:lang w:val="en-US"/>
        </w:rPr>
      </w:pPr>
      <w:r w:rsidRPr="007A2DE6">
        <w:rPr>
          <w:sz w:val="22"/>
          <w:szCs w:val="22"/>
          <w:lang w:val="en-US"/>
        </w:rPr>
        <w:t>New opioid peptide analgesics with improved bioavailability and side effect profile.</w:t>
      </w:r>
    </w:p>
    <w:p w:rsidR="00957891" w:rsidRPr="007A2DE6" w:rsidRDefault="00957891" w:rsidP="004F2152">
      <w:pPr>
        <w:pStyle w:val="Lijstalinea"/>
        <w:numPr>
          <w:ilvl w:val="0"/>
          <w:numId w:val="18"/>
        </w:numPr>
        <w:jc w:val="both"/>
        <w:rPr>
          <w:sz w:val="22"/>
          <w:szCs w:val="22"/>
          <w:lang w:val="en-US"/>
        </w:rPr>
      </w:pPr>
      <w:r w:rsidRPr="007A2DE6">
        <w:rPr>
          <w:sz w:val="22"/>
          <w:szCs w:val="22"/>
          <w:lang w:val="en-US"/>
        </w:rPr>
        <w:t>Health care system factors as predictors for care gaps in patients with life-long diseases – The congenital heart disease model of care in Québec (Canada) and Flanders (Belgium).</w:t>
      </w:r>
    </w:p>
    <w:p w:rsidR="00957891" w:rsidRPr="007A2DE6" w:rsidRDefault="00957891" w:rsidP="004F2152">
      <w:pPr>
        <w:pStyle w:val="Lijstalinea"/>
        <w:numPr>
          <w:ilvl w:val="0"/>
          <w:numId w:val="18"/>
        </w:numPr>
        <w:jc w:val="both"/>
        <w:rPr>
          <w:sz w:val="22"/>
          <w:szCs w:val="22"/>
          <w:lang w:val="en-US"/>
        </w:rPr>
      </w:pPr>
      <w:r w:rsidRPr="007A2DE6">
        <w:rPr>
          <w:sz w:val="22"/>
          <w:szCs w:val="22"/>
          <w:lang w:val="en-US"/>
        </w:rPr>
        <w:t>Organic graphenes with tunable band-gap for electronic and energy conversion applications.</w:t>
      </w:r>
    </w:p>
    <w:p w:rsidR="00957891" w:rsidRPr="007A2DE6" w:rsidRDefault="00957891" w:rsidP="004F2152">
      <w:pPr>
        <w:pStyle w:val="Lijstalinea"/>
        <w:numPr>
          <w:ilvl w:val="0"/>
          <w:numId w:val="18"/>
        </w:numPr>
        <w:jc w:val="both"/>
        <w:rPr>
          <w:sz w:val="22"/>
          <w:szCs w:val="22"/>
          <w:lang w:val="en-US"/>
        </w:rPr>
      </w:pPr>
      <w:r w:rsidRPr="007A2DE6">
        <w:rPr>
          <w:sz w:val="22"/>
          <w:szCs w:val="22"/>
          <w:lang w:val="en-US"/>
        </w:rPr>
        <w:t>Multi-resolution dynamic 3D X-ray CT imaging of porous materials.</w:t>
      </w:r>
    </w:p>
    <w:p w:rsidR="00957891" w:rsidRPr="007A2DE6" w:rsidRDefault="00957891" w:rsidP="004F2152">
      <w:pPr>
        <w:pStyle w:val="Lijstalinea"/>
        <w:numPr>
          <w:ilvl w:val="0"/>
          <w:numId w:val="18"/>
        </w:numPr>
        <w:jc w:val="both"/>
        <w:rPr>
          <w:sz w:val="22"/>
          <w:szCs w:val="22"/>
          <w:lang w:val="en-US"/>
        </w:rPr>
      </w:pPr>
      <w:r w:rsidRPr="007A2DE6">
        <w:rPr>
          <w:sz w:val="22"/>
          <w:szCs w:val="22"/>
          <w:lang w:val="en-US"/>
        </w:rPr>
        <w:t>Fluorescence labelling and superresolution imaging of plasmid DNA: towards the rational design of nanomedicines for gene therapy.</w:t>
      </w:r>
    </w:p>
    <w:p w:rsidR="00957891" w:rsidRPr="007A2DE6" w:rsidRDefault="00957891" w:rsidP="004F2152">
      <w:pPr>
        <w:pStyle w:val="Lijstalinea"/>
        <w:numPr>
          <w:ilvl w:val="0"/>
          <w:numId w:val="18"/>
        </w:numPr>
        <w:jc w:val="both"/>
        <w:rPr>
          <w:sz w:val="22"/>
          <w:szCs w:val="22"/>
          <w:lang w:val="en-US"/>
        </w:rPr>
      </w:pPr>
      <w:r w:rsidRPr="007A2DE6">
        <w:rPr>
          <w:sz w:val="22"/>
          <w:szCs w:val="22"/>
          <w:lang w:val="en-US"/>
        </w:rPr>
        <w:lastRenderedPageBreak/>
        <w:t>Product and process innovation through multi-stratum experimentation: An integer linear programming approach.</w:t>
      </w:r>
    </w:p>
    <w:p w:rsidR="00957891" w:rsidRPr="007A2DE6" w:rsidRDefault="00957891" w:rsidP="004F2152">
      <w:pPr>
        <w:pStyle w:val="Lijstalinea"/>
        <w:numPr>
          <w:ilvl w:val="0"/>
          <w:numId w:val="18"/>
        </w:numPr>
        <w:jc w:val="both"/>
        <w:rPr>
          <w:sz w:val="22"/>
          <w:szCs w:val="22"/>
          <w:lang w:val="en-US"/>
        </w:rPr>
      </w:pPr>
      <w:r w:rsidRPr="007A2DE6">
        <w:rPr>
          <w:sz w:val="22"/>
          <w:szCs w:val="22"/>
          <w:lang w:val="en-US"/>
        </w:rPr>
        <w:t>Low-cost millimeter wave identification systems: tags and readers.</w:t>
      </w:r>
    </w:p>
    <w:p w:rsidR="00957891" w:rsidRPr="00957891" w:rsidRDefault="00957891" w:rsidP="004F2152">
      <w:pPr>
        <w:ind w:left="426"/>
        <w:jc w:val="both"/>
        <w:rPr>
          <w:sz w:val="22"/>
          <w:szCs w:val="22"/>
          <w:lang w:val="en-US"/>
        </w:rPr>
      </w:pPr>
    </w:p>
    <w:p w:rsidR="00957891" w:rsidRPr="00957891" w:rsidRDefault="00957891" w:rsidP="004F2152">
      <w:pPr>
        <w:ind w:left="426"/>
        <w:jc w:val="both"/>
        <w:rPr>
          <w:sz w:val="22"/>
          <w:szCs w:val="22"/>
        </w:rPr>
      </w:pPr>
      <w:r w:rsidRPr="00957891">
        <w:rPr>
          <w:sz w:val="22"/>
          <w:szCs w:val="22"/>
        </w:rPr>
        <w:t xml:space="preserve">Deze samenwerking betekent, net als elke internationale samenwerking, een grote meerwaarde voor beide partijen en wel om </w:t>
      </w:r>
      <w:r>
        <w:rPr>
          <w:sz w:val="22"/>
          <w:szCs w:val="22"/>
        </w:rPr>
        <w:t>de hierna</w:t>
      </w:r>
      <w:r w:rsidRPr="00957891">
        <w:rPr>
          <w:sz w:val="22"/>
          <w:szCs w:val="22"/>
        </w:rPr>
        <w:t>volgende redenen</w:t>
      </w:r>
      <w:r w:rsidR="007A2DE6">
        <w:rPr>
          <w:sz w:val="22"/>
          <w:szCs w:val="22"/>
        </w:rPr>
        <w:t>:</w:t>
      </w:r>
    </w:p>
    <w:p w:rsidR="00957891" w:rsidRPr="0023466E" w:rsidRDefault="007A2DE6" w:rsidP="004F2152">
      <w:pPr>
        <w:pStyle w:val="Lijstalinea"/>
        <w:numPr>
          <w:ilvl w:val="0"/>
          <w:numId w:val="11"/>
        </w:numPr>
        <w:ind w:hanging="294"/>
        <w:jc w:val="both"/>
        <w:rPr>
          <w:sz w:val="22"/>
          <w:szCs w:val="22"/>
        </w:rPr>
      </w:pPr>
      <w:r>
        <w:rPr>
          <w:sz w:val="22"/>
          <w:szCs w:val="22"/>
        </w:rPr>
        <w:t>h</w:t>
      </w:r>
      <w:r w:rsidR="00957891" w:rsidRPr="0023466E">
        <w:rPr>
          <w:sz w:val="22"/>
          <w:szCs w:val="22"/>
        </w:rPr>
        <w:t xml:space="preserve">et programma voor bilaterale onderzoekssamenwerking tussen het Canadese MDEIE en het FWO is zodanig opgevat dat onderzoekers voor hun onderzoek op zoek moeten gaan naar </w:t>
      </w:r>
      <w:r w:rsidR="00957891" w:rsidRPr="007A2DE6">
        <w:rPr>
          <w:b/>
          <w:sz w:val="22"/>
          <w:szCs w:val="22"/>
        </w:rPr>
        <w:t>complementaire kennis en vaardigheid</w:t>
      </w:r>
      <w:r w:rsidR="00957891" w:rsidRPr="0023466E">
        <w:rPr>
          <w:sz w:val="22"/>
          <w:szCs w:val="22"/>
        </w:rPr>
        <w:t xml:space="preserve"> in het partnerland. Zonder aan de voorwaarde van complementariteit te voldoen, maakt een voorstel geen kans op financiering. Deze complementariteit kan zich vertalen in infrastructuur, technieken, specifiek opgeleid personeel of zelfs </w:t>
      </w:r>
      <w:r w:rsidR="00EB42E1">
        <w:rPr>
          <w:sz w:val="22"/>
          <w:szCs w:val="22"/>
        </w:rPr>
        <w:t>fysieke</w:t>
      </w:r>
      <w:r w:rsidR="00957891" w:rsidRPr="0023466E">
        <w:rPr>
          <w:sz w:val="22"/>
          <w:szCs w:val="22"/>
        </w:rPr>
        <w:t xml:space="preserve"> omgevingen die in Vlaanderen, respectievelijk het partnerland, niet voorhanden zijn</w:t>
      </w:r>
      <w:r>
        <w:rPr>
          <w:sz w:val="22"/>
          <w:szCs w:val="22"/>
        </w:rPr>
        <w:t>;</w:t>
      </w:r>
    </w:p>
    <w:p w:rsidR="00957891" w:rsidRPr="0023466E" w:rsidRDefault="007A2DE6" w:rsidP="004F2152">
      <w:pPr>
        <w:pStyle w:val="Lijstalinea"/>
        <w:numPr>
          <w:ilvl w:val="0"/>
          <w:numId w:val="11"/>
        </w:numPr>
        <w:ind w:hanging="294"/>
        <w:jc w:val="both"/>
        <w:rPr>
          <w:sz w:val="22"/>
          <w:szCs w:val="22"/>
        </w:rPr>
      </w:pPr>
      <w:r>
        <w:rPr>
          <w:sz w:val="22"/>
          <w:szCs w:val="22"/>
        </w:rPr>
        <w:t>v</w:t>
      </w:r>
      <w:r w:rsidR="00957891" w:rsidRPr="0023466E">
        <w:rPr>
          <w:sz w:val="22"/>
          <w:szCs w:val="22"/>
        </w:rPr>
        <w:t xml:space="preserve">oor onze (voornamelijk jonge) Vlaamse onderzoekers zijn zulke structurele samenwerkingen ook een uitgelezen kans om hun </w:t>
      </w:r>
      <w:r w:rsidR="00957891" w:rsidRPr="007A2DE6">
        <w:rPr>
          <w:b/>
          <w:sz w:val="22"/>
          <w:szCs w:val="22"/>
        </w:rPr>
        <w:t>blik op alle vlakken te verruimen</w:t>
      </w:r>
      <w:r w:rsidR="00957891" w:rsidRPr="0023466E">
        <w:rPr>
          <w:sz w:val="22"/>
          <w:szCs w:val="22"/>
        </w:rPr>
        <w:t>. Ze komen namelijk niet alleen in een fys</w:t>
      </w:r>
      <w:r w:rsidR="00EB42E1">
        <w:rPr>
          <w:sz w:val="22"/>
          <w:szCs w:val="22"/>
        </w:rPr>
        <w:t>iek</w:t>
      </w:r>
      <w:r w:rsidR="00957891" w:rsidRPr="0023466E">
        <w:rPr>
          <w:sz w:val="22"/>
          <w:szCs w:val="22"/>
        </w:rPr>
        <w:t xml:space="preserve"> verschillende (onderzoek)omgeving terecht maar moeten zich ook als persoon en als burger aanpassen aan het gastland. Ze komen in aanraking met verschillende visies over onderzoek</w:t>
      </w:r>
      <w:r w:rsidR="007B2E4F">
        <w:rPr>
          <w:sz w:val="22"/>
          <w:szCs w:val="22"/>
        </w:rPr>
        <w:t>s</w:t>
      </w:r>
      <w:r w:rsidR="00957891" w:rsidRPr="0023466E">
        <w:rPr>
          <w:sz w:val="22"/>
          <w:szCs w:val="22"/>
        </w:rPr>
        <w:t>gerelateerde topics als publiceren, doceren of wetenschappelijke integriteit</w:t>
      </w:r>
      <w:r>
        <w:rPr>
          <w:sz w:val="22"/>
          <w:szCs w:val="22"/>
        </w:rPr>
        <w:t>;</w:t>
      </w:r>
    </w:p>
    <w:p w:rsidR="00957891" w:rsidRPr="0023466E" w:rsidRDefault="007A2DE6" w:rsidP="004F2152">
      <w:pPr>
        <w:pStyle w:val="Lijstalinea"/>
        <w:numPr>
          <w:ilvl w:val="0"/>
          <w:numId w:val="11"/>
        </w:numPr>
        <w:ind w:hanging="294"/>
        <w:jc w:val="both"/>
        <w:rPr>
          <w:sz w:val="22"/>
          <w:szCs w:val="22"/>
        </w:rPr>
      </w:pPr>
      <w:r>
        <w:rPr>
          <w:sz w:val="22"/>
          <w:szCs w:val="22"/>
        </w:rPr>
        <w:t>n</w:t>
      </w:r>
      <w:r w:rsidR="00957891" w:rsidRPr="0023466E">
        <w:rPr>
          <w:sz w:val="22"/>
          <w:szCs w:val="22"/>
        </w:rPr>
        <w:t xml:space="preserve">iet onbelangrijk is ten slotte het </w:t>
      </w:r>
      <w:r w:rsidR="00957891" w:rsidRPr="007A2DE6">
        <w:rPr>
          <w:b/>
          <w:sz w:val="22"/>
          <w:szCs w:val="22"/>
        </w:rPr>
        <w:t>internationaal netwerk</w:t>
      </w:r>
      <w:r w:rsidR="00957891" w:rsidRPr="0023466E">
        <w:rPr>
          <w:sz w:val="22"/>
          <w:szCs w:val="22"/>
        </w:rPr>
        <w:t xml:space="preserve"> dat Vlaamse onderzoekers hierdoor uitbouwen. Wetenschappelijk onderzoek is van nature een transnationale aangelegenheid waardoor het van wezenlijk belang is dat Vlaamse onderzoekers niet op een eiland blijven zitten. Bovendien gelden onze expats ook als vertegenwoordigers van Vlaanderen in het buitenland en zetten ze onze regio elders op de (althans wetenschappelijke) kaart.</w:t>
      </w:r>
    </w:p>
    <w:p w:rsidR="00957891" w:rsidRPr="0023466E" w:rsidRDefault="00957891" w:rsidP="004F2152">
      <w:pPr>
        <w:ind w:left="360" w:firstLine="66"/>
        <w:jc w:val="both"/>
        <w:rPr>
          <w:sz w:val="22"/>
          <w:szCs w:val="22"/>
        </w:rPr>
      </w:pPr>
    </w:p>
    <w:p w:rsidR="00957891" w:rsidRDefault="00957891" w:rsidP="004F2152">
      <w:pPr>
        <w:pStyle w:val="Lijstalinea"/>
        <w:numPr>
          <w:ilvl w:val="0"/>
          <w:numId w:val="12"/>
        </w:numPr>
        <w:ind w:left="426" w:hanging="426"/>
        <w:jc w:val="both"/>
        <w:rPr>
          <w:sz w:val="22"/>
          <w:szCs w:val="22"/>
        </w:rPr>
      </w:pPr>
      <w:r w:rsidRPr="0023466E">
        <w:rPr>
          <w:sz w:val="22"/>
          <w:szCs w:val="22"/>
        </w:rPr>
        <w:t xml:space="preserve">Het FWO </w:t>
      </w:r>
      <w:r w:rsidRPr="0023466E">
        <w:rPr>
          <w:b/>
          <w:sz w:val="22"/>
          <w:szCs w:val="22"/>
        </w:rPr>
        <w:t>evalueert</w:t>
      </w:r>
      <w:r w:rsidRPr="0023466E">
        <w:rPr>
          <w:sz w:val="22"/>
          <w:szCs w:val="22"/>
        </w:rPr>
        <w:t xml:space="preserve"> deze samenwerking op verschillende manieren. Eerst en vooral wordt er van de onderzoekers gevraagd jaarlijks een vorderingsrapport in te dienen. Op basis hiervan kunnen zowel het FWO als het MDEIE nagaan of het vooropgestelde werkplan wordt gevolgd en wat de resultaten zijn van de samenwerking. Aansluitend dienen de onderzoekers ook aan het FWO te rapporteren over hun uitgaven. Ten tweede staat het FWO als instelling ook in </w:t>
      </w:r>
      <w:r w:rsidRPr="0023466E">
        <w:rPr>
          <w:b/>
          <w:sz w:val="22"/>
          <w:szCs w:val="22"/>
        </w:rPr>
        <w:t>nauw contact met de onderzoekers</w:t>
      </w:r>
      <w:r w:rsidRPr="0023466E">
        <w:rPr>
          <w:sz w:val="22"/>
          <w:szCs w:val="22"/>
        </w:rPr>
        <w:t xml:space="preserve"> zelf. Bij vragen of problemen is het FWO het rechtstreekse aanspreekpunt waardoor moeilijkheden snel van de baan geholpen kunnen worden. Tot slot correspondeert het FWO ook op regelmatige basis met de </w:t>
      </w:r>
      <w:r w:rsidRPr="0023466E">
        <w:rPr>
          <w:b/>
          <w:sz w:val="22"/>
          <w:szCs w:val="22"/>
        </w:rPr>
        <w:t>Algemene Afvaardiging van Québec</w:t>
      </w:r>
      <w:r w:rsidRPr="0023466E">
        <w:rPr>
          <w:sz w:val="22"/>
          <w:szCs w:val="22"/>
        </w:rPr>
        <w:t xml:space="preserve"> in Brussel waardoor ook problemen aan Canadese zijde snel gesignaleerd en opgevangen kunnen worden. Wat </w:t>
      </w:r>
      <w:r w:rsidRPr="0023466E">
        <w:rPr>
          <w:b/>
          <w:sz w:val="22"/>
          <w:szCs w:val="22"/>
        </w:rPr>
        <w:t>concrete realisaties</w:t>
      </w:r>
      <w:r w:rsidRPr="0023466E">
        <w:rPr>
          <w:sz w:val="22"/>
          <w:szCs w:val="22"/>
        </w:rPr>
        <w:t xml:space="preserve"> betreft, moeten we er rekening mee houden dat het hier fundamenteel basisonderzoek betreft. Concrete onderzoeksresultaten op korte termijn zoals we die in toegepast onderzoek kennen, zijn hier minder aan de orde. Belangrijk zijn evenwel de publicaties die uit deze samenwerking voortkomen. Verder stellen we ook vast dat bijvoorbeeld de VUB, na het succesvolle project uit 2010, ook in deze ronde een aanvraag indient over de “discovery of novel opioid analgesics”</w:t>
      </w:r>
      <w:r w:rsidR="0023466E">
        <w:rPr>
          <w:sz w:val="22"/>
          <w:szCs w:val="22"/>
        </w:rPr>
        <w:t>.</w:t>
      </w:r>
      <w:r w:rsidRPr="0023466E">
        <w:rPr>
          <w:sz w:val="22"/>
          <w:szCs w:val="22"/>
        </w:rPr>
        <w:t xml:space="preserve"> Bovendien getuigt de hernieuwing van de overeenkomst tussen </w:t>
      </w:r>
      <w:r w:rsidR="0023466E">
        <w:rPr>
          <w:sz w:val="22"/>
          <w:szCs w:val="22"/>
        </w:rPr>
        <w:t xml:space="preserve">het </w:t>
      </w:r>
      <w:r w:rsidRPr="0023466E">
        <w:rPr>
          <w:sz w:val="22"/>
          <w:szCs w:val="22"/>
        </w:rPr>
        <w:t xml:space="preserve">FWO en </w:t>
      </w:r>
      <w:r w:rsidR="0023466E">
        <w:rPr>
          <w:sz w:val="22"/>
          <w:szCs w:val="22"/>
        </w:rPr>
        <w:t xml:space="preserve">het </w:t>
      </w:r>
      <w:r w:rsidRPr="0023466E">
        <w:rPr>
          <w:sz w:val="22"/>
          <w:szCs w:val="22"/>
        </w:rPr>
        <w:t>MDEIE van een wederzijds vertrouwen in de output ervan. Van meet af aan waren de contacten goed, wat ook resulteerde in een gezamenlijk georganiseerde wetenschappelijke conferentie aan het begin van de eerste termijn. In 2010 werden er vijf projecten positief geëvalueerd, goed voor een investering van 830.548 euro</w:t>
      </w:r>
      <w:r w:rsidR="0023466E">
        <w:rPr>
          <w:sz w:val="22"/>
          <w:szCs w:val="22"/>
        </w:rPr>
        <w:t xml:space="preserve"> </w:t>
      </w:r>
      <w:r w:rsidR="0023466E" w:rsidRPr="0023466E">
        <w:rPr>
          <w:sz w:val="22"/>
          <w:szCs w:val="22"/>
        </w:rPr>
        <w:t xml:space="preserve">(zie </w:t>
      </w:r>
      <w:r w:rsidRPr="0023466E">
        <w:rPr>
          <w:sz w:val="22"/>
          <w:szCs w:val="22"/>
          <w:u w:val="single"/>
        </w:rPr>
        <w:t>bijlage 1</w:t>
      </w:r>
      <w:r w:rsidRPr="0023466E">
        <w:rPr>
          <w:sz w:val="22"/>
          <w:szCs w:val="22"/>
        </w:rPr>
        <w:t>).</w:t>
      </w:r>
    </w:p>
    <w:p w:rsidR="0023466E" w:rsidRDefault="0023466E" w:rsidP="004F2152">
      <w:pPr>
        <w:jc w:val="both"/>
        <w:rPr>
          <w:sz w:val="22"/>
          <w:szCs w:val="22"/>
        </w:rPr>
      </w:pPr>
    </w:p>
    <w:p w:rsidR="0023466E" w:rsidRPr="003F5F8B" w:rsidRDefault="0023466E" w:rsidP="003F5F8B">
      <w:pPr>
        <w:pStyle w:val="Lijstalinea"/>
        <w:numPr>
          <w:ilvl w:val="0"/>
          <w:numId w:val="12"/>
        </w:numPr>
        <w:tabs>
          <w:tab w:val="left" w:pos="426"/>
        </w:tabs>
        <w:jc w:val="both"/>
        <w:rPr>
          <w:sz w:val="22"/>
          <w:szCs w:val="22"/>
        </w:rPr>
      </w:pPr>
      <w:r w:rsidRPr="003F5F8B">
        <w:rPr>
          <w:sz w:val="22"/>
          <w:szCs w:val="22"/>
        </w:rPr>
        <w:t>a.</w:t>
      </w:r>
      <w:r w:rsidR="003D60CF" w:rsidRPr="003F5F8B">
        <w:rPr>
          <w:sz w:val="22"/>
          <w:szCs w:val="22"/>
        </w:rPr>
        <w:tab/>
      </w:r>
      <w:r w:rsidRPr="003F5F8B">
        <w:rPr>
          <w:sz w:val="22"/>
          <w:szCs w:val="22"/>
        </w:rPr>
        <w:t xml:space="preserve">Zie </w:t>
      </w:r>
      <w:r w:rsidRPr="003F5F8B">
        <w:rPr>
          <w:sz w:val="22"/>
          <w:szCs w:val="22"/>
          <w:u w:val="single"/>
        </w:rPr>
        <w:t>bijlage 2</w:t>
      </w:r>
      <w:r w:rsidRPr="003F5F8B">
        <w:rPr>
          <w:sz w:val="22"/>
          <w:szCs w:val="22"/>
        </w:rPr>
        <w:t>.</w:t>
      </w:r>
    </w:p>
    <w:p w:rsidR="0023466E" w:rsidRDefault="0023466E" w:rsidP="004F2152">
      <w:pPr>
        <w:jc w:val="both"/>
        <w:rPr>
          <w:sz w:val="22"/>
          <w:szCs w:val="22"/>
        </w:rPr>
      </w:pPr>
    </w:p>
    <w:p w:rsidR="0023466E" w:rsidRDefault="003D60CF" w:rsidP="003F5F8B">
      <w:pPr>
        <w:tabs>
          <w:tab w:val="left" w:pos="426"/>
        </w:tabs>
        <w:ind w:left="360"/>
        <w:jc w:val="both"/>
        <w:rPr>
          <w:sz w:val="22"/>
          <w:szCs w:val="22"/>
        </w:rPr>
      </w:pPr>
      <w:r>
        <w:rPr>
          <w:sz w:val="22"/>
          <w:szCs w:val="22"/>
        </w:rPr>
        <w:t>b.</w:t>
      </w:r>
      <w:r w:rsidRPr="003D60CF">
        <w:rPr>
          <w:sz w:val="22"/>
          <w:szCs w:val="22"/>
        </w:rPr>
        <w:tab/>
      </w:r>
      <w:r>
        <w:rPr>
          <w:sz w:val="22"/>
          <w:szCs w:val="22"/>
        </w:rPr>
        <w:t xml:space="preserve">Zie </w:t>
      </w:r>
      <w:r w:rsidRPr="003D60CF">
        <w:rPr>
          <w:sz w:val="22"/>
          <w:szCs w:val="22"/>
          <w:u w:val="single"/>
        </w:rPr>
        <w:t>bijlage 2</w:t>
      </w:r>
      <w:r>
        <w:rPr>
          <w:sz w:val="22"/>
          <w:szCs w:val="22"/>
        </w:rPr>
        <w:t>.</w:t>
      </w:r>
    </w:p>
    <w:p w:rsidR="003D60CF" w:rsidRDefault="003D60CF" w:rsidP="004F2152">
      <w:pPr>
        <w:jc w:val="both"/>
        <w:rPr>
          <w:sz w:val="22"/>
          <w:szCs w:val="22"/>
        </w:rPr>
      </w:pPr>
    </w:p>
    <w:p w:rsidR="003D60CF" w:rsidRDefault="003D60CF" w:rsidP="003F5F8B">
      <w:pPr>
        <w:tabs>
          <w:tab w:val="left" w:pos="426"/>
        </w:tabs>
        <w:ind w:left="360"/>
        <w:jc w:val="both"/>
        <w:rPr>
          <w:sz w:val="22"/>
          <w:szCs w:val="22"/>
        </w:rPr>
      </w:pPr>
      <w:r>
        <w:rPr>
          <w:sz w:val="22"/>
          <w:szCs w:val="22"/>
        </w:rPr>
        <w:t>c.</w:t>
      </w:r>
      <w:r>
        <w:rPr>
          <w:sz w:val="22"/>
          <w:szCs w:val="22"/>
        </w:rPr>
        <w:tab/>
        <w:t>Zie het antwoord op deelvraag 2.</w:t>
      </w:r>
    </w:p>
    <w:p w:rsidR="003D60CF" w:rsidRDefault="003D60CF" w:rsidP="004F2152">
      <w:pPr>
        <w:jc w:val="both"/>
        <w:rPr>
          <w:sz w:val="22"/>
          <w:szCs w:val="22"/>
        </w:rPr>
      </w:pPr>
    </w:p>
    <w:p w:rsidR="00957891" w:rsidRDefault="003D60CF" w:rsidP="003F5F8B">
      <w:pPr>
        <w:ind w:left="786" w:hanging="426"/>
        <w:jc w:val="both"/>
        <w:rPr>
          <w:sz w:val="22"/>
          <w:szCs w:val="22"/>
        </w:rPr>
      </w:pPr>
      <w:r>
        <w:rPr>
          <w:sz w:val="22"/>
          <w:szCs w:val="22"/>
        </w:rPr>
        <w:t>d.</w:t>
      </w:r>
      <w:r>
        <w:rPr>
          <w:sz w:val="22"/>
          <w:szCs w:val="22"/>
        </w:rPr>
        <w:tab/>
      </w:r>
      <w:r w:rsidR="00957891">
        <w:rPr>
          <w:sz w:val="22"/>
          <w:szCs w:val="22"/>
        </w:rPr>
        <w:t xml:space="preserve">Wat deze deelvraag betreft, gelden dezelfde bedenkingen over de aard van het onderzoek en de publicatie-output zoals die in </w:t>
      </w:r>
      <w:r w:rsidR="00EB42E1">
        <w:rPr>
          <w:sz w:val="22"/>
          <w:szCs w:val="22"/>
        </w:rPr>
        <w:t xml:space="preserve">het antwoord op </w:t>
      </w:r>
      <w:r>
        <w:rPr>
          <w:sz w:val="22"/>
          <w:szCs w:val="22"/>
        </w:rPr>
        <w:t>deel</w:t>
      </w:r>
      <w:r w:rsidR="00957891">
        <w:rPr>
          <w:sz w:val="22"/>
          <w:szCs w:val="22"/>
        </w:rPr>
        <w:t xml:space="preserve">vraag twee werden </w:t>
      </w:r>
      <w:r w:rsidR="00EB42E1">
        <w:rPr>
          <w:sz w:val="22"/>
          <w:szCs w:val="22"/>
        </w:rPr>
        <w:t>geuit</w:t>
      </w:r>
      <w:r w:rsidR="00957891">
        <w:rPr>
          <w:sz w:val="22"/>
          <w:szCs w:val="22"/>
        </w:rPr>
        <w:t>. Voor Zuid-Afrika kunnen we hieraan toevoegen dat we, net als met Québec, een conferentie organiseerden om de onderzoekers die binnen het bilateral</w:t>
      </w:r>
      <w:r>
        <w:rPr>
          <w:sz w:val="22"/>
          <w:szCs w:val="22"/>
        </w:rPr>
        <w:t>e</w:t>
      </w:r>
      <w:r w:rsidR="00957891">
        <w:rPr>
          <w:sz w:val="22"/>
          <w:szCs w:val="22"/>
        </w:rPr>
        <w:t xml:space="preserve"> programma aan de slag gingen in </w:t>
      </w:r>
      <w:r w:rsidR="00957891">
        <w:rPr>
          <w:sz w:val="22"/>
          <w:szCs w:val="22"/>
        </w:rPr>
        <w:lastRenderedPageBreak/>
        <w:t>de kijker te zetten. Er werd hen de mogelijkheid geboden om aan beleidsmakers en andere actoren binnen het Vlaams</w:t>
      </w:r>
      <w:r w:rsidR="00EB42E1">
        <w:rPr>
          <w:sz w:val="22"/>
          <w:szCs w:val="22"/>
        </w:rPr>
        <w:t>e o</w:t>
      </w:r>
      <w:r w:rsidR="00957891">
        <w:rPr>
          <w:sz w:val="22"/>
          <w:szCs w:val="22"/>
        </w:rPr>
        <w:t>nderzoeklandschap hun onderzoek op een toegankelijke manier voor te stellen. Het onderzoek dat in Vietnam gebeurt naar aquacultuur heeft wel een onmiddellijk voelbare invloed op ons dagelijks leven: zonder het onderzoek naar het voedsel en het immuunsysteem van bijvoorbeeld de Pangasiusvis en de Tijgergarnaal zouden deze vissoorten nooit de kwaliteit halen die ze nu hebben en bijgevolg waarschijnlijk niet in Europa ingevoerd mogen worden. In Ecuador treffen onze onderzoekers dan weer een unieke biodiversiteit aan, wat onderzoek mogelijk maakt dat zonder deze samenwerking nooit in Vlaanderen zou kunnen gebeuren. De bilaterale onderzoekfinanciering met Brazilië is gloednieuw. Het is hier nog even wachten op een eerste oproep.</w:t>
      </w:r>
    </w:p>
    <w:p w:rsidR="003D60CF" w:rsidRPr="003D60CF" w:rsidRDefault="003D60CF" w:rsidP="004F2152">
      <w:pPr>
        <w:jc w:val="both"/>
        <w:rPr>
          <w:sz w:val="22"/>
          <w:szCs w:val="22"/>
        </w:rPr>
      </w:pPr>
    </w:p>
    <w:p w:rsidR="00957891" w:rsidRPr="00C86F0A" w:rsidRDefault="00957891" w:rsidP="004F2152">
      <w:pPr>
        <w:pStyle w:val="Lijstalinea"/>
        <w:numPr>
          <w:ilvl w:val="0"/>
          <w:numId w:val="16"/>
        </w:numPr>
        <w:ind w:left="426" w:hanging="426"/>
        <w:jc w:val="both"/>
        <w:rPr>
          <w:sz w:val="22"/>
          <w:szCs w:val="22"/>
        </w:rPr>
      </w:pPr>
      <w:r w:rsidRPr="00C86F0A">
        <w:rPr>
          <w:sz w:val="22"/>
          <w:szCs w:val="22"/>
        </w:rPr>
        <w:t xml:space="preserve">Momenteel lopen er onderhandelingen met </w:t>
      </w:r>
      <w:r w:rsidR="00EB42E1" w:rsidRPr="00C86F0A">
        <w:rPr>
          <w:sz w:val="22"/>
          <w:szCs w:val="22"/>
        </w:rPr>
        <w:t xml:space="preserve">de </w:t>
      </w:r>
      <w:r w:rsidRPr="00C86F0A">
        <w:rPr>
          <w:sz w:val="22"/>
          <w:szCs w:val="22"/>
        </w:rPr>
        <w:t>volgende landen:</w:t>
      </w:r>
    </w:p>
    <w:p w:rsidR="00957891" w:rsidRPr="00C86F0A" w:rsidRDefault="00957891" w:rsidP="004F2152">
      <w:pPr>
        <w:pStyle w:val="Lijstalinea"/>
        <w:numPr>
          <w:ilvl w:val="0"/>
          <w:numId w:val="17"/>
        </w:numPr>
        <w:ind w:hanging="294"/>
        <w:jc w:val="both"/>
        <w:rPr>
          <w:sz w:val="22"/>
          <w:szCs w:val="22"/>
        </w:rPr>
      </w:pPr>
      <w:r w:rsidRPr="00C86F0A">
        <w:rPr>
          <w:sz w:val="22"/>
          <w:szCs w:val="22"/>
          <w:u w:val="single"/>
        </w:rPr>
        <w:t>Mexico</w:t>
      </w:r>
      <w:r w:rsidRPr="00C86F0A">
        <w:rPr>
          <w:sz w:val="22"/>
          <w:szCs w:val="22"/>
        </w:rPr>
        <w:t xml:space="preserve">: </w:t>
      </w:r>
      <w:r w:rsidR="003D60CF" w:rsidRPr="00C86F0A">
        <w:rPr>
          <w:sz w:val="22"/>
          <w:szCs w:val="22"/>
        </w:rPr>
        <w:t>d</w:t>
      </w:r>
      <w:r w:rsidRPr="00C86F0A">
        <w:rPr>
          <w:sz w:val="22"/>
          <w:szCs w:val="22"/>
        </w:rPr>
        <w:t xml:space="preserve">e onderhandelingen waren hier even afgesprongen na de afgelaste missie van minister-president Peeters in 2011. Het FWO heeft de draad met </w:t>
      </w:r>
      <w:r w:rsidR="00EB42E1" w:rsidRPr="00C86F0A">
        <w:rPr>
          <w:sz w:val="22"/>
          <w:szCs w:val="22"/>
        </w:rPr>
        <w:t>zijn</w:t>
      </w:r>
      <w:r w:rsidRPr="00C86F0A">
        <w:rPr>
          <w:sz w:val="22"/>
          <w:szCs w:val="22"/>
        </w:rPr>
        <w:t xml:space="preserve"> Mexicaanse tegenhanger </w:t>
      </w:r>
      <w:r w:rsidR="00EB42E1" w:rsidRPr="00C86F0A">
        <w:rPr>
          <w:sz w:val="22"/>
          <w:szCs w:val="22"/>
        </w:rPr>
        <w:t>CONACYT</w:t>
      </w:r>
      <w:r w:rsidRPr="00C86F0A">
        <w:rPr>
          <w:sz w:val="22"/>
          <w:szCs w:val="22"/>
        </w:rPr>
        <w:t xml:space="preserve"> inmiddels weer opgenomen. Er is een nieuw </w:t>
      </w:r>
      <w:r w:rsidR="003D60CF" w:rsidRPr="00C86F0A">
        <w:rPr>
          <w:sz w:val="22"/>
          <w:szCs w:val="22"/>
        </w:rPr>
        <w:t>M</w:t>
      </w:r>
      <w:r w:rsidRPr="00C86F0A">
        <w:rPr>
          <w:sz w:val="22"/>
          <w:szCs w:val="22"/>
        </w:rPr>
        <w:t xml:space="preserve">emorandum of </w:t>
      </w:r>
      <w:r w:rsidR="003D60CF" w:rsidRPr="00C86F0A">
        <w:rPr>
          <w:sz w:val="22"/>
          <w:szCs w:val="22"/>
        </w:rPr>
        <w:t>U</w:t>
      </w:r>
      <w:r w:rsidRPr="00C86F0A">
        <w:rPr>
          <w:sz w:val="22"/>
          <w:szCs w:val="22"/>
        </w:rPr>
        <w:t>nderstanding</w:t>
      </w:r>
      <w:r w:rsidR="003D60CF" w:rsidRPr="00C86F0A">
        <w:rPr>
          <w:sz w:val="22"/>
          <w:szCs w:val="22"/>
        </w:rPr>
        <w:t xml:space="preserve"> (MoU</w:t>
      </w:r>
      <w:r w:rsidRPr="00C86F0A">
        <w:rPr>
          <w:sz w:val="22"/>
          <w:szCs w:val="22"/>
        </w:rPr>
        <w:t>) uitgewerkt die uitwisselingen van onderzoekers op projectbasis mogelijk maakt</w:t>
      </w:r>
      <w:r w:rsidR="003D60CF" w:rsidRPr="00C86F0A">
        <w:rPr>
          <w:sz w:val="22"/>
          <w:szCs w:val="22"/>
        </w:rPr>
        <w:t>;</w:t>
      </w:r>
    </w:p>
    <w:p w:rsidR="00957891" w:rsidRPr="00C86F0A" w:rsidRDefault="00957891" w:rsidP="004F2152">
      <w:pPr>
        <w:pStyle w:val="Lijstalinea"/>
        <w:numPr>
          <w:ilvl w:val="0"/>
          <w:numId w:val="17"/>
        </w:numPr>
        <w:ind w:hanging="294"/>
        <w:jc w:val="both"/>
        <w:rPr>
          <w:sz w:val="22"/>
          <w:szCs w:val="22"/>
        </w:rPr>
      </w:pPr>
      <w:r w:rsidRPr="00C86F0A">
        <w:rPr>
          <w:sz w:val="22"/>
          <w:szCs w:val="22"/>
          <w:u w:val="single"/>
        </w:rPr>
        <w:t>Turkije</w:t>
      </w:r>
      <w:r w:rsidRPr="00C86F0A">
        <w:rPr>
          <w:sz w:val="22"/>
          <w:szCs w:val="22"/>
        </w:rPr>
        <w:t xml:space="preserve">: </w:t>
      </w:r>
      <w:r w:rsidR="00AA448F">
        <w:rPr>
          <w:sz w:val="22"/>
          <w:szCs w:val="22"/>
        </w:rPr>
        <w:t>in het kader van</w:t>
      </w:r>
      <w:r w:rsidRPr="00C86F0A">
        <w:rPr>
          <w:sz w:val="22"/>
          <w:szCs w:val="22"/>
        </w:rPr>
        <w:t xml:space="preserve"> </w:t>
      </w:r>
      <w:r w:rsidR="003D60CF" w:rsidRPr="00C86F0A">
        <w:rPr>
          <w:sz w:val="22"/>
          <w:szCs w:val="22"/>
        </w:rPr>
        <w:t>mijn</w:t>
      </w:r>
      <w:r w:rsidRPr="00C86F0A">
        <w:rPr>
          <w:sz w:val="22"/>
          <w:szCs w:val="22"/>
        </w:rPr>
        <w:t xml:space="preserve"> missie </w:t>
      </w:r>
      <w:r w:rsidR="003D60CF" w:rsidRPr="00C86F0A">
        <w:rPr>
          <w:sz w:val="22"/>
          <w:szCs w:val="22"/>
        </w:rPr>
        <w:t>n</w:t>
      </w:r>
      <w:r w:rsidRPr="00C86F0A">
        <w:rPr>
          <w:sz w:val="22"/>
          <w:szCs w:val="22"/>
        </w:rPr>
        <w:t xml:space="preserve">aar Turkije </w:t>
      </w:r>
      <w:r w:rsidR="00C86F0A" w:rsidRPr="00C86F0A">
        <w:rPr>
          <w:sz w:val="22"/>
          <w:szCs w:val="22"/>
        </w:rPr>
        <w:t xml:space="preserve">(14-18 mei 2012) </w:t>
      </w:r>
      <w:r w:rsidRPr="00C86F0A">
        <w:rPr>
          <w:sz w:val="22"/>
          <w:szCs w:val="22"/>
        </w:rPr>
        <w:t xml:space="preserve">ondertekenden het FWO en de Turkse research council </w:t>
      </w:r>
      <w:r w:rsidR="00C86F0A" w:rsidRPr="00C86F0A">
        <w:rPr>
          <w:sz w:val="22"/>
          <w:szCs w:val="22"/>
        </w:rPr>
        <w:t>TÜBİTAK</w:t>
      </w:r>
      <w:r w:rsidRPr="00C86F0A">
        <w:rPr>
          <w:sz w:val="22"/>
          <w:szCs w:val="22"/>
        </w:rPr>
        <w:t xml:space="preserve"> </w:t>
      </w:r>
      <w:r w:rsidR="00AA448F">
        <w:rPr>
          <w:sz w:val="22"/>
          <w:szCs w:val="22"/>
        </w:rPr>
        <w:t xml:space="preserve">op 14 mei 2012 </w:t>
      </w:r>
      <w:r w:rsidR="00055DB1">
        <w:rPr>
          <w:sz w:val="22"/>
          <w:szCs w:val="22"/>
        </w:rPr>
        <w:t xml:space="preserve">in Ankara </w:t>
      </w:r>
      <w:r w:rsidRPr="00C86F0A">
        <w:rPr>
          <w:sz w:val="22"/>
          <w:szCs w:val="22"/>
        </w:rPr>
        <w:t xml:space="preserve">een </w:t>
      </w:r>
      <w:r w:rsidR="003D60CF" w:rsidRPr="00C86F0A">
        <w:rPr>
          <w:sz w:val="22"/>
          <w:szCs w:val="22"/>
        </w:rPr>
        <w:t>MoU</w:t>
      </w:r>
      <w:r w:rsidRPr="00C86F0A">
        <w:rPr>
          <w:sz w:val="22"/>
          <w:szCs w:val="22"/>
        </w:rPr>
        <w:t xml:space="preserve"> </w:t>
      </w:r>
      <w:r w:rsidR="00C86F0A" w:rsidRPr="00C86F0A">
        <w:rPr>
          <w:sz w:val="22"/>
          <w:szCs w:val="22"/>
        </w:rPr>
        <w:t>dat</w:t>
      </w:r>
      <w:r w:rsidRPr="00C86F0A">
        <w:rPr>
          <w:sz w:val="22"/>
          <w:szCs w:val="22"/>
        </w:rPr>
        <w:t xml:space="preserve"> een kader moet vormen voor verdere structurele samenwerking. Het FWO voert nu besprekingen met </w:t>
      </w:r>
      <w:r w:rsidR="00C86F0A" w:rsidRPr="00C86F0A">
        <w:rPr>
          <w:sz w:val="22"/>
          <w:szCs w:val="22"/>
        </w:rPr>
        <w:t>TÜBİTAK</w:t>
      </w:r>
      <w:r w:rsidRPr="00C86F0A">
        <w:rPr>
          <w:sz w:val="22"/>
          <w:szCs w:val="22"/>
        </w:rPr>
        <w:t xml:space="preserve"> om tot een </w:t>
      </w:r>
      <w:r w:rsidR="00AA448F">
        <w:rPr>
          <w:sz w:val="22"/>
          <w:szCs w:val="22"/>
        </w:rPr>
        <w:t>samenwerkings</w:t>
      </w:r>
      <w:r w:rsidRPr="00C86F0A">
        <w:rPr>
          <w:sz w:val="22"/>
          <w:szCs w:val="22"/>
        </w:rPr>
        <w:t>akkoord te komen dat de uitwisseling van onderzoekers op projectbasis mogelijk maakt</w:t>
      </w:r>
      <w:r w:rsidR="003D60CF" w:rsidRPr="00C86F0A">
        <w:rPr>
          <w:sz w:val="22"/>
          <w:szCs w:val="22"/>
        </w:rPr>
        <w:t>;</w:t>
      </w:r>
    </w:p>
    <w:p w:rsidR="00957891" w:rsidRPr="00C86F0A" w:rsidRDefault="00957891" w:rsidP="004F2152">
      <w:pPr>
        <w:pStyle w:val="Lijstalinea"/>
        <w:numPr>
          <w:ilvl w:val="0"/>
          <w:numId w:val="17"/>
        </w:numPr>
        <w:ind w:hanging="294"/>
        <w:jc w:val="both"/>
        <w:rPr>
          <w:sz w:val="22"/>
          <w:szCs w:val="22"/>
        </w:rPr>
      </w:pPr>
      <w:r w:rsidRPr="00C86F0A">
        <w:rPr>
          <w:sz w:val="22"/>
          <w:szCs w:val="22"/>
          <w:u w:val="single"/>
        </w:rPr>
        <w:t>Oostenrijk &amp; Slovenië</w:t>
      </w:r>
      <w:r w:rsidRPr="00C86F0A">
        <w:rPr>
          <w:sz w:val="22"/>
          <w:szCs w:val="22"/>
        </w:rPr>
        <w:t xml:space="preserve">: </w:t>
      </w:r>
      <w:r w:rsidR="00EB42E1" w:rsidRPr="00C86F0A">
        <w:rPr>
          <w:sz w:val="22"/>
          <w:szCs w:val="22"/>
        </w:rPr>
        <w:t>m</w:t>
      </w:r>
      <w:r w:rsidRPr="00C86F0A">
        <w:rPr>
          <w:sz w:val="22"/>
          <w:szCs w:val="22"/>
        </w:rPr>
        <w:t>et de research councils van deze landen onderhandelt het FWO momenteel over het opstarten van een Lead Agency overeenkomst zoals we die ook al met Luxemburg en Nederland hebben. Het principe hierbij is dat de partner die als Lead Agency optreedt de volledige evaluatie voor haar rekening neemt en dat de andere partner de genomen beslissingen volgt. Ook hier worden de overeenkomsten momenteel onderhandeld.</w:t>
      </w:r>
    </w:p>
    <w:p w:rsidR="00957891" w:rsidRDefault="00957891" w:rsidP="004F2152">
      <w:pPr>
        <w:jc w:val="both"/>
        <w:rPr>
          <w:sz w:val="22"/>
          <w:szCs w:val="22"/>
        </w:rPr>
      </w:pPr>
    </w:p>
    <w:p w:rsidR="003F5F8B" w:rsidRPr="003D60CF" w:rsidRDefault="003F5F8B" w:rsidP="004F2152">
      <w:pPr>
        <w:jc w:val="both"/>
        <w:rPr>
          <w:sz w:val="22"/>
          <w:szCs w:val="22"/>
        </w:rPr>
      </w:pPr>
    </w:p>
    <w:p w:rsidR="00957891" w:rsidRPr="003F5F8B" w:rsidRDefault="002D43F1" w:rsidP="004F2152">
      <w:pPr>
        <w:jc w:val="both"/>
        <w:rPr>
          <w:sz w:val="22"/>
          <w:szCs w:val="22"/>
        </w:rPr>
      </w:pPr>
      <w:r w:rsidRPr="003F5F8B">
        <w:rPr>
          <w:b/>
          <w:bCs/>
          <w:smallCaps/>
          <w:color w:val="FF0000"/>
          <w:sz w:val="22"/>
          <w:szCs w:val="22"/>
        </w:rPr>
        <w:t>bijlagen</w:t>
      </w:r>
    </w:p>
    <w:p w:rsidR="002D43F1" w:rsidRDefault="002D43F1" w:rsidP="004F2152">
      <w:pPr>
        <w:jc w:val="both"/>
        <w:rPr>
          <w:sz w:val="22"/>
          <w:szCs w:val="22"/>
        </w:rPr>
      </w:pPr>
    </w:p>
    <w:p w:rsidR="002D43F1" w:rsidRPr="00C57B6E" w:rsidRDefault="00C57B6E" w:rsidP="004F2152">
      <w:pPr>
        <w:pStyle w:val="Lijstalinea"/>
        <w:numPr>
          <w:ilvl w:val="0"/>
          <w:numId w:val="21"/>
        </w:numPr>
        <w:jc w:val="both"/>
        <w:rPr>
          <w:sz w:val="22"/>
          <w:szCs w:val="22"/>
        </w:rPr>
      </w:pPr>
      <w:r>
        <w:rPr>
          <w:sz w:val="22"/>
          <w:szCs w:val="22"/>
        </w:rPr>
        <w:t>Overzicht s</w:t>
      </w:r>
      <w:r w:rsidR="002D43F1" w:rsidRPr="00C57B6E">
        <w:rPr>
          <w:sz w:val="22"/>
          <w:szCs w:val="22"/>
        </w:rPr>
        <w:t>amenwerkingspro</w:t>
      </w:r>
      <w:r w:rsidR="003F5F8B">
        <w:rPr>
          <w:sz w:val="22"/>
          <w:szCs w:val="22"/>
        </w:rPr>
        <w:t>jecten met Québec (oproep 2010)</w:t>
      </w:r>
      <w:bookmarkStart w:id="0" w:name="_GoBack"/>
      <w:bookmarkEnd w:id="0"/>
    </w:p>
    <w:p w:rsidR="002D43F1" w:rsidRPr="00C57B6E" w:rsidRDefault="00C57B6E" w:rsidP="004F2152">
      <w:pPr>
        <w:pStyle w:val="Lijstalinea"/>
        <w:numPr>
          <w:ilvl w:val="0"/>
          <w:numId w:val="21"/>
        </w:numPr>
        <w:jc w:val="both"/>
        <w:rPr>
          <w:sz w:val="22"/>
          <w:szCs w:val="22"/>
        </w:rPr>
      </w:pPr>
      <w:r>
        <w:rPr>
          <w:sz w:val="22"/>
          <w:szCs w:val="22"/>
        </w:rPr>
        <w:t>Overzicht s</w:t>
      </w:r>
      <w:r w:rsidRPr="00C57B6E">
        <w:rPr>
          <w:sz w:val="22"/>
          <w:szCs w:val="22"/>
        </w:rPr>
        <w:t>amenwerking</w:t>
      </w:r>
      <w:r>
        <w:rPr>
          <w:sz w:val="22"/>
          <w:szCs w:val="22"/>
        </w:rPr>
        <w:t>sovereenkomsten</w:t>
      </w:r>
      <w:r w:rsidRPr="00C57B6E">
        <w:rPr>
          <w:sz w:val="22"/>
          <w:szCs w:val="22"/>
        </w:rPr>
        <w:t xml:space="preserve"> met </w:t>
      </w:r>
      <w:r w:rsidR="002D43F1" w:rsidRPr="00C57B6E">
        <w:rPr>
          <w:sz w:val="22"/>
          <w:szCs w:val="22"/>
        </w:rPr>
        <w:t xml:space="preserve">China, </w:t>
      </w:r>
      <w:r w:rsidR="00BE16EF" w:rsidRPr="00C57B6E">
        <w:rPr>
          <w:sz w:val="22"/>
          <w:szCs w:val="22"/>
        </w:rPr>
        <w:t>Ecuador</w:t>
      </w:r>
      <w:r w:rsidR="00BE16EF">
        <w:rPr>
          <w:sz w:val="22"/>
          <w:szCs w:val="22"/>
        </w:rPr>
        <w:t>, V</w:t>
      </w:r>
      <w:r w:rsidR="002D43F1" w:rsidRPr="00C57B6E">
        <w:rPr>
          <w:sz w:val="22"/>
          <w:szCs w:val="22"/>
        </w:rPr>
        <w:t xml:space="preserve">ietnam, </w:t>
      </w:r>
      <w:r w:rsidR="00BE16EF">
        <w:rPr>
          <w:sz w:val="22"/>
          <w:szCs w:val="22"/>
        </w:rPr>
        <w:t xml:space="preserve">Québec en </w:t>
      </w:r>
      <w:r w:rsidR="002D43F1" w:rsidRPr="00C57B6E">
        <w:rPr>
          <w:sz w:val="22"/>
          <w:szCs w:val="22"/>
        </w:rPr>
        <w:t>Zuid-Afrik</w:t>
      </w:r>
      <w:r w:rsidR="003F5F8B">
        <w:rPr>
          <w:sz w:val="22"/>
          <w:szCs w:val="22"/>
        </w:rPr>
        <w:t>a</w:t>
      </w:r>
    </w:p>
    <w:sectPr w:rsidR="002D43F1" w:rsidRPr="00C57B6E" w:rsidSect="003E498C">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282D"/>
    <w:multiLevelType w:val="hybridMultilevel"/>
    <w:tmpl w:val="1CB0E3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85D605C"/>
    <w:multiLevelType w:val="hybridMultilevel"/>
    <w:tmpl w:val="0C1861AA"/>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FC91A6F"/>
    <w:multiLevelType w:val="hybridMultilevel"/>
    <w:tmpl w:val="9920F61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22A70CE3"/>
    <w:multiLevelType w:val="hybridMultilevel"/>
    <w:tmpl w:val="234A502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4A512C1"/>
    <w:multiLevelType w:val="hybridMultilevel"/>
    <w:tmpl w:val="6BDC3120"/>
    <w:lvl w:ilvl="0" w:tplc="71C898DA">
      <w:start w:val="2"/>
      <w:numFmt w:val="decimal"/>
      <w:lvlText w:val="%1."/>
      <w:lvlJc w:val="left"/>
      <w:pPr>
        <w:tabs>
          <w:tab w:val="num" w:pos="720"/>
        </w:tabs>
        <w:ind w:left="720" w:hanging="360"/>
      </w:pPr>
      <w:rPr>
        <w:rFonts w:hint="default"/>
      </w:rPr>
    </w:lvl>
    <w:lvl w:ilvl="1" w:tplc="4ABEB0FC" w:tentative="1">
      <w:start w:val="1"/>
      <w:numFmt w:val="lowerLetter"/>
      <w:lvlText w:val="%2."/>
      <w:lvlJc w:val="left"/>
      <w:pPr>
        <w:tabs>
          <w:tab w:val="num" w:pos="1440"/>
        </w:tabs>
        <w:ind w:left="1440" w:hanging="360"/>
      </w:pPr>
    </w:lvl>
    <w:lvl w:ilvl="2" w:tplc="3BDE258A" w:tentative="1">
      <w:start w:val="1"/>
      <w:numFmt w:val="lowerRoman"/>
      <w:lvlText w:val="%3."/>
      <w:lvlJc w:val="right"/>
      <w:pPr>
        <w:tabs>
          <w:tab w:val="num" w:pos="2160"/>
        </w:tabs>
        <w:ind w:left="2160" w:hanging="180"/>
      </w:pPr>
    </w:lvl>
    <w:lvl w:ilvl="3" w:tplc="86920542" w:tentative="1">
      <w:start w:val="1"/>
      <w:numFmt w:val="decimal"/>
      <w:lvlText w:val="%4."/>
      <w:lvlJc w:val="left"/>
      <w:pPr>
        <w:tabs>
          <w:tab w:val="num" w:pos="2880"/>
        </w:tabs>
        <w:ind w:left="2880" w:hanging="360"/>
      </w:pPr>
    </w:lvl>
    <w:lvl w:ilvl="4" w:tplc="38905C0A" w:tentative="1">
      <w:start w:val="1"/>
      <w:numFmt w:val="lowerLetter"/>
      <w:lvlText w:val="%5."/>
      <w:lvlJc w:val="left"/>
      <w:pPr>
        <w:tabs>
          <w:tab w:val="num" w:pos="3600"/>
        </w:tabs>
        <w:ind w:left="3600" w:hanging="360"/>
      </w:pPr>
    </w:lvl>
    <w:lvl w:ilvl="5" w:tplc="79923ECC" w:tentative="1">
      <w:start w:val="1"/>
      <w:numFmt w:val="lowerRoman"/>
      <w:lvlText w:val="%6."/>
      <w:lvlJc w:val="right"/>
      <w:pPr>
        <w:tabs>
          <w:tab w:val="num" w:pos="4320"/>
        </w:tabs>
        <w:ind w:left="4320" w:hanging="180"/>
      </w:pPr>
    </w:lvl>
    <w:lvl w:ilvl="6" w:tplc="8670E5E2" w:tentative="1">
      <w:start w:val="1"/>
      <w:numFmt w:val="decimal"/>
      <w:lvlText w:val="%7."/>
      <w:lvlJc w:val="left"/>
      <w:pPr>
        <w:tabs>
          <w:tab w:val="num" w:pos="5040"/>
        </w:tabs>
        <w:ind w:left="5040" w:hanging="360"/>
      </w:pPr>
    </w:lvl>
    <w:lvl w:ilvl="7" w:tplc="C8C60330" w:tentative="1">
      <w:start w:val="1"/>
      <w:numFmt w:val="lowerLetter"/>
      <w:lvlText w:val="%8."/>
      <w:lvlJc w:val="left"/>
      <w:pPr>
        <w:tabs>
          <w:tab w:val="num" w:pos="5760"/>
        </w:tabs>
        <w:ind w:left="5760" w:hanging="360"/>
      </w:pPr>
    </w:lvl>
    <w:lvl w:ilvl="8" w:tplc="A6E05FE4" w:tentative="1">
      <w:start w:val="1"/>
      <w:numFmt w:val="lowerRoman"/>
      <w:lvlText w:val="%9."/>
      <w:lvlJc w:val="right"/>
      <w:pPr>
        <w:tabs>
          <w:tab w:val="num" w:pos="6480"/>
        </w:tabs>
        <w:ind w:left="6480" w:hanging="180"/>
      </w:pPr>
    </w:lvl>
  </w:abstractNum>
  <w:abstractNum w:abstractNumId="5">
    <w:nsid w:val="2EAD4E11"/>
    <w:multiLevelType w:val="hybridMultilevel"/>
    <w:tmpl w:val="2A1868C6"/>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F3835CE">
      <w:start w:val="1"/>
      <w:numFmt w:val="bullet"/>
      <w:lvlText w:val="-"/>
      <w:lvlJc w:val="left"/>
      <w:pPr>
        <w:ind w:left="2340" w:hanging="360"/>
      </w:pPr>
      <w:rPr>
        <w:rFonts w:ascii="Calibri" w:eastAsia="Calibri" w:hAnsi="Calibri" w:cs="Times New Roman" w:hint="default"/>
      </w:r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4634AD7"/>
    <w:multiLevelType w:val="hybridMultilevel"/>
    <w:tmpl w:val="C63A5A14"/>
    <w:lvl w:ilvl="0" w:tplc="08130017">
      <w:start w:val="1"/>
      <w:numFmt w:val="low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467069A6"/>
    <w:multiLevelType w:val="hybridMultilevel"/>
    <w:tmpl w:val="CAC45296"/>
    <w:lvl w:ilvl="0" w:tplc="08130017">
      <w:start w:val="1"/>
      <w:numFmt w:val="lowerLetter"/>
      <w:lvlText w:val="%1)"/>
      <w:lvlJc w:val="left"/>
      <w:pPr>
        <w:ind w:left="786" w:hanging="360"/>
      </w:p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9">
    <w:nsid w:val="4D6901F5"/>
    <w:multiLevelType w:val="hybridMultilevel"/>
    <w:tmpl w:val="8304C2DC"/>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67613906"/>
    <w:multiLevelType w:val="hybridMultilevel"/>
    <w:tmpl w:val="C4E4199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67805B83"/>
    <w:multiLevelType w:val="hybridMultilevel"/>
    <w:tmpl w:val="DA64C64E"/>
    <w:lvl w:ilvl="0" w:tplc="878EF788">
      <w:start w:val="4"/>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6AD53E29"/>
    <w:multiLevelType w:val="hybridMultilevel"/>
    <w:tmpl w:val="21BEF80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6B463698"/>
    <w:multiLevelType w:val="hybridMultilevel"/>
    <w:tmpl w:val="5D36650E"/>
    <w:lvl w:ilvl="0" w:tplc="9122728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6BEB6FB4"/>
    <w:multiLevelType w:val="hybridMultilevel"/>
    <w:tmpl w:val="26CA8BF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6F97444B"/>
    <w:multiLevelType w:val="hybridMultilevel"/>
    <w:tmpl w:val="45F89A98"/>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F3835CE">
      <w:start w:val="1"/>
      <w:numFmt w:val="bullet"/>
      <w:lvlText w:val="-"/>
      <w:lvlJc w:val="left"/>
      <w:pPr>
        <w:ind w:left="2340" w:hanging="360"/>
      </w:pPr>
      <w:rPr>
        <w:rFonts w:ascii="Calibri" w:eastAsia="Calibri" w:hAnsi="Calibri" w:cs="Times New Roman" w:hint="default"/>
      </w:r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6">
    <w:nsid w:val="703450EA"/>
    <w:multiLevelType w:val="hybridMultilevel"/>
    <w:tmpl w:val="EC201FBA"/>
    <w:lvl w:ilvl="0" w:tplc="0F3835CE">
      <w:start w:val="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nsid w:val="751E5A2A"/>
    <w:multiLevelType w:val="hybridMultilevel"/>
    <w:tmpl w:val="9F54D9B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F3835CE">
      <w:start w:val="1"/>
      <w:numFmt w:val="bullet"/>
      <w:lvlText w:val="-"/>
      <w:lvlJc w:val="left"/>
      <w:pPr>
        <w:ind w:left="2340" w:hanging="360"/>
      </w:pPr>
      <w:rPr>
        <w:rFonts w:ascii="Calibri" w:eastAsia="Calibri" w:hAnsi="Calibri" w:cs="Times New Roman" w:hint="default"/>
      </w:r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8">
    <w:nsid w:val="7C4B0D88"/>
    <w:multiLevelType w:val="hybridMultilevel"/>
    <w:tmpl w:val="F580CAC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num>
  <w:num w:numId="10">
    <w:abstractNumId w:val="15"/>
  </w:num>
  <w:num w:numId="11">
    <w:abstractNumId w:val="0"/>
  </w:num>
  <w:num w:numId="12">
    <w:abstractNumId w:val="13"/>
  </w:num>
  <w:num w:numId="13">
    <w:abstractNumId w:val="3"/>
  </w:num>
  <w:num w:numId="14">
    <w:abstractNumId w:val="10"/>
  </w:num>
  <w:num w:numId="15">
    <w:abstractNumId w:val="2"/>
  </w:num>
  <w:num w:numId="16">
    <w:abstractNumId w:val="11"/>
  </w:num>
  <w:num w:numId="17">
    <w:abstractNumId w:val="1"/>
  </w:num>
  <w:num w:numId="18">
    <w:abstractNumId w:val="8"/>
  </w:num>
  <w:num w:numId="19">
    <w:abstractNumId w:val="14"/>
  </w:num>
  <w:num w:numId="20">
    <w:abstractNumId w:val="7"/>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2"/>
  </w:compat>
  <w:rsids>
    <w:rsidRoot w:val="009E2C40"/>
    <w:rsid w:val="00055DB1"/>
    <w:rsid w:val="000D1FDD"/>
    <w:rsid w:val="00103D45"/>
    <w:rsid w:val="001747B4"/>
    <w:rsid w:val="001F0937"/>
    <w:rsid w:val="0023466E"/>
    <w:rsid w:val="002D091A"/>
    <w:rsid w:val="002D43F1"/>
    <w:rsid w:val="003D60CF"/>
    <w:rsid w:val="003E498C"/>
    <w:rsid w:val="003F5F8B"/>
    <w:rsid w:val="004F2152"/>
    <w:rsid w:val="005431C7"/>
    <w:rsid w:val="005B0761"/>
    <w:rsid w:val="005E1AF2"/>
    <w:rsid w:val="006A324D"/>
    <w:rsid w:val="006F7264"/>
    <w:rsid w:val="007A2DE6"/>
    <w:rsid w:val="007A666B"/>
    <w:rsid w:val="007B2E4F"/>
    <w:rsid w:val="007B527F"/>
    <w:rsid w:val="0087057D"/>
    <w:rsid w:val="008F1C47"/>
    <w:rsid w:val="00940245"/>
    <w:rsid w:val="00957891"/>
    <w:rsid w:val="009976C1"/>
    <w:rsid w:val="009E2C40"/>
    <w:rsid w:val="00A60DD3"/>
    <w:rsid w:val="00AA448F"/>
    <w:rsid w:val="00AB0AA4"/>
    <w:rsid w:val="00B60443"/>
    <w:rsid w:val="00BE16EF"/>
    <w:rsid w:val="00C57B6E"/>
    <w:rsid w:val="00C86F0A"/>
    <w:rsid w:val="00CA30A2"/>
    <w:rsid w:val="00CC0717"/>
    <w:rsid w:val="00E62011"/>
    <w:rsid w:val="00EB42E1"/>
    <w:rsid w:val="00EE7EE4"/>
    <w:rsid w:val="00EF1373"/>
    <w:rsid w:val="00F075BF"/>
    <w:rsid w:val="00FD3D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E498C"/>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rsid w:val="003E498C"/>
    <w:pPr>
      <w:jc w:val="both"/>
    </w:pPr>
    <w:rPr>
      <w:sz w:val="22"/>
      <w:szCs w:val="20"/>
    </w:rPr>
  </w:style>
  <w:style w:type="paragraph" w:styleId="Ballontekst">
    <w:name w:val="Balloon Text"/>
    <w:basedOn w:val="Standaard"/>
    <w:semiHidden/>
    <w:rsid w:val="003E498C"/>
    <w:rPr>
      <w:rFonts w:ascii="Tahoma" w:hAnsi="Tahoma" w:cs="Tahoma"/>
      <w:sz w:val="16"/>
      <w:szCs w:val="16"/>
    </w:rPr>
  </w:style>
  <w:style w:type="character" w:styleId="Hyperlink">
    <w:name w:val="Hyperlink"/>
    <w:basedOn w:val="Standaardalinea-lettertype"/>
    <w:uiPriority w:val="99"/>
    <w:unhideWhenUsed/>
    <w:rsid w:val="00957891"/>
    <w:rPr>
      <w:color w:val="0000FF" w:themeColor="hyperlink"/>
      <w:u w:val="single"/>
    </w:rPr>
  </w:style>
  <w:style w:type="paragraph" w:styleId="Lijstalinea">
    <w:name w:val="List Paragraph"/>
    <w:basedOn w:val="Standaard"/>
    <w:uiPriority w:val="34"/>
    <w:qFormat/>
    <w:rsid w:val="00957891"/>
    <w:pPr>
      <w:ind w:left="708"/>
    </w:pPr>
    <w:rPr>
      <w:szCs w:val="20"/>
    </w:rPr>
  </w:style>
  <w:style w:type="paragraph" w:customStyle="1" w:styleId="SVVlaamsParlement">
    <w:name w:val="SV Vlaams Parlement"/>
    <w:basedOn w:val="Standaard"/>
    <w:rsid w:val="00957891"/>
    <w:pPr>
      <w:jc w:val="both"/>
    </w:pPr>
    <w:rPr>
      <w:b/>
      <w:smallCaps/>
      <w:sz w:val="22"/>
      <w:szCs w:val="20"/>
    </w:rPr>
  </w:style>
  <w:style w:type="character" w:styleId="GevolgdeHyperlink">
    <w:name w:val="FollowedHyperlink"/>
    <w:basedOn w:val="Standaardalinea-lettertype"/>
    <w:rsid w:val="009578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pPr>
      <w:jc w:val="both"/>
    </w:pPr>
    <w:rPr>
      <w:sz w:val="22"/>
      <w:szCs w:val="20"/>
    </w:rPr>
  </w:style>
  <w:style w:type="paragraph" w:styleId="Ballontekst">
    <w:name w:val="Balloon Text"/>
    <w:basedOn w:val="Standaard"/>
    <w:semiHidden/>
    <w:rPr>
      <w:rFonts w:ascii="Tahoma" w:hAnsi="Tahoma" w:cs="Tahoma"/>
      <w:sz w:val="16"/>
      <w:szCs w:val="16"/>
    </w:rPr>
  </w:style>
  <w:style w:type="character" w:styleId="Hyperlink">
    <w:name w:val="Hyperlink"/>
    <w:basedOn w:val="Standaardalinea-lettertype"/>
    <w:uiPriority w:val="99"/>
    <w:unhideWhenUsed/>
    <w:rsid w:val="00957891"/>
    <w:rPr>
      <w:color w:val="0000FF" w:themeColor="hyperlink"/>
      <w:u w:val="single"/>
    </w:rPr>
  </w:style>
  <w:style w:type="paragraph" w:styleId="Lijstalinea">
    <w:name w:val="List Paragraph"/>
    <w:basedOn w:val="Standaard"/>
    <w:uiPriority w:val="34"/>
    <w:qFormat/>
    <w:rsid w:val="00957891"/>
    <w:pPr>
      <w:ind w:left="708"/>
    </w:pPr>
    <w:rPr>
      <w:szCs w:val="20"/>
    </w:rPr>
  </w:style>
  <w:style w:type="paragraph" w:customStyle="1" w:styleId="SVVlaamsParlement">
    <w:name w:val="SV Vlaams Parlement"/>
    <w:basedOn w:val="Standaard"/>
    <w:rsid w:val="00957891"/>
    <w:pPr>
      <w:jc w:val="both"/>
    </w:pPr>
    <w:rPr>
      <w:b/>
      <w:smallCaps/>
      <w:sz w:val="22"/>
      <w:szCs w:val="20"/>
    </w:rPr>
  </w:style>
  <w:style w:type="character" w:styleId="GevolgdeHyperlink">
    <w:name w:val="FollowedHyperlink"/>
    <w:basedOn w:val="Standaardalinea-lettertype"/>
    <w:rsid w:val="009578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98515">
      <w:bodyDiv w:val="1"/>
      <w:marLeft w:val="0"/>
      <w:marRight w:val="0"/>
      <w:marTop w:val="0"/>
      <w:marBottom w:val="0"/>
      <w:divBdr>
        <w:top w:val="none" w:sz="0" w:space="0" w:color="auto"/>
        <w:left w:val="none" w:sz="0" w:space="0" w:color="auto"/>
        <w:bottom w:val="none" w:sz="0" w:space="0" w:color="auto"/>
        <w:right w:val="none" w:sz="0" w:space="0" w:color="auto"/>
      </w:divBdr>
    </w:div>
    <w:div w:id="632369560">
      <w:bodyDiv w:val="1"/>
      <w:marLeft w:val="0"/>
      <w:marRight w:val="0"/>
      <w:marTop w:val="0"/>
      <w:marBottom w:val="0"/>
      <w:divBdr>
        <w:top w:val="none" w:sz="0" w:space="0" w:color="auto"/>
        <w:left w:val="none" w:sz="0" w:space="0" w:color="auto"/>
        <w:bottom w:val="none" w:sz="0" w:space="0" w:color="auto"/>
        <w:right w:val="none" w:sz="0" w:space="0" w:color="auto"/>
      </w:divBdr>
    </w:div>
    <w:div w:id="205831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deie.gouv.qc.ca/bibliotheques/programmes/aide-financiere/programme-de-soutien-a-la-recherche-psr/programme-de-soutien-a-la-recherche-psr-soutien-a-des-initiatives-internationales-de-recherche-et-dinnovation-siiri/"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rkbestanden%20Erwin%20Dewallef\Parlementaire%20vragen\Procesbeschrijving%20en%20sjablonen\sjablonen%20parlementaire%20vragen\Schriftelijke%20vraag%20-%20antwoord%20-%20bijlage%20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Schriftelijke vraag - antwoord - bijlage 3</Template>
  <TotalTime>3</TotalTime>
  <Pages>3</Pages>
  <Words>1258</Words>
  <Characters>7887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FRANK VANDENBROUCKE</vt:lpstr>
    </vt:vector>
  </TitlesOfParts>
  <Company>MVG</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creator>dewaller</dc:creator>
  <cp:lastModifiedBy>Nathalie De Keyzer</cp:lastModifiedBy>
  <cp:revision>6</cp:revision>
  <cp:lastPrinted>2007-12-14T07:15:00Z</cp:lastPrinted>
  <dcterms:created xsi:type="dcterms:W3CDTF">2012-09-11T10:31:00Z</dcterms:created>
  <dcterms:modified xsi:type="dcterms:W3CDTF">2012-09-19T09:12:00Z</dcterms:modified>
</cp:coreProperties>
</file>