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48" w:rsidRPr="00607DF4" w:rsidRDefault="00A13948" w:rsidP="00A13948">
      <w:pPr>
        <w:jc w:val="both"/>
        <w:outlineLvl w:val="0"/>
        <w:rPr>
          <w:b/>
          <w:bCs/>
          <w:smallCaps/>
          <w:sz w:val="22"/>
          <w:szCs w:val="22"/>
          <w:lang w:val="nl-BE"/>
        </w:rPr>
      </w:pPr>
      <w:r w:rsidRPr="00607DF4">
        <w:rPr>
          <w:b/>
          <w:bCs/>
          <w:smallCaps/>
          <w:sz w:val="22"/>
          <w:szCs w:val="22"/>
          <w:lang w:val="nl-BE"/>
        </w:rPr>
        <w:t xml:space="preserve">philippe muyters </w:t>
      </w:r>
    </w:p>
    <w:p w:rsidR="00753CC6" w:rsidRDefault="00A13948" w:rsidP="00A13948">
      <w:pPr>
        <w:pBdr>
          <w:bottom w:val="single" w:sz="4" w:space="1" w:color="auto"/>
        </w:pBdr>
        <w:rPr>
          <w:smallCaps/>
          <w:sz w:val="22"/>
          <w:szCs w:val="22"/>
          <w:lang w:val="nl-BE"/>
        </w:rPr>
      </w:pPr>
      <w:r w:rsidRPr="00607DF4">
        <w:rPr>
          <w:smallCaps/>
          <w:sz w:val="22"/>
          <w:szCs w:val="22"/>
          <w:lang w:val="nl-BE"/>
        </w:rPr>
        <w:t>vlaams minister van financiën, begroting, werk, ruimtelijke ordening en sport</w:t>
      </w:r>
    </w:p>
    <w:p w:rsidR="00A13948" w:rsidRDefault="00A13948" w:rsidP="00A13948">
      <w:pPr>
        <w:pBdr>
          <w:bottom w:val="single" w:sz="4" w:space="1" w:color="auto"/>
        </w:pBdr>
        <w:rPr>
          <w:sz w:val="22"/>
          <w:szCs w:val="22"/>
        </w:rPr>
      </w:pPr>
    </w:p>
    <w:p w:rsidR="00753CC6" w:rsidRDefault="00753CC6">
      <w:pPr>
        <w:rPr>
          <w:sz w:val="22"/>
          <w:szCs w:val="22"/>
        </w:rPr>
      </w:pPr>
    </w:p>
    <w:p w:rsidR="00753CC6" w:rsidRPr="00753CC6" w:rsidRDefault="00753CC6">
      <w:pPr>
        <w:rPr>
          <w:b/>
          <w:smallCaps/>
          <w:sz w:val="22"/>
          <w:szCs w:val="22"/>
        </w:rPr>
      </w:pPr>
      <w:r w:rsidRPr="00753CC6">
        <w:rPr>
          <w:b/>
          <w:smallCaps/>
          <w:sz w:val="22"/>
          <w:szCs w:val="22"/>
        </w:rPr>
        <w:t>antwoord</w:t>
      </w:r>
    </w:p>
    <w:p w:rsidR="00753CC6" w:rsidRDefault="00753CC6">
      <w:pPr>
        <w:rPr>
          <w:sz w:val="22"/>
          <w:szCs w:val="22"/>
        </w:rPr>
      </w:pPr>
      <w:r>
        <w:rPr>
          <w:sz w:val="22"/>
          <w:szCs w:val="22"/>
        </w:rPr>
        <w:t xml:space="preserve">op vraag nr. </w:t>
      </w:r>
      <w:bookmarkStart w:id="0" w:name="Text1"/>
      <w:r w:rsidR="005437CC">
        <w:rPr>
          <w:sz w:val="22"/>
          <w:szCs w:val="22"/>
        </w:rPr>
        <w:fldChar w:fldCharType="begin">
          <w:ffData>
            <w:name w:val="Text1"/>
            <w:enabled/>
            <w:calcOnExit w:val="0"/>
            <w:textInput>
              <w:default w:val="[volgnummer]"/>
            </w:textInput>
          </w:ffData>
        </w:fldChar>
      </w:r>
      <w:r w:rsidR="00165725">
        <w:rPr>
          <w:sz w:val="22"/>
          <w:szCs w:val="22"/>
        </w:rPr>
        <w:instrText xml:space="preserve"> FORMTEXT </w:instrText>
      </w:r>
      <w:r w:rsidR="005437CC">
        <w:rPr>
          <w:sz w:val="22"/>
          <w:szCs w:val="22"/>
        </w:rPr>
      </w:r>
      <w:r w:rsidR="005437CC">
        <w:rPr>
          <w:sz w:val="22"/>
          <w:szCs w:val="22"/>
        </w:rPr>
        <w:fldChar w:fldCharType="separate"/>
      </w:r>
      <w:r w:rsidR="003E5176">
        <w:rPr>
          <w:sz w:val="22"/>
          <w:szCs w:val="22"/>
        </w:rPr>
        <w:t>701</w:t>
      </w:r>
      <w:r w:rsidR="005437CC">
        <w:rPr>
          <w:sz w:val="22"/>
          <w:szCs w:val="22"/>
        </w:rPr>
        <w:fldChar w:fldCharType="end"/>
      </w:r>
      <w:bookmarkEnd w:id="0"/>
      <w:r w:rsidR="004B1659">
        <w:rPr>
          <w:sz w:val="22"/>
          <w:szCs w:val="22"/>
        </w:rPr>
        <w:t xml:space="preserve"> </w:t>
      </w:r>
      <w:r>
        <w:rPr>
          <w:sz w:val="22"/>
          <w:szCs w:val="22"/>
        </w:rPr>
        <w:t xml:space="preserve">van </w:t>
      </w:r>
      <w:bookmarkStart w:id="1" w:name="Text2"/>
      <w:r w:rsidR="005437CC">
        <w:rPr>
          <w:sz w:val="22"/>
          <w:szCs w:val="22"/>
        </w:rPr>
        <w:fldChar w:fldCharType="begin">
          <w:ffData>
            <w:name w:val="Text2"/>
            <w:enabled/>
            <w:calcOnExit w:val="0"/>
            <w:textInput>
              <w:default w:val="[datum]"/>
            </w:textInput>
          </w:ffData>
        </w:fldChar>
      </w:r>
      <w:r w:rsidR="00165725">
        <w:rPr>
          <w:sz w:val="22"/>
          <w:szCs w:val="22"/>
        </w:rPr>
        <w:instrText xml:space="preserve"> FORMTEXT </w:instrText>
      </w:r>
      <w:r w:rsidR="005437CC">
        <w:rPr>
          <w:sz w:val="22"/>
          <w:szCs w:val="22"/>
        </w:rPr>
      </w:r>
      <w:r w:rsidR="005437CC">
        <w:rPr>
          <w:sz w:val="22"/>
          <w:szCs w:val="22"/>
        </w:rPr>
        <w:fldChar w:fldCharType="separate"/>
      </w:r>
      <w:r w:rsidR="002342BA">
        <w:rPr>
          <w:noProof/>
          <w:sz w:val="22"/>
          <w:szCs w:val="22"/>
        </w:rPr>
        <w:t>1</w:t>
      </w:r>
      <w:r w:rsidR="003E5176">
        <w:rPr>
          <w:noProof/>
          <w:sz w:val="22"/>
          <w:szCs w:val="22"/>
        </w:rPr>
        <w:t>8</w:t>
      </w:r>
      <w:r w:rsidR="002342BA">
        <w:rPr>
          <w:noProof/>
          <w:sz w:val="22"/>
          <w:szCs w:val="22"/>
        </w:rPr>
        <w:t xml:space="preserve"> </w:t>
      </w:r>
      <w:r w:rsidR="003E5176">
        <w:rPr>
          <w:noProof/>
          <w:sz w:val="22"/>
          <w:szCs w:val="22"/>
        </w:rPr>
        <w:t>j</w:t>
      </w:r>
      <w:r w:rsidR="002712FC">
        <w:rPr>
          <w:noProof/>
          <w:sz w:val="22"/>
          <w:szCs w:val="22"/>
        </w:rPr>
        <w:t xml:space="preserve">uni </w:t>
      </w:r>
      <w:r w:rsidR="002342BA">
        <w:rPr>
          <w:noProof/>
          <w:sz w:val="22"/>
          <w:szCs w:val="22"/>
        </w:rPr>
        <w:t>2012</w:t>
      </w:r>
      <w:r w:rsidR="005437CC">
        <w:rPr>
          <w:sz w:val="22"/>
          <w:szCs w:val="22"/>
        </w:rPr>
        <w:fldChar w:fldCharType="end"/>
      </w:r>
      <w:bookmarkEnd w:id="1"/>
    </w:p>
    <w:p w:rsidR="00753CC6" w:rsidRDefault="00753CC6">
      <w:pPr>
        <w:rPr>
          <w:sz w:val="22"/>
          <w:szCs w:val="22"/>
        </w:rPr>
      </w:pPr>
      <w:r>
        <w:rPr>
          <w:sz w:val="22"/>
          <w:szCs w:val="22"/>
        </w:rPr>
        <w:t xml:space="preserve">van </w:t>
      </w:r>
      <w:bookmarkStart w:id="2" w:name="Text3"/>
      <w:r w:rsidR="005437CC">
        <w:rPr>
          <w:b/>
          <w:smallCaps/>
          <w:sz w:val="22"/>
          <w:szCs w:val="22"/>
        </w:rPr>
        <w:fldChar w:fldCharType="begin">
          <w:ffData>
            <w:name w:val="Text3"/>
            <w:enabled/>
            <w:calcOnExit w:val="0"/>
            <w:textInput>
              <w:default w:val="[naam]"/>
            </w:textInput>
          </w:ffData>
        </w:fldChar>
      </w:r>
      <w:r w:rsidR="00165725">
        <w:rPr>
          <w:b/>
          <w:smallCaps/>
          <w:sz w:val="22"/>
          <w:szCs w:val="22"/>
        </w:rPr>
        <w:instrText xml:space="preserve"> FORMTEXT </w:instrText>
      </w:r>
      <w:r w:rsidR="005437CC">
        <w:rPr>
          <w:b/>
          <w:smallCaps/>
          <w:sz w:val="22"/>
          <w:szCs w:val="22"/>
        </w:rPr>
      </w:r>
      <w:r w:rsidR="005437CC">
        <w:rPr>
          <w:b/>
          <w:smallCaps/>
          <w:sz w:val="22"/>
          <w:szCs w:val="22"/>
        </w:rPr>
        <w:fldChar w:fldCharType="separate"/>
      </w:r>
      <w:proofErr w:type="spellStart"/>
      <w:r w:rsidR="002712FC">
        <w:rPr>
          <w:b/>
          <w:smallCaps/>
          <w:sz w:val="22"/>
          <w:szCs w:val="22"/>
        </w:rPr>
        <w:t>r</w:t>
      </w:r>
      <w:r w:rsidR="003E5176">
        <w:rPr>
          <w:b/>
          <w:smallCaps/>
          <w:noProof/>
          <w:sz w:val="22"/>
          <w:szCs w:val="22"/>
        </w:rPr>
        <w:t>obrecht</w:t>
      </w:r>
      <w:proofErr w:type="spellEnd"/>
      <w:r w:rsidR="003E5176">
        <w:rPr>
          <w:b/>
          <w:smallCaps/>
          <w:noProof/>
          <w:sz w:val="22"/>
          <w:szCs w:val="22"/>
        </w:rPr>
        <w:t xml:space="preserve"> </w:t>
      </w:r>
      <w:r w:rsidR="002712FC">
        <w:rPr>
          <w:b/>
          <w:smallCaps/>
          <w:noProof/>
          <w:sz w:val="22"/>
          <w:szCs w:val="22"/>
        </w:rPr>
        <w:t>b</w:t>
      </w:r>
      <w:r w:rsidR="003E5176">
        <w:rPr>
          <w:b/>
          <w:smallCaps/>
          <w:noProof/>
          <w:sz w:val="22"/>
          <w:szCs w:val="22"/>
        </w:rPr>
        <w:t>othuyne</w:t>
      </w:r>
      <w:r w:rsidR="005437CC">
        <w:rPr>
          <w:b/>
          <w:smallCaps/>
          <w:sz w:val="22"/>
          <w:szCs w:val="22"/>
        </w:rPr>
        <w:fldChar w:fldCharType="end"/>
      </w:r>
      <w:bookmarkEnd w:id="2"/>
    </w:p>
    <w:p w:rsidR="00753CC6" w:rsidRDefault="00753CC6" w:rsidP="00753CC6">
      <w:pPr>
        <w:pBdr>
          <w:bottom w:val="single" w:sz="4" w:space="1" w:color="auto"/>
        </w:pBdr>
        <w:rPr>
          <w:sz w:val="22"/>
          <w:szCs w:val="22"/>
        </w:rPr>
      </w:pPr>
    </w:p>
    <w:p w:rsidR="00753CC6" w:rsidRDefault="00753CC6">
      <w:pPr>
        <w:rPr>
          <w:sz w:val="22"/>
          <w:szCs w:val="22"/>
        </w:rPr>
        <w:sectPr w:rsidR="00753CC6">
          <w:pgSz w:w="11906" w:h="16838"/>
          <w:pgMar w:top="1417" w:right="1417" w:bottom="1417" w:left="1417" w:header="708" w:footer="708" w:gutter="0"/>
          <w:cols w:space="708"/>
          <w:docGrid w:linePitch="360"/>
        </w:sectPr>
      </w:pPr>
    </w:p>
    <w:p w:rsidR="00753CC6" w:rsidRPr="00110064" w:rsidRDefault="00753CC6">
      <w:pPr>
        <w:rPr>
          <w:sz w:val="22"/>
          <w:szCs w:val="22"/>
        </w:rPr>
      </w:pPr>
    </w:p>
    <w:p w:rsidR="002342BA" w:rsidRPr="00110064" w:rsidRDefault="002342BA">
      <w:pPr>
        <w:rPr>
          <w:i/>
          <w:sz w:val="22"/>
          <w:szCs w:val="22"/>
        </w:rPr>
      </w:pPr>
    </w:p>
    <w:p w:rsidR="00F079E4" w:rsidRDefault="00666464" w:rsidP="00932879">
      <w:pPr>
        <w:numPr>
          <w:ilvl w:val="0"/>
          <w:numId w:val="9"/>
        </w:numPr>
        <w:ind w:left="426" w:hanging="426"/>
        <w:jc w:val="both"/>
        <w:rPr>
          <w:sz w:val="22"/>
          <w:szCs w:val="22"/>
        </w:rPr>
      </w:pPr>
      <w:r w:rsidRPr="00597F44">
        <w:rPr>
          <w:sz w:val="22"/>
          <w:szCs w:val="22"/>
        </w:rPr>
        <w:t>Indien de bruggepensioneerde / werkzoekende in het stelsel van werkloosheidsuitkering met bedrijfstoeslag (SWT) outplacement gevolgd heeft</w:t>
      </w:r>
      <w:r w:rsidR="001060B2">
        <w:rPr>
          <w:sz w:val="22"/>
          <w:szCs w:val="22"/>
        </w:rPr>
        <w:t xml:space="preserve"> die</w:t>
      </w:r>
      <w:r w:rsidR="00D76A56" w:rsidRPr="00597F44">
        <w:rPr>
          <w:sz w:val="22"/>
          <w:szCs w:val="22"/>
        </w:rPr>
        <w:t xml:space="preserve"> niet heeft geleid tot een </w:t>
      </w:r>
      <w:proofErr w:type="spellStart"/>
      <w:r w:rsidR="00D76A56" w:rsidRPr="00597F44">
        <w:rPr>
          <w:sz w:val="22"/>
          <w:szCs w:val="22"/>
        </w:rPr>
        <w:t>hertewerkstelling</w:t>
      </w:r>
      <w:proofErr w:type="spellEnd"/>
      <w:r w:rsidRPr="00597F44">
        <w:rPr>
          <w:sz w:val="22"/>
          <w:szCs w:val="22"/>
        </w:rPr>
        <w:t xml:space="preserve">, voorziet VDAB in een warme overdracht na de outplacementbegeleiding. Zij worden dan opgenomen in de sluitende aanpak voor 50-plussers, conform de afspraken in VESOC. </w:t>
      </w:r>
      <w:r w:rsidR="00F079E4" w:rsidRPr="00597F44">
        <w:rPr>
          <w:sz w:val="22"/>
          <w:szCs w:val="22"/>
        </w:rPr>
        <w:t>Sinds 1 juni 2012 wordt voorzien in een systematische begeleiding van elke werkzoekende tussen 50 en 57 jaar via de 50+clubs.</w:t>
      </w:r>
    </w:p>
    <w:p w:rsidR="00932879" w:rsidRDefault="00932879" w:rsidP="00932879">
      <w:pPr>
        <w:ind w:left="426"/>
        <w:jc w:val="both"/>
        <w:rPr>
          <w:sz w:val="22"/>
          <w:szCs w:val="22"/>
        </w:rPr>
      </w:pPr>
    </w:p>
    <w:p w:rsidR="00F079E4" w:rsidRPr="00932879" w:rsidRDefault="00666464" w:rsidP="00932879">
      <w:pPr>
        <w:ind w:left="426"/>
        <w:jc w:val="both"/>
        <w:rPr>
          <w:sz w:val="22"/>
          <w:szCs w:val="22"/>
        </w:rPr>
      </w:pPr>
      <w:r w:rsidRPr="00932879">
        <w:rPr>
          <w:sz w:val="22"/>
          <w:szCs w:val="22"/>
        </w:rPr>
        <w:t>Er bestaat geen specifiek aan</w:t>
      </w:r>
      <w:r w:rsidR="001060B2" w:rsidRPr="00932879">
        <w:rPr>
          <w:sz w:val="22"/>
          <w:szCs w:val="22"/>
        </w:rPr>
        <w:t>bod voor de bruggepensioneerden.</w:t>
      </w:r>
      <w:r w:rsidRPr="00932879">
        <w:rPr>
          <w:sz w:val="22"/>
          <w:szCs w:val="22"/>
        </w:rPr>
        <w:t xml:space="preserve"> </w:t>
      </w:r>
      <w:r w:rsidR="001060B2" w:rsidRPr="00932879">
        <w:rPr>
          <w:sz w:val="22"/>
          <w:szCs w:val="22"/>
        </w:rPr>
        <w:t>Z</w:t>
      </w:r>
      <w:r w:rsidR="00F079E4" w:rsidRPr="00932879">
        <w:rPr>
          <w:sz w:val="22"/>
          <w:szCs w:val="22"/>
        </w:rPr>
        <w:t xml:space="preserve">ij hebben recht op het volledige gamma aan dienstverlening en opleidingen die de VDAB aan elke andere werkzoekende aanbiedt. </w:t>
      </w:r>
      <w:r w:rsidR="001060B2" w:rsidRPr="00932879">
        <w:rPr>
          <w:sz w:val="22"/>
          <w:szCs w:val="22"/>
        </w:rPr>
        <w:t>Er</w:t>
      </w:r>
      <w:r w:rsidRPr="00932879">
        <w:rPr>
          <w:sz w:val="22"/>
          <w:szCs w:val="22"/>
        </w:rPr>
        <w:t xml:space="preserve"> wordt gewerkt op basis van de </w:t>
      </w:r>
      <w:r w:rsidR="001060B2" w:rsidRPr="00932879">
        <w:rPr>
          <w:sz w:val="22"/>
          <w:szCs w:val="22"/>
        </w:rPr>
        <w:t>bevindingen</w:t>
      </w:r>
      <w:r w:rsidRPr="00932879">
        <w:rPr>
          <w:sz w:val="22"/>
          <w:szCs w:val="22"/>
        </w:rPr>
        <w:t xml:space="preserve"> van het outplacementkantoor.</w:t>
      </w:r>
      <w:r w:rsidR="00F079E4" w:rsidRPr="00932879">
        <w:rPr>
          <w:sz w:val="22"/>
          <w:szCs w:val="22"/>
        </w:rPr>
        <w:t xml:space="preserve"> Hoe de verdere begeleiding via de 50+club verloopt en welke opleiding eventueel gevolgd wordt is afhankelijk van de noden van de werkzoekende. Ook voor hen geldt immers dat er voorzien wordt in een aanbod op maat. </w:t>
      </w:r>
    </w:p>
    <w:p w:rsidR="00F079E4" w:rsidRPr="00932879" w:rsidRDefault="00F079E4" w:rsidP="00932879">
      <w:pPr>
        <w:ind w:left="426" w:hanging="426"/>
        <w:jc w:val="both"/>
        <w:rPr>
          <w:sz w:val="22"/>
          <w:szCs w:val="22"/>
        </w:rPr>
      </w:pPr>
    </w:p>
    <w:p w:rsidR="00666464" w:rsidRPr="00932879" w:rsidRDefault="00110064" w:rsidP="00932879">
      <w:pPr>
        <w:pStyle w:val="Default"/>
        <w:numPr>
          <w:ilvl w:val="0"/>
          <w:numId w:val="9"/>
        </w:numPr>
        <w:ind w:left="426" w:hanging="426"/>
        <w:jc w:val="both"/>
        <w:rPr>
          <w:rFonts w:ascii="Times New Roman" w:hAnsi="Times New Roman" w:cs="Times New Roman"/>
          <w:color w:val="auto"/>
          <w:sz w:val="22"/>
          <w:szCs w:val="22"/>
        </w:rPr>
      </w:pPr>
      <w:r w:rsidRPr="00932879">
        <w:rPr>
          <w:rFonts w:ascii="Times New Roman" w:hAnsi="Times New Roman" w:cs="Times New Roman"/>
          <w:sz w:val="22"/>
          <w:szCs w:val="22"/>
        </w:rPr>
        <w:t xml:space="preserve">Via de website ‘www.aandeslag.be’ kan gekeken worden op welke tewerkstellingsmaatregelen een bruggepensioneerde / werkzoekende SWT beroep kan doen. </w:t>
      </w:r>
      <w:r w:rsidR="00F079E4" w:rsidRPr="00932879">
        <w:rPr>
          <w:rFonts w:ascii="Times New Roman" w:hAnsi="Times New Roman" w:cs="Times New Roman"/>
          <w:sz w:val="22"/>
          <w:szCs w:val="22"/>
        </w:rPr>
        <w:t xml:space="preserve">In totaal zijn er 79 tewerkstellingsmaatregelen, waarbij voor elke maatregel </w:t>
      </w:r>
      <w:r w:rsidR="001060B2" w:rsidRPr="00932879">
        <w:rPr>
          <w:rFonts w:ascii="Times New Roman" w:hAnsi="Times New Roman" w:cs="Times New Roman"/>
          <w:sz w:val="22"/>
          <w:szCs w:val="22"/>
        </w:rPr>
        <w:t xml:space="preserve">de </w:t>
      </w:r>
      <w:r w:rsidR="00F079E4" w:rsidRPr="00932879">
        <w:rPr>
          <w:rFonts w:ascii="Times New Roman" w:hAnsi="Times New Roman" w:cs="Times New Roman"/>
          <w:sz w:val="22"/>
          <w:szCs w:val="22"/>
        </w:rPr>
        <w:t xml:space="preserve">specifieke toegangsvoorwaarden </w:t>
      </w:r>
      <w:r w:rsidR="001060B2" w:rsidRPr="00932879">
        <w:rPr>
          <w:rFonts w:ascii="Times New Roman" w:hAnsi="Times New Roman" w:cs="Times New Roman"/>
          <w:sz w:val="22"/>
          <w:szCs w:val="22"/>
        </w:rPr>
        <w:t>vermeld</w:t>
      </w:r>
      <w:r w:rsidR="00F079E4" w:rsidRPr="00932879">
        <w:rPr>
          <w:rFonts w:ascii="Times New Roman" w:hAnsi="Times New Roman" w:cs="Times New Roman"/>
          <w:sz w:val="22"/>
          <w:szCs w:val="22"/>
        </w:rPr>
        <w:t xml:space="preserve"> zijn.</w:t>
      </w:r>
      <w:r w:rsidR="00932879">
        <w:rPr>
          <w:rFonts w:ascii="Times New Roman" w:hAnsi="Times New Roman" w:cs="Times New Roman"/>
          <w:sz w:val="22"/>
          <w:szCs w:val="22"/>
        </w:rPr>
        <w:t xml:space="preserve"> </w:t>
      </w:r>
      <w:r w:rsidR="00F079E4" w:rsidRPr="00932879">
        <w:rPr>
          <w:rFonts w:ascii="Times New Roman" w:hAnsi="Times New Roman" w:cs="Times New Roman"/>
          <w:sz w:val="22"/>
          <w:szCs w:val="22"/>
        </w:rPr>
        <w:t xml:space="preserve">Voor </w:t>
      </w:r>
      <w:r w:rsidR="00597F44" w:rsidRPr="00932879">
        <w:rPr>
          <w:rFonts w:ascii="Times New Roman" w:hAnsi="Times New Roman" w:cs="Times New Roman"/>
          <w:sz w:val="22"/>
          <w:szCs w:val="22"/>
        </w:rPr>
        <w:t xml:space="preserve">toepassing van </w:t>
      </w:r>
      <w:r w:rsidR="00666464" w:rsidRPr="00932879">
        <w:rPr>
          <w:rFonts w:ascii="Times New Roman" w:hAnsi="Times New Roman" w:cs="Times New Roman"/>
          <w:sz w:val="22"/>
          <w:szCs w:val="22"/>
        </w:rPr>
        <w:t xml:space="preserve">de </w:t>
      </w:r>
      <w:r w:rsidRPr="00932879">
        <w:rPr>
          <w:rFonts w:ascii="Times New Roman" w:hAnsi="Times New Roman" w:cs="Times New Roman"/>
          <w:sz w:val="22"/>
          <w:szCs w:val="22"/>
        </w:rPr>
        <w:t>tewerkstellings</w:t>
      </w:r>
      <w:r w:rsidR="00666464" w:rsidRPr="00932879">
        <w:rPr>
          <w:rFonts w:ascii="Times New Roman" w:hAnsi="Times New Roman" w:cs="Times New Roman"/>
          <w:sz w:val="22"/>
          <w:szCs w:val="22"/>
        </w:rPr>
        <w:t xml:space="preserve">maatregelen waarvoor </w:t>
      </w:r>
      <w:r w:rsidR="00F079E4" w:rsidRPr="00932879">
        <w:rPr>
          <w:rFonts w:ascii="Times New Roman" w:hAnsi="Times New Roman" w:cs="Times New Roman"/>
          <w:sz w:val="22"/>
          <w:szCs w:val="22"/>
        </w:rPr>
        <w:t xml:space="preserve">de </w:t>
      </w:r>
      <w:r w:rsidR="00666464" w:rsidRPr="00932879">
        <w:rPr>
          <w:rFonts w:ascii="Times New Roman" w:hAnsi="Times New Roman" w:cs="Times New Roman"/>
          <w:sz w:val="22"/>
          <w:szCs w:val="22"/>
        </w:rPr>
        <w:t>VDAB bevoegd is, zijnde de Vlaamse 50+ premie (BVR van 28/4/2006 tot invoering van de tewerkstellingspremie) en de maatregelen voorzien in het BVR van 18/7/2008 betreffende de professionele integratie van personen met een handic</w:t>
      </w:r>
      <w:r w:rsidR="00F079E4" w:rsidRPr="00932879">
        <w:rPr>
          <w:rFonts w:ascii="Times New Roman" w:hAnsi="Times New Roman" w:cs="Times New Roman"/>
          <w:sz w:val="22"/>
          <w:szCs w:val="22"/>
        </w:rPr>
        <w:t xml:space="preserve">ap, </w:t>
      </w:r>
      <w:r w:rsidR="001060B2" w:rsidRPr="00932879">
        <w:rPr>
          <w:rFonts w:ascii="Times New Roman" w:hAnsi="Times New Roman" w:cs="Times New Roman"/>
          <w:sz w:val="22"/>
          <w:szCs w:val="22"/>
        </w:rPr>
        <w:t>komt</w:t>
      </w:r>
      <w:r w:rsidR="00F079E4" w:rsidRPr="00932879">
        <w:rPr>
          <w:rFonts w:ascii="Times New Roman" w:hAnsi="Times New Roman" w:cs="Times New Roman"/>
          <w:sz w:val="22"/>
          <w:szCs w:val="22"/>
        </w:rPr>
        <w:t xml:space="preserve"> de doelgroep bruggepensioneerde / werkzoekende SWT </w:t>
      </w:r>
      <w:r w:rsidR="001060B2" w:rsidRPr="00932879">
        <w:rPr>
          <w:rFonts w:ascii="Times New Roman" w:hAnsi="Times New Roman" w:cs="Times New Roman"/>
          <w:sz w:val="22"/>
          <w:szCs w:val="22"/>
        </w:rPr>
        <w:t>in aanmerking</w:t>
      </w:r>
      <w:r w:rsidR="00597F44" w:rsidRPr="00932879">
        <w:rPr>
          <w:rFonts w:ascii="Times New Roman" w:hAnsi="Times New Roman" w:cs="Times New Roman"/>
          <w:sz w:val="22"/>
          <w:szCs w:val="22"/>
        </w:rPr>
        <w:t>.</w:t>
      </w:r>
      <w:r w:rsidR="00932879" w:rsidRPr="00932879">
        <w:rPr>
          <w:rFonts w:ascii="Times New Roman" w:hAnsi="Times New Roman" w:cs="Times New Roman"/>
          <w:sz w:val="22"/>
          <w:szCs w:val="22"/>
        </w:rPr>
        <w:br/>
      </w:r>
    </w:p>
    <w:p w:rsidR="0015637D" w:rsidRDefault="0015637D" w:rsidP="00F079E4">
      <w:pPr>
        <w:pStyle w:val="Default"/>
        <w:numPr>
          <w:ilvl w:val="0"/>
          <w:numId w:val="9"/>
        </w:numPr>
        <w:ind w:left="426" w:hanging="426"/>
        <w:jc w:val="both"/>
        <w:rPr>
          <w:rFonts w:ascii="Times New Roman" w:hAnsi="Times New Roman" w:cs="Times New Roman"/>
          <w:color w:val="auto"/>
          <w:sz w:val="22"/>
          <w:szCs w:val="22"/>
        </w:rPr>
      </w:pPr>
      <w:r>
        <w:rPr>
          <w:rFonts w:ascii="Times New Roman" w:hAnsi="Times New Roman" w:cs="Times New Roman"/>
          <w:color w:val="auto"/>
          <w:sz w:val="22"/>
          <w:szCs w:val="22"/>
        </w:rPr>
        <w:t>Een werkzoekende 50-plusser kan op 3 manieren vacatures aangeboden krijgen door de VDAB:</w:t>
      </w:r>
    </w:p>
    <w:p w:rsidR="0015637D" w:rsidRPr="0015637D" w:rsidRDefault="0015637D" w:rsidP="0015637D">
      <w:pPr>
        <w:pStyle w:val="Default"/>
        <w:numPr>
          <w:ilvl w:val="1"/>
          <w:numId w:val="9"/>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Mail op maat: De werkzoekende kan via de VDAB-website een vacature-selectie ‘op maat’ ingeven. Vervolgens zal hij/zij automatisch vacatures toegestuurd krijgen (via e-mail) die aan deze </w:t>
      </w:r>
      <w:proofErr w:type="spellStart"/>
      <w:r>
        <w:rPr>
          <w:rFonts w:ascii="Times New Roman" w:hAnsi="Times New Roman" w:cs="Times New Roman"/>
          <w:color w:val="auto"/>
          <w:sz w:val="22"/>
          <w:szCs w:val="22"/>
        </w:rPr>
        <w:t>selectie-criteria</w:t>
      </w:r>
      <w:proofErr w:type="spellEnd"/>
      <w:r>
        <w:rPr>
          <w:rFonts w:ascii="Times New Roman" w:hAnsi="Times New Roman" w:cs="Times New Roman"/>
          <w:color w:val="auto"/>
          <w:sz w:val="22"/>
          <w:szCs w:val="22"/>
        </w:rPr>
        <w:t xml:space="preserve"> voldoen.</w:t>
      </w:r>
      <w:r w:rsidRPr="0015637D">
        <w:rPr>
          <w:rFonts w:ascii="Times New Roman" w:hAnsi="Times New Roman" w:cs="Times New Roman"/>
          <w:sz w:val="22"/>
          <w:szCs w:val="22"/>
        </w:rPr>
        <w:t xml:space="preserve"> </w:t>
      </w:r>
      <w:r w:rsidRPr="00932879">
        <w:rPr>
          <w:rFonts w:ascii="Times New Roman" w:hAnsi="Times New Roman" w:cs="Times New Roman"/>
          <w:sz w:val="22"/>
          <w:szCs w:val="22"/>
        </w:rPr>
        <w:t xml:space="preserve">Op individueel dossierniveau </w:t>
      </w:r>
      <w:r>
        <w:rPr>
          <w:rFonts w:ascii="Times New Roman" w:hAnsi="Times New Roman" w:cs="Times New Roman"/>
          <w:sz w:val="22"/>
          <w:szCs w:val="22"/>
        </w:rPr>
        <w:t xml:space="preserve">kunnen </w:t>
      </w:r>
      <w:r w:rsidRPr="00932879">
        <w:rPr>
          <w:rFonts w:ascii="Times New Roman" w:hAnsi="Times New Roman" w:cs="Times New Roman"/>
          <w:sz w:val="22"/>
          <w:szCs w:val="22"/>
        </w:rPr>
        <w:t xml:space="preserve"> consulent</w:t>
      </w:r>
      <w:r>
        <w:rPr>
          <w:rFonts w:ascii="Times New Roman" w:hAnsi="Times New Roman" w:cs="Times New Roman"/>
          <w:sz w:val="22"/>
          <w:szCs w:val="22"/>
        </w:rPr>
        <w:t>en</w:t>
      </w:r>
      <w:r w:rsidRPr="00932879">
        <w:rPr>
          <w:rFonts w:ascii="Times New Roman" w:hAnsi="Times New Roman" w:cs="Times New Roman"/>
          <w:sz w:val="22"/>
          <w:szCs w:val="22"/>
        </w:rPr>
        <w:t xml:space="preserve"> zien hoeveel vacatures de werkzoekende via deze weg heeft ontvangen</w:t>
      </w:r>
      <w:r>
        <w:rPr>
          <w:rFonts w:ascii="Times New Roman" w:hAnsi="Times New Roman" w:cs="Times New Roman"/>
          <w:sz w:val="22"/>
          <w:szCs w:val="22"/>
        </w:rPr>
        <w:t>, maar algemene cijfers zijn hierover niet beschikbaar.</w:t>
      </w:r>
    </w:p>
    <w:p w:rsidR="0015637D" w:rsidRPr="0015637D" w:rsidRDefault="0015637D" w:rsidP="0015637D">
      <w:pPr>
        <w:pStyle w:val="Default"/>
        <w:numPr>
          <w:ilvl w:val="1"/>
          <w:numId w:val="9"/>
        </w:numPr>
        <w:jc w:val="both"/>
        <w:rPr>
          <w:rFonts w:ascii="Times New Roman" w:hAnsi="Times New Roman" w:cs="Times New Roman"/>
          <w:color w:val="auto"/>
          <w:sz w:val="22"/>
          <w:szCs w:val="22"/>
        </w:rPr>
      </w:pPr>
      <w:r>
        <w:rPr>
          <w:rFonts w:ascii="Times New Roman" w:hAnsi="Times New Roman" w:cs="Times New Roman"/>
          <w:sz w:val="22"/>
          <w:szCs w:val="22"/>
        </w:rPr>
        <w:t xml:space="preserve">Op eigen initiatief bezorgt de VDAB aan werkzoekende 50-plussers enkel vacatures die gevalideerd werden door speciale 50+consulenten. Dit in navolging van het VESOC-akkoord </w:t>
      </w:r>
      <w:r w:rsidRPr="00932879">
        <w:rPr>
          <w:rFonts w:ascii="Times New Roman" w:hAnsi="Times New Roman" w:cs="Times New Roman"/>
          <w:sz w:val="22"/>
          <w:szCs w:val="22"/>
        </w:rPr>
        <w:t>‘Samen op de bres voor 50+’</w:t>
      </w:r>
      <w:r>
        <w:rPr>
          <w:rFonts w:ascii="Times New Roman" w:hAnsi="Times New Roman" w:cs="Times New Roman"/>
          <w:sz w:val="22"/>
          <w:szCs w:val="22"/>
        </w:rPr>
        <w:t>. Deze gevalideerde vacatures kunnen aan werkzoekende 50-plussers aangereikt worden als mededeling, of als verwijzing. Bij een mededeling wordt de vacature aan de 50-plusser aangeboden zonder verplichting om hierop te solliciteren. Of de werkzoekende op deze vacature solliciteert of niet wordt ook niet geregistreerd.</w:t>
      </w:r>
    </w:p>
    <w:p w:rsidR="0015637D" w:rsidRDefault="0015637D" w:rsidP="0015637D">
      <w:pPr>
        <w:pStyle w:val="Default"/>
        <w:numPr>
          <w:ilvl w:val="1"/>
          <w:numId w:val="9"/>
        </w:numPr>
        <w:jc w:val="both"/>
        <w:rPr>
          <w:rFonts w:ascii="Times New Roman" w:hAnsi="Times New Roman" w:cs="Times New Roman"/>
          <w:sz w:val="22"/>
          <w:szCs w:val="22"/>
        </w:rPr>
      </w:pPr>
      <w:r>
        <w:rPr>
          <w:rFonts w:ascii="Times New Roman" w:hAnsi="Times New Roman" w:cs="Times New Roman"/>
          <w:sz w:val="22"/>
          <w:szCs w:val="22"/>
        </w:rPr>
        <w:t xml:space="preserve">Bij een verwijzing wordt met de werkzoekende 50-plusser afgesproken dat hij/zij moet solliciteren op de vacature. </w:t>
      </w:r>
      <w:r w:rsidR="00C81594">
        <w:rPr>
          <w:rFonts w:ascii="Times New Roman" w:hAnsi="Times New Roman" w:cs="Times New Roman"/>
          <w:sz w:val="22"/>
          <w:szCs w:val="22"/>
        </w:rPr>
        <w:t xml:space="preserve">Enkel deze verwijzingen worden </w:t>
      </w:r>
      <w:r w:rsidRPr="00932879">
        <w:rPr>
          <w:rFonts w:ascii="Times New Roman" w:hAnsi="Times New Roman" w:cs="Times New Roman"/>
          <w:sz w:val="22"/>
          <w:szCs w:val="22"/>
        </w:rPr>
        <w:t xml:space="preserve">door de VDAB </w:t>
      </w:r>
      <w:r w:rsidR="00C81594">
        <w:rPr>
          <w:rFonts w:ascii="Times New Roman" w:hAnsi="Times New Roman" w:cs="Times New Roman"/>
          <w:sz w:val="22"/>
          <w:szCs w:val="22"/>
        </w:rPr>
        <w:t>bijgehouden in het werkzoekendendossier</w:t>
      </w:r>
      <w:r w:rsidRPr="00932879">
        <w:rPr>
          <w:rFonts w:ascii="Times New Roman" w:hAnsi="Times New Roman" w:cs="Times New Roman"/>
          <w:sz w:val="22"/>
          <w:szCs w:val="22"/>
        </w:rPr>
        <w:t>. Deze gegevens zijn opgenomen in onderstaande tabel.</w:t>
      </w:r>
      <w:r>
        <w:rPr>
          <w:rFonts w:ascii="Times New Roman" w:hAnsi="Times New Roman" w:cs="Times New Roman"/>
          <w:sz w:val="22"/>
          <w:szCs w:val="22"/>
        </w:rPr>
        <w:t xml:space="preserve"> De cijfers hebben</w:t>
      </w:r>
      <w:r w:rsidRPr="00932879">
        <w:rPr>
          <w:rFonts w:ascii="Times New Roman" w:hAnsi="Times New Roman" w:cs="Times New Roman"/>
          <w:sz w:val="22"/>
          <w:szCs w:val="22"/>
        </w:rPr>
        <w:t xml:space="preserve"> betrekking op het aantal nieuwe bruggepensioneerden die beschikbaar moeten zijn voor de arbeidsmarkt / werkzoekenden SWT. </w:t>
      </w:r>
    </w:p>
    <w:p w:rsidR="0015637D" w:rsidRPr="0015637D" w:rsidRDefault="0015637D" w:rsidP="0015637D">
      <w:pPr>
        <w:pStyle w:val="Default"/>
        <w:ind w:left="1440"/>
        <w:jc w:val="both"/>
        <w:rPr>
          <w:rFonts w:ascii="Times New Roman" w:hAnsi="Times New Roman" w:cs="Times New Roman"/>
          <w:color w:val="auto"/>
          <w:sz w:val="22"/>
          <w:szCs w:val="22"/>
        </w:rPr>
      </w:pPr>
    </w:p>
    <w:p w:rsidR="00EF4C88" w:rsidRPr="00EF4C88" w:rsidRDefault="00597F44" w:rsidP="0079431B">
      <w:pPr>
        <w:pStyle w:val="Default"/>
        <w:ind w:left="426"/>
        <w:jc w:val="both"/>
        <w:rPr>
          <w:rFonts w:ascii="Times New Roman" w:hAnsi="Times New Roman" w:cs="Times New Roman"/>
          <w:color w:val="auto"/>
          <w:sz w:val="22"/>
          <w:szCs w:val="22"/>
        </w:rPr>
      </w:pPr>
      <w:r w:rsidRPr="00932879">
        <w:rPr>
          <w:rFonts w:ascii="Times New Roman" w:hAnsi="Times New Roman" w:cs="Times New Roman"/>
          <w:sz w:val="22"/>
          <w:szCs w:val="22"/>
        </w:rPr>
        <w:t xml:space="preserve"> </w:t>
      </w:r>
    </w:p>
    <w:p w:rsidR="00EF4C88" w:rsidRDefault="00EF4C88" w:rsidP="00EF4C88">
      <w:pPr>
        <w:pStyle w:val="Default"/>
        <w:ind w:left="426"/>
        <w:jc w:val="both"/>
        <w:rPr>
          <w:rFonts w:ascii="Times New Roman" w:hAnsi="Times New Roman" w:cs="Times New Roman"/>
          <w:sz w:val="22"/>
          <w:szCs w:val="22"/>
        </w:rPr>
      </w:pPr>
    </w:p>
    <w:p w:rsidR="00EF4C88" w:rsidRDefault="00EF4C88" w:rsidP="00EF4C88">
      <w:pPr>
        <w:pStyle w:val="Default"/>
        <w:ind w:left="426"/>
        <w:jc w:val="both"/>
        <w:rPr>
          <w:rFonts w:ascii="Times New Roman" w:hAnsi="Times New Roman" w:cs="Times New Roman"/>
          <w:sz w:val="22"/>
          <w:szCs w:val="22"/>
        </w:rPr>
      </w:pPr>
    </w:p>
    <w:p w:rsidR="00EF4C88" w:rsidRDefault="00EF4C88" w:rsidP="00EF4C88">
      <w:pPr>
        <w:pStyle w:val="Default"/>
        <w:ind w:left="426"/>
        <w:jc w:val="both"/>
        <w:rPr>
          <w:rFonts w:ascii="Times New Roman" w:hAnsi="Times New Roman" w:cs="Times New Roman"/>
          <w:sz w:val="22"/>
          <w:szCs w:val="22"/>
        </w:rPr>
      </w:pPr>
    </w:p>
    <w:p w:rsidR="00EF4C88" w:rsidRDefault="00EF4C88" w:rsidP="00EF4C88">
      <w:pPr>
        <w:pStyle w:val="Default"/>
        <w:ind w:left="426"/>
        <w:jc w:val="both"/>
        <w:rPr>
          <w:rFonts w:ascii="Times New Roman" w:hAnsi="Times New Roman" w:cs="Times New Roman"/>
          <w:sz w:val="22"/>
          <w:szCs w:val="22"/>
        </w:rPr>
      </w:pPr>
    </w:p>
    <w:p w:rsidR="00EF4C88" w:rsidRDefault="00EF4C88" w:rsidP="00EF4C88">
      <w:pPr>
        <w:pStyle w:val="Default"/>
        <w:ind w:left="426"/>
        <w:jc w:val="both"/>
        <w:rPr>
          <w:rFonts w:ascii="Times New Roman" w:hAnsi="Times New Roman" w:cs="Times New Roman"/>
          <w:sz w:val="22"/>
          <w:szCs w:val="22"/>
        </w:rPr>
      </w:pPr>
    </w:p>
    <w:p w:rsidR="00EF4C88" w:rsidRDefault="00EF4C88" w:rsidP="00EF4C88">
      <w:pPr>
        <w:pStyle w:val="Default"/>
        <w:ind w:left="426"/>
        <w:jc w:val="both"/>
        <w:rPr>
          <w:rFonts w:ascii="Times New Roman" w:hAnsi="Times New Roman" w:cs="Times New Roman"/>
          <w:sz w:val="22"/>
          <w:szCs w:val="22"/>
        </w:rPr>
      </w:pPr>
    </w:p>
    <w:p w:rsidR="00EF4C88" w:rsidRPr="00932879" w:rsidRDefault="00EF4C88" w:rsidP="00EF4C88">
      <w:pPr>
        <w:pStyle w:val="Default"/>
        <w:ind w:left="426"/>
        <w:jc w:val="both"/>
        <w:rPr>
          <w:rFonts w:ascii="Times New Roman" w:hAnsi="Times New Roman" w:cs="Times New Roman"/>
          <w:color w:val="auto"/>
          <w:sz w:val="22"/>
          <w:szCs w:val="22"/>
        </w:rPr>
      </w:pPr>
    </w:p>
    <w:p w:rsidR="00932879" w:rsidRPr="00932879" w:rsidRDefault="00932879" w:rsidP="00932879">
      <w:pPr>
        <w:pStyle w:val="Default"/>
        <w:ind w:left="426"/>
        <w:jc w:val="both"/>
        <w:rPr>
          <w:rFonts w:ascii="Times New Roman" w:hAnsi="Times New Roman" w:cs="Times New Roman"/>
          <w:color w:val="auto"/>
          <w:sz w:val="22"/>
          <w:szCs w:val="22"/>
        </w:rPr>
      </w:pP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5"/>
        <w:gridCol w:w="2352"/>
        <w:gridCol w:w="2157"/>
        <w:gridCol w:w="2035"/>
      </w:tblGrid>
      <w:tr w:rsidR="00CA2D80" w:rsidRPr="00932879" w:rsidTr="00EF4C88">
        <w:trPr>
          <w:trHeight w:val="567"/>
        </w:trPr>
        <w:tc>
          <w:tcPr>
            <w:tcW w:w="1775" w:type="dxa"/>
            <w:shd w:val="clear" w:color="auto" w:fill="auto"/>
            <w:noWrap/>
            <w:vAlign w:val="center"/>
          </w:tcPr>
          <w:p w:rsidR="00CA2D80" w:rsidRPr="00932879" w:rsidRDefault="00CA2D80" w:rsidP="00F079E4">
            <w:pPr>
              <w:jc w:val="both"/>
              <w:rPr>
                <w:b/>
                <w:sz w:val="22"/>
                <w:szCs w:val="22"/>
              </w:rPr>
            </w:pPr>
            <w:r w:rsidRPr="00932879">
              <w:rPr>
                <w:b/>
                <w:sz w:val="22"/>
                <w:szCs w:val="22"/>
              </w:rPr>
              <w:t>Jaar</w:t>
            </w:r>
          </w:p>
        </w:tc>
        <w:tc>
          <w:tcPr>
            <w:tcW w:w="2352" w:type="dxa"/>
            <w:shd w:val="clear" w:color="auto" w:fill="auto"/>
            <w:noWrap/>
            <w:vAlign w:val="center"/>
          </w:tcPr>
          <w:p w:rsidR="00031ED7" w:rsidRPr="00932879" w:rsidRDefault="00CA2D80" w:rsidP="00F079E4">
            <w:pPr>
              <w:jc w:val="both"/>
              <w:rPr>
                <w:b/>
                <w:sz w:val="22"/>
                <w:szCs w:val="22"/>
              </w:rPr>
            </w:pPr>
            <w:r w:rsidRPr="00932879">
              <w:rPr>
                <w:b/>
                <w:sz w:val="22"/>
                <w:szCs w:val="22"/>
              </w:rPr>
              <w:t>Aantal nieuwe</w:t>
            </w:r>
          </w:p>
          <w:p w:rsidR="00CA2D80" w:rsidRPr="00932879" w:rsidRDefault="00CA2D80" w:rsidP="00F079E4">
            <w:pPr>
              <w:jc w:val="both"/>
              <w:rPr>
                <w:b/>
                <w:sz w:val="22"/>
                <w:szCs w:val="22"/>
              </w:rPr>
            </w:pPr>
            <w:r w:rsidRPr="00932879">
              <w:rPr>
                <w:b/>
                <w:sz w:val="22"/>
                <w:szCs w:val="22"/>
              </w:rPr>
              <w:t>bruggepensioneerden</w:t>
            </w:r>
          </w:p>
        </w:tc>
        <w:tc>
          <w:tcPr>
            <w:tcW w:w="2157" w:type="dxa"/>
            <w:shd w:val="clear" w:color="auto" w:fill="auto"/>
            <w:noWrap/>
            <w:vAlign w:val="center"/>
          </w:tcPr>
          <w:p w:rsidR="00CA2D80" w:rsidRPr="00932879" w:rsidRDefault="001060B2" w:rsidP="001060B2">
            <w:pPr>
              <w:rPr>
                <w:b/>
                <w:sz w:val="22"/>
                <w:szCs w:val="22"/>
              </w:rPr>
            </w:pPr>
            <w:r w:rsidRPr="00932879">
              <w:rPr>
                <w:b/>
                <w:sz w:val="22"/>
                <w:szCs w:val="22"/>
              </w:rPr>
              <w:t xml:space="preserve">Aantal verwijzingen </w:t>
            </w:r>
          </w:p>
        </w:tc>
        <w:tc>
          <w:tcPr>
            <w:tcW w:w="1795" w:type="dxa"/>
            <w:vAlign w:val="center"/>
          </w:tcPr>
          <w:p w:rsidR="00CA2D80" w:rsidRPr="00932879" w:rsidRDefault="00EF4C88" w:rsidP="00F079E4">
            <w:pPr>
              <w:jc w:val="both"/>
              <w:rPr>
                <w:b/>
                <w:sz w:val="22"/>
                <w:szCs w:val="22"/>
              </w:rPr>
            </w:pPr>
            <w:r>
              <w:rPr>
                <w:b/>
                <w:sz w:val="22"/>
                <w:szCs w:val="22"/>
              </w:rPr>
              <w:t>Verwijzingen per bruggepensioneerde (gemiddeld)</w:t>
            </w:r>
          </w:p>
        </w:tc>
      </w:tr>
      <w:tr w:rsidR="00CA2D80" w:rsidRPr="00932879" w:rsidTr="00EF4C88">
        <w:trPr>
          <w:trHeight w:val="255"/>
        </w:trPr>
        <w:tc>
          <w:tcPr>
            <w:tcW w:w="1775" w:type="dxa"/>
            <w:shd w:val="clear" w:color="auto" w:fill="auto"/>
            <w:noWrap/>
            <w:vAlign w:val="bottom"/>
          </w:tcPr>
          <w:p w:rsidR="00CA2D80" w:rsidRPr="00932879" w:rsidRDefault="00CA2D80" w:rsidP="00F079E4">
            <w:pPr>
              <w:jc w:val="both"/>
              <w:rPr>
                <w:b/>
                <w:sz w:val="22"/>
                <w:szCs w:val="22"/>
              </w:rPr>
            </w:pPr>
            <w:r w:rsidRPr="00932879">
              <w:rPr>
                <w:b/>
                <w:sz w:val="22"/>
                <w:szCs w:val="22"/>
              </w:rPr>
              <w:t>2008</w:t>
            </w:r>
          </w:p>
        </w:tc>
        <w:tc>
          <w:tcPr>
            <w:tcW w:w="2352" w:type="dxa"/>
            <w:shd w:val="clear" w:color="auto" w:fill="auto"/>
            <w:noWrap/>
            <w:vAlign w:val="bottom"/>
          </w:tcPr>
          <w:p w:rsidR="00CA2D80" w:rsidRPr="00932879" w:rsidRDefault="00CA2D80" w:rsidP="00F079E4">
            <w:pPr>
              <w:jc w:val="both"/>
              <w:rPr>
                <w:sz w:val="22"/>
                <w:szCs w:val="22"/>
              </w:rPr>
            </w:pPr>
            <w:r w:rsidRPr="00932879">
              <w:rPr>
                <w:sz w:val="22"/>
                <w:szCs w:val="22"/>
              </w:rPr>
              <w:t>1117</w:t>
            </w:r>
          </w:p>
        </w:tc>
        <w:tc>
          <w:tcPr>
            <w:tcW w:w="2157" w:type="dxa"/>
            <w:shd w:val="clear" w:color="auto" w:fill="auto"/>
            <w:noWrap/>
            <w:vAlign w:val="bottom"/>
          </w:tcPr>
          <w:p w:rsidR="00CA2D80" w:rsidRPr="00932879" w:rsidRDefault="00CA2D80" w:rsidP="00F079E4">
            <w:pPr>
              <w:jc w:val="both"/>
              <w:rPr>
                <w:sz w:val="22"/>
                <w:szCs w:val="22"/>
              </w:rPr>
            </w:pPr>
            <w:r w:rsidRPr="00932879">
              <w:rPr>
                <w:sz w:val="22"/>
                <w:szCs w:val="22"/>
              </w:rPr>
              <w:t>149</w:t>
            </w:r>
          </w:p>
        </w:tc>
        <w:tc>
          <w:tcPr>
            <w:tcW w:w="1795" w:type="dxa"/>
            <w:vAlign w:val="center"/>
          </w:tcPr>
          <w:p w:rsidR="00CA2D80" w:rsidRPr="00932879" w:rsidRDefault="00CA2D80" w:rsidP="00F079E4">
            <w:pPr>
              <w:jc w:val="both"/>
              <w:rPr>
                <w:sz w:val="22"/>
                <w:szCs w:val="22"/>
              </w:rPr>
            </w:pPr>
            <w:r w:rsidRPr="00932879">
              <w:rPr>
                <w:sz w:val="22"/>
                <w:szCs w:val="22"/>
              </w:rPr>
              <w:t>0,13</w:t>
            </w:r>
          </w:p>
        </w:tc>
      </w:tr>
      <w:tr w:rsidR="00CA2D80" w:rsidRPr="00932879" w:rsidTr="00EF4C88">
        <w:trPr>
          <w:trHeight w:val="255"/>
        </w:trPr>
        <w:tc>
          <w:tcPr>
            <w:tcW w:w="1775" w:type="dxa"/>
            <w:shd w:val="clear" w:color="auto" w:fill="auto"/>
            <w:noWrap/>
            <w:vAlign w:val="bottom"/>
          </w:tcPr>
          <w:p w:rsidR="00CA2D80" w:rsidRPr="00932879" w:rsidRDefault="00CA2D80" w:rsidP="00F079E4">
            <w:pPr>
              <w:jc w:val="both"/>
              <w:rPr>
                <w:b/>
                <w:sz w:val="22"/>
                <w:szCs w:val="22"/>
              </w:rPr>
            </w:pPr>
            <w:r w:rsidRPr="00932879">
              <w:rPr>
                <w:b/>
                <w:sz w:val="22"/>
                <w:szCs w:val="22"/>
              </w:rPr>
              <w:t>2009</w:t>
            </w:r>
          </w:p>
        </w:tc>
        <w:tc>
          <w:tcPr>
            <w:tcW w:w="2352" w:type="dxa"/>
            <w:shd w:val="clear" w:color="auto" w:fill="auto"/>
            <w:noWrap/>
            <w:vAlign w:val="bottom"/>
          </w:tcPr>
          <w:p w:rsidR="00CA2D80" w:rsidRPr="00932879" w:rsidRDefault="00CA2D80" w:rsidP="00F079E4">
            <w:pPr>
              <w:jc w:val="both"/>
              <w:rPr>
                <w:sz w:val="22"/>
                <w:szCs w:val="22"/>
              </w:rPr>
            </w:pPr>
            <w:r w:rsidRPr="00932879">
              <w:rPr>
                <w:sz w:val="22"/>
                <w:szCs w:val="22"/>
              </w:rPr>
              <w:t>705</w:t>
            </w:r>
          </w:p>
        </w:tc>
        <w:tc>
          <w:tcPr>
            <w:tcW w:w="2157" w:type="dxa"/>
            <w:shd w:val="clear" w:color="auto" w:fill="auto"/>
            <w:noWrap/>
            <w:vAlign w:val="bottom"/>
          </w:tcPr>
          <w:p w:rsidR="00CA2D80" w:rsidRPr="00932879" w:rsidRDefault="00CA2D80" w:rsidP="00F079E4">
            <w:pPr>
              <w:jc w:val="both"/>
              <w:rPr>
                <w:sz w:val="22"/>
                <w:szCs w:val="22"/>
              </w:rPr>
            </w:pPr>
            <w:r w:rsidRPr="00932879">
              <w:rPr>
                <w:sz w:val="22"/>
                <w:szCs w:val="22"/>
              </w:rPr>
              <w:t>91</w:t>
            </w:r>
          </w:p>
        </w:tc>
        <w:tc>
          <w:tcPr>
            <w:tcW w:w="1795" w:type="dxa"/>
            <w:vAlign w:val="center"/>
          </w:tcPr>
          <w:p w:rsidR="00CA2D80" w:rsidRPr="00932879" w:rsidRDefault="00CA2D80" w:rsidP="00F079E4">
            <w:pPr>
              <w:jc w:val="both"/>
              <w:rPr>
                <w:sz w:val="22"/>
                <w:szCs w:val="22"/>
              </w:rPr>
            </w:pPr>
            <w:r w:rsidRPr="00932879">
              <w:rPr>
                <w:sz w:val="22"/>
                <w:szCs w:val="22"/>
              </w:rPr>
              <w:t>0,13</w:t>
            </w:r>
          </w:p>
        </w:tc>
      </w:tr>
      <w:tr w:rsidR="00CA2D80" w:rsidRPr="00932879" w:rsidTr="00EF4C88">
        <w:trPr>
          <w:trHeight w:val="255"/>
        </w:trPr>
        <w:tc>
          <w:tcPr>
            <w:tcW w:w="1775" w:type="dxa"/>
            <w:shd w:val="clear" w:color="auto" w:fill="auto"/>
            <w:noWrap/>
            <w:vAlign w:val="bottom"/>
          </w:tcPr>
          <w:p w:rsidR="00CA2D80" w:rsidRPr="00932879" w:rsidRDefault="00CA2D80" w:rsidP="00F079E4">
            <w:pPr>
              <w:jc w:val="both"/>
              <w:rPr>
                <w:b/>
                <w:sz w:val="22"/>
                <w:szCs w:val="22"/>
              </w:rPr>
            </w:pPr>
            <w:r w:rsidRPr="00932879">
              <w:rPr>
                <w:b/>
                <w:sz w:val="22"/>
                <w:szCs w:val="22"/>
              </w:rPr>
              <w:t>2010</w:t>
            </w:r>
          </w:p>
        </w:tc>
        <w:tc>
          <w:tcPr>
            <w:tcW w:w="2352" w:type="dxa"/>
            <w:shd w:val="clear" w:color="auto" w:fill="auto"/>
            <w:noWrap/>
            <w:vAlign w:val="bottom"/>
          </w:tcPr>
          <w:p w:rsidR="00CA2D80" w:rsidRPr="00932879" w:rsidRDefault="00CA2D80" w:rsidP="00F079E4">
            <w:pPr>
              <w:jc w:val="both"/>
              <w:rPr>
                <w:sz w:val="22"/>
                <w:szCs w:val="22"/>
              </w:rPr>
            </w:pPr>
            <w:r w:rsidRPr="00932879">
              <w:rPr>
                <w:sz w:val="22"/>
                <w:szCs w:val="22"/>
              </w:rPr>
              <w:t>861</w:t>
            </w:r>
          </w:p>
        </w:tc>
        <w:tc>
          <w:tcPr>
            <w:tcW w:w="2157" w:type="dxa"/>
            <w:shd w:val="clear" w:color="auto" w:fill="auto"/>
            <w:noWrap/>
            <w:vAlign w:val="bottom"/>
          </w:tcPr>
          <w:p w:rsidR="00CA2D80" w:rsidRPr="00932879" w:rsidRDefault="00CA2D80" w:rsidP="00F079E4">
            <w:pPr>
              <w:jc w:val="both"/>
              <w:rPr>
                <w:sz w:val="22"/>
                <w:szCs w:val="22"/>
              </w:rPr>
            </w:pPr>
            <w:r w:rsidRPr="00932879">
              <w:rPr>
                <w:sz w:val="22"/>
                <w:szCs w:val="22"/>
              </w:rPr>
              <w:t>128</w:t>
            </w:r>
          </w:p>
        </w:tc>
        <w:tc>
          <w:tcPr>
            <w:tcW w:w="1795" w:type="dxa"/>
            <w:vAlign w:val="center"/>
          </w:tcPr>
          <w:p w:rsidR="00CA2D80" w:rsidRPr="00932879" w:rsidRDefault="00CA2D80" w:rsidP="00F079E4">
            <w:pPr>
              <w:jc w:val="both"/>
              <w:rPr>
                <w:sz w:val="22"/>
                <w:szCs w:val="22"/>
              </w:rPr>
            </w:pPr>
            <w:r w:rsidRPr="00932879">
              <w:rPr>
                <w:sz w:val="22"/>
                <w:szCs w:val="22"/>
              </w:rPr>
              <w:t>0,15</w:t>
            </w:r>
          </w:p>
        </w:tc>
      </w:tr>
      <w:tr w:rsidR="00CA2D80" w:rsidRPr="00932879" w:rsidTr="00EF4C88">
        <w:trPr>
          <w:trHeight w:val="255"/>
        </w:trPr>
        <w:tc>
          <w:tcPr>
            <w:tcW w:w="1775" w:type="dxa"/>
            <w:shd w:val="clear" w:color="auto" w:fill="auto"/>
            <w:noWrap/>
            <w:vAlign w:val="bottom"/>
          </w:tcPr>
          <w:p w:rsidR="00CA2D80" w:rsidRPr="00932879" w:rsidRDefault="00CA2D80" w:rsidP="00F079E4">
            <w:pPr>
              <w:jc w:val="both"/>
              <w:rPr>
                <w:b/>
                <w:sz w:val="22"/>
                <w:szCs w:val="22"/>
              </w:rPr>
            </w:pPr>
            <w:r w:rsidRPr="00932879">
              <w:rPr>
                <w:b/>
                <w:sz w:val="22"/>
                <w:szCs w:val="22"/>
              </w:rPr>
              <w:t>2011</w:t>
            </w:r>
          </w:p>
        </w:tc>
        <w:tc>
          <w:tcPr>
            <w:tcW w:w="2352" w:type="dxa"/>
            <w:shd w:val="clear" w:color="auto" w:fill="auto"/>
            <w:noWrap/>
            <w:vAlign w:val="bottom"/>
          </w:tcPr>
          <w:p w:rsidR="00CA2D80" w:rsidRPr="00932879" w:rsidRDefault="00CA2D80" w:rsidP="00F079E4">
            <w:pPr>
              <w:jc w:val="both"/>
              <w:rPr>
                <w:sz w:val="22"/>
                <w:szCs w:val="22"/>
              </w:rPr>
            </w:pPr>
            <w:r w:rsidRPr="00932879">
              <w:rPr>
                <w:sz w:val="22"/>
                <w:szCs w:val="22"/>
              </w:rPr>
              <w:t>1033</w:t>
            </w:r>
          </w:p>
        </w:tc>
        <w:tc>
          <w:tcPr>
            <w:tcW w:w="2157" w:type="dxa"/>
            <w:shd w:val="clear" w:color="auto" w:fill="auto"/>
            <w:noWrap/>
            <w:vAlign w:val="bottom"/>
          </w:tcPr>
          <w:p w:rsidR="00CA2D80" w:rsidRPr="00932879" w:rsidRDefault="00CA2D80" w:rsidP="00F079E4">
            <w:pPr>
              <w:jc w:val="both"/>
              <w:rPr>
                <w:sz w:val="22"/>
                <w:szCs w:val="22"/>
              </w:rPr>
            </w:pPr>
            <w:r w:rsidRPr="00932879">
              <w:rPr>
                <w:sz w:val="22"/>
                <w:szCs w:val="22"/>
              </w:rPr>
              <w:t>191</w:t>
            </w:r>
          </w:p>
        </w:tc>
        <w:tc>
          <w:tcPr>
            <w:tcW w:w="1795" w:type="dxa"/>
            <w:vAlign w:val="center"/>
          </w:tcPr>
          <w:p w:rsidR="00CA2D80" w:rsidRPr="00932879" w:rsidRDefault="00CA2D80" w:rsidP="00F079E4">
            <w:pPr>
              <w:jc w:val="both"/>
              <w:rPr>
                <w:sz w:val="22"/>
                <w:szCs w:val="22"/>
              </w:rPr>
            </w:pPr>
            <w:r w:rsidRPr="00932879">
              <w:rPr>
                <w:sz w:val="22"/>
                <w:szCs w:val="22"/>
              </w:rPr>
              <w:t>0,18</w:t>
            </w:r>
          </w:p>
        </w:tc>
      </w:tr>
      <w:tr w:rsidR="00CA2D80" w:rsidRPr="00932879" w:rsidTr="00EF4C88">
        <w:trPr>
          <w:trHeight w:val="255"/>
        </w:trPr>
        <w:tc>
          <w:tcPr>
            <w:tcW w:w="1775" w:type="dxa"/>
            <w:shd w:val="clear" w:color="auto" w:fill="auto"/>
            <w:noWrap/>
            <w:vAlign w:val="bottom"/>
          </w:tcPr>
          <w:p w:rsidR="00CA2D80" w:rsidRPr="00932879" w:rsidRDefault="00031ED7" w:rsidP="00F079E4">
            <w:pPr>
              <w:jc w:val="both"/>
              <w:rPr>
                <w:b/>
                <w:sz w:val="22"/>
                <w:szCs w:val="22"/>
              </w:rPr>
            </w:pPr>
            <w:r w:rsidRPr="00932879">
              <w:rPr>
                <w:b/>
                <w:sz w:val="22"/>
                <w:szCs w:val="22"/>
              </w:rPr>
              <w:t>Jan – A</w:t>
            </w:r>
            <w:r w:rsidR="00CA2D80" w:rsidRPr="00932879">
              <w:rPr>
                <w:b/>
                <w:sz w:val="22"/>
                <w:szCs w:val="22"/>
              </w:rPr>
              <w:t>pril 2012</w:t>
            </w:r>
          </w:p>
        </w:tc>
        <w:tc>
          <w:tcPr>
            <w:tcW w:w="2352" w:type="dxa"/>
            <w:shd w:val="clear" w:color="auto" w:fill="auto"/>
            <w:noWrap/>
            <w:vAlign w:val="bottom"/>
          </w:tcPr>
          <w:p w:rsidR="00CA2D80" w:rsidRPr="00932879" w:rsidRDefault="00CA2D80" w:rsidP="00F079E4">
            <w:pPr>
              <w:jc w:val="both"/>
              <w:rPr>
                <w:sz w:val="22"/>
                <w:szCs w:val="22"/>
              </w:rPr>
            </w:pPr>
            <w:r w:rsidRPr="00932879">
              <w:rPr>
                <w:sz w:val="22"/>
                <w:szCs w:val="22"/>
              </w:rPr>
              <w:t>103</w:t>
            </w:r>
          </w:p>
        </w:tc>
        <w:tc>
          <w:tcPr>
            <w:tcW w:w="2157" w:type="dxa"/>
            <w:shd w:val="clear" w:color="auto" w:fill="auto"/>
            <w:noWrap/>
            <w:vAlign w:val="bottom"/>
          </w:tcPr>
          <w:p w:rsidR="00CA2D80" w:rsidRPr="00932879" w:rsidRDefault="00CA2D80" w:rsidP="00F079E4">
            <w:pPr>
              <w:jc w:val="both"/>
              <w:rPr>
                <w:sz w:val="22"/>
                <w:szCs w:val="22"/>
              </w:rPr>
            </w:pPr>
            <w:r w:rsidRPr="00932879">
              <w:rPr>
                <w:sz w:val="22"/>
                <w:szCs w:val="22"/>
              </w:rPr>
              <w:t>5</w:t>
            </w:r>
          </w:p>
        </w:tc>
        <w:tc>
          <w:tcPr>
            <w:tcW w:w="1795" w:type="dxa"/>
            <w:vAlign w:val="center"/>
          </w:tcPr>
          <w:p w:rsidR="00CA2D80" w:rsidRPr="00932879" w:rsidRDefault="00CA2D80" w:rsidP="00F079E4">
            <w:pPr>
              <w:jc w:val="both"/>
              <w:rPr>
                <w:sz w:val="22"/>
                <w:szCs w:val="22"/>
              </w:rPr>
            </w:pPr>
            <w:r w:rsidRPr="00932879">
              <w:rPr>
                <w:sz w:val="22"/>
                <w:szCs w:val="22"/>
              </w:rPr>
              <w:t>0,05</w:t>
            </w:r>
          </w:p>
        </w:tc>
      </w:tr>
      <w:tr w:rsidR="00CA2D80" w:rsidRPr="00932879" w:rsidTr="00EF4C88">
        <w:trPr>
          <w:trHeight w:val="255"/>
        </w:trPr>
        <w:tc>
          <w:tcPr>
            <w:tcW w:w="1775" w:type="dxa"/>
            <w:shd w:val="clear" w:color="auto" w:fill="auto"/>
            <w:noWrap/>
            <w:vAlign w:val="bottom"/>
          </w:tcPr>
          <w:p w:rsidR="00CA2D80" w:rsidRPr="00EF4C88" w:rsidRDefault="00CA2D80" w:rsidP="00F079E4">
            <w:pPr>
              <w:jc w:val="both"/>
              <w:rPr>
                <w:b/>
                <w:sz w:val="22"/>
                <w:szCs w:val="22"/>
              </w:rPr>
            </w:pPr>
            <w:r w:rsidRPr="00EF4C88">
              <w:rPr>
                <w:b/>
                <w:sz w:val="22"/>
                <w:szCs w:val="22"/>
              </w:rPr>
              <w:t>Eindtotaal</w:t>
            </w:r>
          </w:p>
        </w:tc>
        <w:tc>
          <w:tcPr>
            <w:tcW w:w="2352" w:type="dxa"/>
            <w:shd w:val="clear" w:color="auto" w:fill="auto"/>
            <w:noWrap/>
            <w:vAlign w:val="bottom"/>
          </w:tcPr>
          <w:p w:rsidR="00CA2D80" w:rsidRPr="00EF4C88" w:rsidRDefault="00CA2D80" w:rsidP="00F079E4">
            <w:pPr>
              <w:jc w:val="both"/>
              <w:rPr>
                <w:sz w:val="22"/>
                <w:szCs w:val="22"/>
              </w:rPr>
            </w:pPr>
            <w:r w:rsidRPr="00EF4C88">
              <w:rPr>
                <w:sz w:val="22"/>
                <w:szCs w:val="22"/>
              </w:rPr>
              <w:t>3819</w:t>
            </w:r>
          </w:p>
        </w:tc>
        <w:tc>
          <w:tcPr>
            <w:tcW w:w="2157" w:type="dxa"/>
            <w:shd w:val="clear" w:color="auto" w:fill="auto"/>
            <w:noWrap/>
            <w:vAlign w:val="bottom"/>
          </w:tcPr>
          <w:p w:rsidR="00CA2D80" w:rsidRPr="00EF4C88" w:rsidRDefault="00CA2D80" w:rsidP="00F079E4">
            <w:pPr>
              <w:jc w:val="both"/>
              <w:rPr>
                <w:sz w:val="22"/>
                <w:szCs w:val="22"/>
              </w:rPr>
            </w:pPr>
            <w:r w:rsidRPr="00EF4C88">
              <w:rPr>
                <w:sz w:val="22"/>
                <w:szCs w:val="22"/>
              </w:rPr>
              <w:t>564</w:t>
            </w:r>
          </w:p>
        </w:tc>
        <w:tc>
          <w:tcPr>
            <w:tcW w:w="1795" w:type="dxa"/>
            <w:vAlign w:val="center"/>
          </w:tcPr>
          <w:p w:rsidR="00CA2D80" w:rsidRPr="00EF4C88" w:rsidRDefault="00CA2D80" w:rsidP="00F079E4">
            <w:pPr>
              <w:jc w:val="both"/>
              <w:rPr>
                <w:sz w:val="22"/>
                <w:szCs w:val="22"/>
              </w:rPr>
            </w:pPr>
            <w:r w:rsidRPr="00EF4C88">
              <w:rPr>
                <w:sz w:val="22"/>
                <w:szCs w:val="22"/>
              </w:rPr>
              <w:t>0,15</w:t>
            </w:r>
          </w:p>
        </w:tc>
      </w:tr>
    </w:tbl>
    <w:p w:rsidR="005E6CE9" w:rsidRPr="00932879" w:rsidRDefault="005E6CE9" w:rsidP="00F079E4">
      <w:pPr>
        <w:jc w:val="both"/>
        <w:rPr>
          <w:sz w:val="22"/>
          <w:szCs w:val="22"/>
        </w:rPr>
      </w:pPr>
    </w:p>
    <w:p w:rsidR="00C76404" w:rsidRPr="00932879" w:rsidRDefault="00C76404" w:rsidP="00F079E4">
      <w:pPr>
        <w:jc w:val="both"/>
        <w:rPr>
          <w:sz w:val="22"/>
          <w:szCs w:val="22"/>
        </w:rPr>
      </w:pPr>
    </w:p>
    <w:p w:rsidR="00110064" w:rsidRDefault="00031ED7" w:rsidP="00F079E4">
      <w:pPr>
        <w:numPr>
          <w:ilvl w:val="0"/>
          <w:numId w:val="9"/>
        </w:numPr>
        <w:ind w:left="426" w:hanging="426"/>
        <w:jc w:val="both"/>
        <w:rPr>
          <w:sz w:val="22"/>
          <w:szCs w:val="22"/>
        </w:rPr>
      </w:pPr>
      <w:r w:rsidRPr="00EF4C88">
        <w:rPr>
          <w:sz w:val="22"/>
          <w:szCs w:val="22"/>
        </w:rPr>
        <w:t>In 2011 ontvingen 5 bruggepensioneerden die nog beschikbaar mo</w:t>
      </w:r>
      <w:r w:rsidR="00EF4C88">
        <w:rPr>
          <w:sz w:val="22"/>
          <w:szCs w:val="22"/>
        </w:rPr>
        <w:t>e</w:t>
      </w:r>
      <w:r w:rsidRPr="00EF4C88">
        <w:rPr>
          <w:sz w:val="22"/>
          <w:szCs w:val="22"/>
        </w:rPr>
        <w:t>ten zijn voor de arbeidsmarkt een transmissie.</w:t>
      </w:r>
    </w:p>
    <w:p w:rsidR="00EF4C88" w:rsidRDefault="00EF4C88" w:rsidP="00EF4C88">
      <w:pPr>
        <w:ind w:left="426"/>
        <w:jc w:val="both"/>
        <w:rPr>
          <w:sz w:val="22"/>
          <w:szCs w:val="22"/>
        </w:rPr>
      </w:pPr>
    </w:p>
    <w:p w:rsidR="00EF4C88" w:rsidRDefault="00903326" w:rsidP="00F079E4">
      <w:pPr>
        <w:numPr>
          <w:ilvl w:val="0"/>
          <w:numId w:val="9"/>
        </w:numPr>
        <w:ind w:left="426" w:hanging="426"/>
        <w:jc w:val="both"/>
        <w:rPr>
          <w:sz w:val="22"/>
          <w:szCs w:val="22"/>
        </w:rPr>
      </w:pPr>
      <w:r w:rsidRPr="00EF4C88">
        <w:rPr>
          <w:sz w:val="22"/>
          <w:szCs w:val="22"/>
        </w:rPr>
        <w:t>Transmissie bij 50+ers gebeurt op basis van het herhaaldelijk niet meewerken aan de VDAB-b</w:t>
      </w:r>
      <w:r w:rsidR="00050973" w:rsidRPr="00EF4C88">
        <w:rPr>
          <w:sz w:val="22"/>
          <w:szCs w:val="22"/>
        </w:rPr>
        <w:t>egeleiding, niet op basis van éé</w:t>
      </w:r>
      <w:r w:rsidRPr="00EF4C88">
        <w:rPr>
          <w:sz w:val="22"/>
          <w:szCs w:val="22"/>
        </w:rPr>
        <w:t>nmalige feiten.</w:t>
      </w:r>
      <w:r w:rsidR="00050973" w:rsidRPr="00EF4C88">
        <w:rPr>
          <w:sz w:val="22"/>
          <w:szCs w:val="22"/>
        </w:rPr>
        <w:t xml:space="preserve"> Daarenboven wordt rekening gehouden met de reglementering van passende dienstbetrekking </w:t>
      </w:r>
      <w:r w:rsidR="001060B2" w:rsidRPr="00EF4C88">
        <w:rPr>
          <w:sz w:val="22"/>
          <w:szCs w:val="22"/>
        </w:rPr>
        <w:t>voor</w:t>
      </w:r>
      <w:r w:rsidR="00050973" w:rsidRPr="00EF4C88">
        <w:rPr>
          <w:sz w:val="22"/>
          <w:szCs w:val="22"/>
        </w:rPr>
        <w:t xml:space="preserve"> 50+ers van RVA.</w:t>
      </w:r>
    </w:p>
    <w:p w:rsidR="00EF4C88" w:rsidRDefault="00EF4C88" w:rsidP="00EF4C88">
      <w:pPr>
        <w:pStyle w:val="Lijstalinea"/>
        <w:rPr>
          <w:sz w:val="22"/>
          <w:szCs w:val="22"/>
        </w:rPr>
      </w:pPr>
    </w:p>
    <w:p w:rsidR="00031ED7" w:rsidRDefault="006843D5" w:rsidP="00EF4C88">
      <w:pPr>
        <w:ind w:left="426"/>
        <w:jc w:val="both"/>
        <w:rPr>
          <w:sz w:val="22"/>
          <w:szCs w:val="22"/>
        </w:rPr>
      </w:pPr>
      <w:r w:rsidRPr="00EF4C88">
        <w:rPr>
          <w:sz w:val="22"/>
          <w:szCs w:val="22"/>
        </w:rPr>
        <w:t xml:space="preserve">In 3 gevallen was de reden het niet komen opdagen voor een afspraak, bij 1 persoon berust de transmissie op </w:t>
      </w:r>
      <w:r w:rsidR="00597F44" w:rsidRPr="00EF4C88">
        <w:rPr>
          <w:sz w:val="22"/>
          <w:szCs w:val="22"/>
        </w:rPr>
        <w:t xml:space="preserve">een fout vanwege de </w:t>
      </w:r>
      <w:r w:rsidR="00903326" w:rsidRPr="00EF4C88">
        <w:rPr>
          <w:sz w:val="22"/>
          <w:szCs w:val="22"/>
        </w:rPr>
        <w:t>VDAB (onterecht</w:t>
      </w:r>
      <w:r w:rsidR="00050973" w:rsidRPr="00EF4C88">
        <w:rPr>
          <w:sz w:val="22"/>
          <w:szCs w:val="22"/>
        </w:rPr>
        <w:t>e transmissie) en 1 persoon is niet ingegaan op de vraag om te solliciteren op een vacature terwijl dit zo overeengekomen was met de consulent.</w:t>
      </w:r>
    </w:p>
    <w:p w:rsidR="00EF4C88" w:rsidRDefault="00EF4C88" w:rsidP="00EF4C88">
      <w:pPr>
        <w:ind w:left="426"/>
        <w:jc w:val="both"/>
        <w:rPr>
          <w:sz w:val="22"/>
          <w:szCs w:val="22"/>
        </w:rPr>
      </w:pPr>
    </w:p>
    <w:p w:rsidR="0072700D" w:rsidRPr="002712FC" w:rsidRDefault="00A550D6" w:rsidP="00F079E4">
      <w:pPr>
        <w:numPr>
          <w:ilvl w:val="0"/>
          <w:numId w:val="9"/>
        </w:numPr>
        <w:ind w:left="426" w:hanging="426"/>
        <w:jc w:val="both"/>
        <w:rPr>
          <w:sz w:val="22"/>
          <w:szCs w:val="22"/>
        </w:rPr>
        <w:sectPr w:rsidR="0072700D" w:rsidRPr="002712FC" w:rsidSect="00753CC6">
          <w:type w:val="continuous"/>
          <w:pgSz w:w="11906" w:h="16838"/>
          <w:pgMar w:top="1417" w:right="1417" w:bottom="1417" w:left="1417" w:header="708" w:footer="708" w:gutter="0"/>
          <w:cols w:space="708"/>
          <w:formProt w:val="0"/>
          <w:docGrid w:linePitch="360"/>
        </w:sectPr>
      </w:pPr>
      <w:r w:rsidRPr="002712FC">
        <w:rPr>
          <w:sz w:val="22"/>
          <w:szCs w:val="22"/>
        </w:rPr>
        <w:t>De systematische maatwerkbegeleiding van elke werkzoekende tot 57 jaar via de 50 + clubs blijft de basis voor activering, ook van bruggepensioneerden. Tegelijk zet ik in op een sterke ondersteuning van werkgevers en intermediairs, onder andere via de doorstart van de campagne ‘De juiste stoel’ die nu op kruissnelheid is en werkgevers en consulenten beter leert gebruik maken van de instrumenten die tewerkstelli</w:t>
      </w:r>
      <w:r w:rsidR="002712FC">
        <w:rPr>
          <w:sz w:val="22"/>
          <w:szCs w:val="22"/>
        </w:rPr>
        <w:t>ng van 50 +’</w:t>
      </w:r>
      <w:proofErr w:type="spellStart"/>
      <w:r w:rsidR="002712FC">
        <w:rPr>
          <w:sz w:val="22"/>
          <w:szCs w:val="22"/>
        </w:rPr>
        <w:t>ers</w:t>
      </w:r>
      <w:proofErr w:type="spellEnd"/>
      <w:r w:rsidR="002712FC">
        <w:rPr>
          <w:sz w:val="22"/>
          <w:szCs w:val="22"/>
        </w:rPr>
        <w:t xml:space="preserve"> kan bevorderen.</w:t>
      </w:r>
      <w:bookmarkStart w:id="3" w:name="_GoBack"/>
      <w:bookmarkEnd w:id="3"/>
    </w:p>
    <w:p w:rsidR="00324104" w:rsidRDefault="00324104" w:rsidP="002712FC">
      <w:pPr>
        <w:rPr>
          <w:sz w:val="22"/>
          <w:szCs w:val="22"/>
        </w:rPr>
      </w:pPr>
    </w:p>
    <w:sectPr w:rsidR="00324104" w:rsidSect="00381451">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13A"/>
    <w:multiLevelType w:val="hybridMultilevel"/>
    <w:tmpl w:val="933AB7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123B0E"/>
    <w:multiLevelType w:val="hybridMultilevel"/>
    <w:tmpl w:val="9822FB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1E7DEF"/>
    <w:multiLevelType w:val="hybridMultilevel"/>
    <w:tmpl w:val="A21489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F2D2CDC"/>
    <w:multiLevelType w:val="hybridMultilevel"/>
    <w:tmpl w:val="18E2EA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FC6E34E"/>
    <w:multiLevelType w:val="hybridMultilevel"/>
    <w:tmpl w:val="304ED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F1C6EFE"/>
    <w:multiLevelType w:val="hybridMultilevel"/>
    <w:tmpl w:val="65FE2002"/>
    <w:lvl w:ilvl="0" w:tplc="0813000B">
      <w:start w:val="4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C1C3D01"/>
    <w:multiLevelType w:val="hybridMultilevel"/>
    <w:tmpl w:val="7E9A43B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D535C57"/>
    <w:multiLevelType w:val="hybridMultilevel"/>
    <w:tmpl w:val="6D1E8A0E"/>
    <w:lvl w:ilvl="0" w:tplc="F97804C6">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D660D33"/>
    <w:multiLevelType w:val="hybridMultilevel"/>
    <w:tmpl w:val="4E5C846A"/>
    <w:lvl w:ilvl="0" w:tplc="08130001">
      <w:start w:val="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7"/>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YWffV0dDzxTaZT10pG4cBn2byA=" w:salt="7kRElQRzaFYSRvh8yXxUSg=="/>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BA"/>
    <w:rsid w:val="00031ED7"/>
    <w:rsid w:val="00050973"/>
    <w:rsid w:val="0008690B"/>
    <w:rsid w:val="0010543E"/>
    <w:rsid w:val="001060B2"/>
    <w:rsid w:val="00110064"/>
    <w:rsid w:val="0015637D"/>
    <w:rsid w:val="00165725"/>
    <w:rsid w:val="00175F8B"/>
    <w:rsid w:val="00213752"/>
    <w:rsid w:val="002342BA"/>
    <w:rsid w:val="002712FC"/>
    <w:rsid w:val="002800A8"/>
    <w:rsid w:val="002C779D"/>
    <w:rsid w:val="00324104"/>
    <w:rsid w:val="00381451"/>
    <w:rsid w:val="003E5176"/>
    <w:rsid w:val="00492D21"/>
    <w:rsid w:val="004B1659"/>
    <w:rsid w:val="004F4AB8"/>
    <w:rsid w:val="005427E9"/>
    <w:rsid w:val="005437CC"/>
    <w:rsid w:val="00597F44"/>
    <w:rsid w:val="005E6CE9"/>
    <w:rsid w:val="00666464"/>
    <w:rsid w:val="006843D5"/>
    <w:rsid w:val="006918D8"/>
    <w:rsid w:val="006D25D9"/>
    <w:rsid w:val="0072700D"/>
    <w:rsid w:val="00753CC6"/>
    <w:rsid w:val="0079431B"/>
    <w:rsid w:val="007967C8"/>
    <w:rsid w:val="008A0220"/>
    <w:rsid w:val="008E4D35"/>
    <w:rsid w:val="00903326"/>
    <w:rsid w:val="00913E57"/>
    <w:rsid w:val="00932879"/>
    <w:rsid w:val="00A13948"/>
    <w:rsid w:val="00A30C69"/>
    <w:rsid w:val="00A550D6"/>
    <w:rsid w:val="00C63BB5"/>
    <w:rsid w:val="00C76404"/>
    <w:rsid w:val="00C81594"/>
    <w:rsid w:val="00CA2D80"/>
    <w:rsid w:val="00D2098A"/>
    <w:rsid w:val="00D70A4C"/>
    <w:rsid w:val="00D76A56"/>
    <w:rsid w:val="00E52CE3"/>
    <w:rsid w:val="00EC7346"/>
    <w:rsid w:val="00EE0092"/>
    <w:rsid w:val="00EF4C88"/>
    <w:rsid w:val="00F079E4"/>
    <w:rsid w:val="00FE24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37C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42BA"/>
    <w:pPr>
      <w:ind w:left="708"/>
    </w:pPr>
  </w:style>
  <w:style w:type="table" w:styleId="Tabelraster">
    <w:name w:val="Table Grid"/>
    <w:basedOn w:val="Standaardtabel"/>
    <w:rsid w:val="00542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4104"/>
    <w:rPr>
      <w:color w:val="0000FF"/>
      <w:u w:val="single"/>
    </w:rPr>
  </w:style>
  <w:style w:type="paragraph" w:customStyle="1" w:styleId="Default">
    <w:name w:val="Default"/>
    <w:rsid w:val="00666464"/>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2712FC"/>
    <w:rPr>
      <w:rFonts w:ascii="Tahoma" w:hAnsi="Tahoma" w:cs="Tahoma"/>
      <w:sz w:val="16"/>
      <w:szCs w:val="16"/>
    </w:rPr>
  </w:style>
  <w:style w:type="character" w:customStyle="1" w:styleId="BallontekstChar">
    <w:name w:val="Ballontekst Char"/>
    <w:basedOn w:val="Standaardalinea-lettertype"/>
    <w:link w:val="Ballontekst"/>
    <w:rsid w:val="002712F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437C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42BA"/>
    <w:pPr>
      <w:ind w:left="708"/>
    </w:pPr>
  </w:style>
  <w:style w:type="table" w:styleId="Tabelraster">
    <w:name w:val="Table Grid"/>
    <w:basedOn w:val="Standaardtabel"/>
    <w:rsid w:val="00542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4104"/>
    <w:rPr>
      <w:color w:val="0000FF"/>
      <w:u w:val="single"/>
    </w:rPr>
  </w:style>
  <w:style w:type="paragraph" w:customStyle="1" w:styleId="Default">
    <w:name w:val="Default"/>
    <w:rsid w:val="00666464"/>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2712FC"/>
    <w:rPr>
      <w:rFonts w:ascii="Tahoma" w:hAnsi="Tahoma" w:cs="Tahoma"/>
      <w:sz w:val="16"/>
      <w:szCs w:val="16"/>
    </w:rPr>
  </w:style>
  <w:style w:type="character" w:customStyle="1" w:styleId="BallontekstChar">
    <w:name w:val="Ballontekst Char"/>
    <w:basedOn w:val="Standaardalinea-lettertype"/>
    <w:link w:val="Ballontekst"/>
    <w:rsid w:val="002712F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91626">
      <w:bodyDiv w:val="1"/>
      <w:marLeft w:val="0"/>
      <w:marRight w:val="0"/>
      <w:marTop w:val="0"/>
      <w:marBottom w:val="0"/>
      <w:divBdr>
        <w:top w:val="none" w:sz="0" w:space="0" w:color="auto"/>
        <w:left w:val="none" w:sz="0" w:space="0" w:color="auto"/>
        <w:bottom w:val="none" w:sz="0" w:space="0" w:color="auto"/>
        <w:right w:val="none" w:sz="0" w:space="0" w:color="auto"/>
      </w:divBdr>
    </w:div>
    <w:div w:id="862861511">
      <w:bodyDiv w:val="1"/>
      <w:marLeft w:val="0"/>
      <w:marRight w:val="0"/>
      <w:marTop w:val="0"/>
      <w:marBottom w:val="0"/>
      <w:divBdr>
        <w:top w:val="none" w:sz="0" w:space="0" w:color="auto"/>
        <w:left w:val="none" w:sz="0" w:space="0" w:color="auto"/>
        <w:bottom w:val="none" w:sz="0" w:space="0" w:color="auto"/>
        <w:right w:val="none" w:sz="0" w:space="0" w:color="auto"/>
      </w:divBdr>
      <w:divsChild>
        <w:div w:id="178811186">
          <w:marLeft w:val="0"/>
          <w:marRight w:val="0"/>
          <w:marTop w:val="0"/>
          <w:marBottom w:val="0"/>
          <w:divBdr>
            <w:top w:val="none" w:sz="0" w:space="0" w:color="auto"/>
            <w:left w:val="none" w:sz="0" w:space="0" w:color="auto"/>
            <w:bottom w:val="none" w:sz="0" w:space="0" w:color="auto"/>
            <w:right w:val="none" w:sz="0" w:space="0" w:color="auto"/>
          </w:divBdr>
        </w:div>
        <w:div w:id="703097868">
          <w:marLeft w:val="0"/>
          <w:marRight w:val="0"/>
          <w:marTop w:val="0"/>
          <w:marBottom w:val="0"/>
          <w:divBdr>
            <w:top w:val="none" w:sz="0" w:space="0" w:color="auto"/>
            <w:left w:val="none" w:sz="0" w:space="0" w:color="auto"/>
            <w:bottom w:val="none" w:sz="0" w:space="0" w:color="auto"/>
            <w:right w:val="none" w:sz="0" w:space="0" w:color="auto"/>
          </w:divBdr>
        </w:div>
        <w:div w:id="1001278063">
          <w:marLeft w:val="0"/>
          <w:marRight w:val="0"/>
          <w:marTop w:val="0"/>
          <w:marBottom w:val="0"/>
          <w:divBdr>
            <w:top w:val="none" w:sz="0" w:space="0" w:color="auto"/>
            <w:left w:val="none" w:sz="0" w:space="0" w:color="auto"/>
            <w:bottom w:val="none" w:sz="0" w:space="0" w:color="auto"/>
            <w:right w:val="none" w:sz="0" w:space="0" w:color="auto"/>
          </w:divBdr>
        </w:div>
        <w:div w:id="1005354688">
          <w:marLeft w:val="0"/>
          <w:marRight w:val="0"/>
          <w:marTop w:val="0"/>
          <w:marBottom w:val="0"/>
          <w:divBdr>
            <w:top w:val="none" w:sz="0" w:space="0" w:color="auto"/>
            <w:left w:val="none" w:sz="0" w:space="0" w:color="auto"/>
            <w:bottom w:val="none" w:sz="0" w:space="0" w:color="auto"/>
            <w:right w:val="none" w:sz="0" w:space="0" w:color="auto"/>
          </w:divBdr>
        </w:div>
        <w:div w:id="1197080667">
          <w:marLeft w:val="0"/>
          <w:marRight w:val="0"/>
          <w:marTop w:val="0"/>
          <w:marBottom w:val="0"/>
          <w:divBdr>
            <w:top w:val="none" w:sz="0" w:space="0" w:color="auto"/>
            <w:left w:val="none" w:sz="0" w:space="0" w:color="auto"/>
            <w:bottom w:val="none" w:sz="0" w:space="0" w:color="auto"/>
            <w:right w:val="none" w:sz="0" w:space="0" w:color="auto"/>
          </w:divBdr>
        </w:div>
      </w:divsChild>
    </w:div>
    <w:div w:id="1358921284">
      <w:bodyDiv w:val="1"/>
      <w:marLeft w:val="0"/>
      <w:marRight w:val="0"/>
      <w:marTop w:val="0"/>
      <w:marBottom w:val="0"/>
      <w:divBdr>
        <w:top w:val="none" w:sz="0" w:space="0" w:color="auto"/>
        <w:left w:val="none" w:sz="0" w:space="0" w:color="auto"/>
        <w:bottom w:val="none" w:sz="0" w:space="0" w:color="auto"/>
        <w:right w:val="none" w:sz="0" w:space="0" w:color="auto"/>
      </w:divBdr>
    </w:div>
    <w:div w:id="1844004320">
      <w:bodyDiv w:val="1"/>
      <w:marLeft w:val="0"/>
      <w:marRight w:val="0"/>
      <w:marTop w:val="0"/>
      <w:marBottom w:val="0"/>
      <w:divBdr>
        <w:top w:val="none" w:sz="0" w:space="0" w:color="auto"/>
        <w:left w:val="none" w:sz="0" w:space="0" w:color="auto"/>
        <w:bottom w:val="none" w:sz="0" w:space="0" w:color="auto"/>
        <w:right w:val="none" w:sz="0" w:space="0" w:color="auto"/>
      </w:divBdr>
    </w:div>
    <w:div w:id="1921791467">
      <w:bodyDiv w:val="1"/>
      <w:marLeft w:val="0"/>
      <w:marRight w:val="0"/>
      <w:marTop w:val="0"/>
      <w:marBottom w:val="0"/>
      <w:divBdr>
        <w:top w:val="none" w:sz="0" w:space="0" w:color="auto"/>
        <w:left w:val="none" w:sz="0" w:space="0" w:color="auto"/>
        <w:bottom w:val="none" w:sz="0" w:space="0" w:color="auto"/>
        <w:right w:val="none" w:sz="0" w:space="0" w:color="auto"/>
      </w:divBdr>
    </w:div>
    <w:div w:id="2041740364">
      <w:bodyDiv w:val="1"/>
      <w:marLeft w:val="0"/>
      <w:marRight w:val="0"/>
      <w:marTop w:val="0"/>
      <w:marBottom w:val="0"/>
      <w:divBdr>
        <w:top w:val="none" w:sz="0" w:space="0" w:color="auto"/>
        <w:left w:val="none" w:sz="0" w:space="0" w:color="auto"/>
        <w:bottom w:val="none" w:sz="0" w:space="0" w:color="auto"/>
        <w:right w:val="none" w:sz="0" w:space="0" w:color="auto"/>
      </w:divBdr>
      <w:divsChild>
        <w:div w:id="5400161">
          <w:marLeft w:val="0"/>
          <w:marRight w:val="0"/>
          <w:marTop w:val="0"/>
          <w:marBottom w:val="0"/>
          <w:divBdr>
            <w:top w:val="none" w:sz="0" w:space="0" w:color="auto"/>
            <w:left w:val="none" w:sz="0" w:space="0" w:color="auto"/>
            <w:bottom w:val="none" w:sz="0" w:space="0" w:color="auto"/>
            <w:right w:val="none" w:sz="0" w:space="0" w:color="auto"/>
          </w:divBdr>
        </w:div>
        <w:div w:id="188300023">
          <w:marLeft w:val="0"/>
          <w:marRight w:val="0"/>
          <w:marTop w:val="0"/>
          <w:marBottom w:val="0"/>
          <w:divBdr>
            <w:top w:val="none" w:sz="0" w:space="0" w:color="auto"/>
            <w:left w:val="none" w:sz="0" w:space="0" w:color="auto"/>
            <w:bottom w:val="none" w:sz="0" w:space="0" w:color="auto"/>
            <w:right w:val="none" w:sz="0" w:space="0" w:color="auto"/>
          </w:divBdr>
        </w:div>
        <w:div w:id="332495225">
          <w:marLeft w:val="0"/>
          <w:marRight w:val="0"/>
          <w:marTop w:val="0"/>
          <w:marBottom w:val="0"/>
          <w:divBdr>
            <w:top w:val="none" w:sz="0" w:space="0" w:color="auto"/>
            <w:left w:val="none" w:sz="0" w:space="0" w:color="auto"/>
            <w:bottom w:val="none" w:sz="0" w:space="0" w:color="auto"/>
            <w:right w:val="none" w:sz="0" w:space="0" w:color="auto"/>
          </w:divBdr>
        </w:div>
        <w:div w:id="377710264">
          <w:marLeft w:val="0"/>
          <w:marRight w:val="0"/>
          <w:marTop w:val="0"/>
          <w:marBottom w:val="0"/>
          <w:divBdr>
            <w:top w:val="none" w:sz="0" w:space="0" w:color="auto"/>
            <w:left w:val="none" w:sz="0" w:space="0" w:color="auto"/>
            <w:bottom w:val="none" w:sz="0" w:space="0" w:color="auto"/>
            <w:right w:val="none" w:sz="0" w:space="0" w:color="auto"/>
          </w:divBdr>
        </w:div>
        <w:div w:id="381904916">
          <w:marLeft w:val="0"/>
          <w:marRight w:val="0"/>
          <w:marTop w:val="0"/>
          <w:marBottom w:val="0"/>
          <w:divBdr>
            <w:top w:val="none" w:sz="0" w:space="0" w:color="auto"/>
            <w:left w:val="none" w:sz="0" w:space="0" w:color="auto"/>
            <w:bottom w:val="none" w:sz="0" w:space="0" w:color="auto"/>
            <w:right w:val="none" w:sz="0" w:space="0" w:color="auto"/>
          </w:divBdr>
        </w:div>
        <w:div w:id="404839374">
          <w:marLeft w:val="0"/>
          <w:marRight w:val="0"/>
          <w:marTop w:val="0"/>
          <w:marBottom w:val="0"/>
          <w:divBdr>
            <w:top w:val="none" w:sz="0" w:space="0" w:color="auto"/>
            <w:left w:val="none" w:sz="0" w:space="0" w:color="auto"/>
            <w:bottom w:val="none" w:sz="0" w:space="0" w:color="auto"/>
            <w:right w:val="none" w:sz="0" w:space="0" w:color="auto"/>
          </w:divBdr>
        </w:div>
        <w:div w:id="412747447">
          <w:marLeft w:val="0"/>
          <w:marRight w:val="0"/>
          <w:marTop w:val="0"/>
          <w:marBottom w:val="0"/>
          <w:divBdr>
            <w:top w:val="none" w:sz="0" w:space="0" w:color="auto"/>
            <w:left w:val="none" w:sz="0" w:space="0" w:color="auto"/>
            <w:bottom w:val="none" w:sz="0" w:space="0" w:color="auto"/>
            <w:right w:val="none" w:sz="0" w:space="0" w:color="auto"/>
          </w:divBdr>
        </w:div>
        <w:div w:id="465511814">
          <w:marLeft w:val="0"/>
          <w:marRight w:val="0"/>
          <w:marTop w:val="0"/>
          <w:marBottom w:val="0"/>
          <w:divBdr>
            <w:top w:val="none" w:sz="0" w:space="0" w:color="auto"/>
            <w:left w:val="none" w:sz="0" w:space="0" w:color="auto"/>
            <w:bottom w:val="none" w:sz="0" w:space="0" w:color="auto"/>
            <w:right w:val="none" w:sz="0" w:space="0" w:color="auto"/>
          </w:divBdr>
        </w:div>
        <w:div w:id="565848020">
          <w:marLeft w:val="0"/>
          <w:marRight w:val="0"/>
          <w:marTop w:val="0"/>
          <w:marBottom w:val="0"/>
          <w:divBdr>
            <w:top w:val="none" w:sz="0" w:space="0" w:color="auto"/>
            <w:left w:val="none" w:sz="0" w:space="0" w:color="auto"/>
            <w:bottom w:val="none" w:sz="0" w:space="0" w:color="auto"/>
            <w:right w:val="none" w:sz="0" w:space="0" w:color="auto"/>
          </w:divBdr>
        </w:div>
        <w:div w:id="737360600">
          <w:marLeft w:val="0"/>
          <w:marRight w:val="0"/>
          <w:marTop w:val="0"/>
          <w:marBottom w:val="0"/>
          <w:divBdr>
            <w:top w:val="none" w:sz="0" w:space="0" w:color="auto"/>
            <w:left w:val="none" w:sz="0" w:space="0" w:color="auto"/>
            <w:bottom w:val="none" w:sz="0" w:space="0" w:color="auto"/>
            <w:right w:val="none" w:sz="0" w:space="0" w:color="auto"/>
          </w:divBdr>
        </w:div>
        <w:div w:id="754404254">
          <w:marLeft w:val="0"/>
          <w:marRight w:val="0"/>
          <w:marTop w:val="0"/>
          <w:marBottom w:val="0"/>
          <w:divBdr>
            <w:top w:val="none" w:sz="0" w:space="0" w:color="auto"/>
            <w:left w:val="none" w:sz="0" w:space="0" w:color="auto"/>
            <w:bottom w:val="none" w:sz="0" w:space="0" w:color="auto"/>
            <w:right w:val="none" w:sz="0" w:space="0" w:color="auto"/>
          </w:divBdr>
        </w:div>
        <w:div w:id="1078477221">
          <w:marLeft w:val="0"/>
          <w:marRight w:val="0"/>
          <w:marTop w:val="0"/>
          <w:marBottom w:val="0"/>
          <w:divBdr>
            <w:top w:val="none" w:sz="0" w:space="0" w:color="auto"/>
            <w:left w:val="none" w:sz="0" w:space="0" w:color="auto"/>
            <w:bottom w:val="none" w:sz="0" w:space="0" w:color="auto"/>
            <w:right w:val="none" w:sz="0" w:space="0" w:color="auto"/>
          </w:divBdr>
        </w:div>
        <w:div w:id="1103961725">
          <w:marLeft w:val="0"/>
          <w:marRight w:val="0"/>
          <w:marTop w:val="0"/>
          <w:marBottom w:val="0"/>
          <w:divBdr>
            <w:top w:val="none" w:sz="0" w:space="0" w:color="auto"/>
            <w:left w:val="none" w:sz="0" w:space="0" w:color="auto"/>
            <w:bottom w:val="none" w:sz="0" w:space="0" w:color="auto"/>
            <w:right w:val="none" w:sz="0" w:space="0" w:color="auto"/>
          </w:divBdr>
        </w:div>
        <w:div w:id="1154835415">
          <w:marLeft w:val="0"/>
          <w:marRight w:val="0"/>
          <w:marTop w:val="0"/>
          <w:marBottom w:val="0"/>
          <w:divBdr>
            <w:top w:val="none" w:sz="0" w:space="0" w:color="auto"/>
            <w:left w:val="none" w:sz="0" w:space="0" w:color="auto"/>
            <w:bottom w:val="none" w:sz="0" w:space="0" w:color="auto"/>
            <w:right w:val="none" w:sz="0" w:space="0" w:color="auto"/>
          </w:divBdr>
        </w:div>
        <w:div w:id="1236278643">
          <w:marLeft w:val="0"/>
          <w:marRight w:val="0"/>
          <w:marTop w:val="0"/>
          <w:marBottom w:val="0"/>
          <w:divBdr>
            <w:top w:val="none" w:sz="0" w:space="0" w:color="auto"/>
            <w:left w:val="none" w:sz="0" w:space="0" w:color="auto"/>
            <w:bottom w:val="none" w:sz="0" w:space="0" w:color="auto"/>
            <w:right w:val="none" w:sz="0" w:space="0" w:color="auto"/>
          </w:divBdr>
        </w:div>
        <w:div w:id="1290238878">
          <w:marLeft w:val="0"/>
          <w:marRight w:val="0"/>
          <w:marTop w:val="0"/>
          <w:marBottom w:val="0"/>
          <w:divBdr>
            <w:top w:val="none" w:sz="0" w:space="0" w:color="auto"/>
            <w:left w:val="none" w:sz="0" w:space="0" w:color="auto"/>
            <w:bottom w:val="none" w:sz="0" w:space="0" w:color="auto"/>
            <w:right w:val="none" w:sz="0" w:space="0" w:color="auto"/>
          </w:divBdr>
        </w:div>
        <w:div w:id="1435520182">
          <w:marLeft w:val="0"/>
          <w:marRight w:val="0"/>
          <w:marTop w:val="0"/>
          <w:marBottom w:val="0"/>
          <w:divBdr>
            <w:top w:val="none" w:sz="0" w:space="0" w:color="auto"/>
            <w:left w:val="none" w:sz="0" w:space="0" w:color="auto"/>
            <w:bottom w:val="none" w:sz="0" w:space="0" w:color="auto"/>
            <w:right w:val="none" w:sz="0" w:space="0" w:color="auto"/>
          </w:divBdr>
        </w:div>
        <w:div w:id="1812752101">
          <w:marLeft w:val="0"/>
          <w:marRight w:val="0"/>
          <w:marTop w:val="0"/>
          <w:marBottom w:val="0"/>
          <w:divBdr>
            <w:top w:val="none" w:sz="0" w:space="0" w:color="auto"/>
            <w:left w:val="none" w:sz="0" w:space="0" w:color="auto"/>
            <w:bottom w:val="none" w:sz="0" w:space="0" w:color="auto"/>
            <w:right w:val="none" w:sz="0" w:space="0" w:color="auto"/>
          </w:divBdr>
        </w:div>
      </w:divsChild>
    </w:div>
    <w:div w:id="2080712077">
      <w:bodyDiv w:val="1"/>
      <w:marLeft w:val="0"/>
      <w:marRight w:val="0"/>
      <w:marTop w:val="0"/>
      <w:marBottom w:val="0"/>
      <w:divBdr>
        <w:top w:val="none" w:sz="0" w:space="0" w:color="auto"/>
        <w:left w:val="none" w:sz="0" w:space="0" w:color="auto"/>
        <w:bottom w:val="none" w:sz="0" w:space="0" w:color="auto"/>
        <w:right w:val="none" w:sz="0" w:space="0" w:color="auto"/>
      </w:divBdr>
      <w:divsChild>
        <w:div w:id="428359085">
          <w:marLeft w:val="0"/>
          <w:marRight w:val="0"/>
          <w:marTop w:val="0"/>
          <w:marBottom w:val="0"/>
          <w:divBdr>
            <w:top w:val="none" w:sz="0" w:space="0" w:color="auto"/>
            <w:left w:val="none" w:sz="0" w:space="0" w:color="auto"/>
            <w:bottom w:val="none" w:sz="0" w:space="0" w:color="auto"/>
            <w:right w:val="none" w:sz="0" w:space="0" w:color="auto"/>
          </w:divBdr>
        </w:div>
        <w:div w:id="467403990">
          <w:marLeft w:val="0"/>
          <w:marRight w:val="0"/>
          <w:marTop w:val="0"/>
          <w:marBottom w:val="0"/>
          <w:divBdr>
            <w:top w:val="none" w:sz="0" w:space="0" w:color="auto"/>
            <w:left w:val="none" w:sz="0" w:space="0" w:color="auto"/>
            <w:bottom w:val="none" w:sz="0" w:space="0" w:color="auto"/>
            <w:right w:val="none" w:sz="0" w:space="0" w:color="auto"/>
          </w:divBdr>
        </w:div>
        <w:div w:id="5784400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VDABApps\VDABCDB\Templates\Antwoord%20aan%20kabin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aan kabinet</Template>
  <TotalTime>2</TotalTime>
  <Pages>3</Pages>
  <Words>649</Words>
  <Characters>3890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Riet Bulckens</dc:creator>
  <cp:lastModifiedBy>Vlaams Parlement</cp:lastModifiedBy>
  <cp:revision>2</cp:revision>
  <cp:lastPrinted>2012-09-13T07:47:00Z</cp:lastPrinted>
  <dcterms:created xsi:type="dcterms:W3CDTF">2012-09-13T07:47:00Z</dcterms:created>
  <dcterms:modified xsi:type="dcterms:W3CDTF">2012-09-13T07:47:00Z</dcterms:modified>
</cp:coreProperties>
</file>