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FFE" w:rsidRDefault="001D3FFE" w:rsidP="001D3FFE">
      <w:pPr>
        <w:rPr>
          <w:b/>
          <w:smallCaps/>
          <w:sz w:val="22"/>
        </w:rPr>
      </w:pPr>
      <w:r>
        <w:rPr>
          <w:b/>
          <w:smallCaps/>
          <w:sz w:val="22"/>
        </w:rPr>
        <w:t>ingrid lieten</w:t>
      </w:r>
    </w:p>
    <w:p w:rsidR="001D3FFE" w:rsidRDefault="001D3FFE" w:rsidP="001D3FFE">
      <w:pPr>
        <w:pStyle w:val="StandaardSV"/>
        <w:rPr>
          <w:smallCaps/>
        </w:rPr>
      </w:pPr>
      <w:r>
        <w:rPr>
          <w:smallCaps/>
        </w:rPr>
        <w:t>viceminister-president van de vlaamse regering, vlaams minister van innovatie, ove</w:t>
      </w:r>
      <w:r>
        <w:rPr>
          <w:smallCaps/>
        </w:rPr>
        <w:t>r</w:t>
      </w:r>
      <w:r>
        <w:rPr>
          <w:smallCaps/>
        </w:rPr>
        <w:t>heidsinvesteringen, media en armoedebestrijding</w:t>
      </w:r>
    </w:p>
    <w:p w:rsidR="001D3FFE" w:rsidRDefault="001D3FFE" w:rsidP="001D3FFE">
      <w:pPr>
        <w:pBdr>
          <w:bottom w:val="single" w:sz="4" w:space="1" w:color="auto"/>
        </w:pBdr>
        <w:rPr>
          <w:sz w:val="22"/>
        </w:rPr>
      </w:pPr>
    </w:p>
    <w:p w:rsidR="001D3FFE" w:rsidRDefault="001D3FFE" w:rsidP="001D3FFE">
      <w:pPr>
        <w:rPr>
          <w:sz w:val="22"/>
        </w:rPr>
      </w:pPr>
    </w:p>
    <w:p w:rsidR="001D3FFE" w:rsidRPr="00103D45" w:rsidRDefault="001D3FFE" w:rsidP="001D3FFE">
      <w:pPr>
        <w:rPr>
          <w:b/>
          <w:smallCaps/>
          <w:sz w:val="22"/>
          <w:szCs w:val="22"/>
        </w:rPr>
      </w:pPr>
      <w:r w:rsidRPr="00103D45">
        <w:rPr>
          <w:b/>
          <w:smallCaps/>
          <w:sz w:val="22"/>
          <w:szCs w:val="22"/>
        </w:rPr>
        <w:t>antwoord</w:t>
      </w:r>
    </w:p>
    <w:p w:rsidR="001D3FFE" w:rsidRPr="00103D45" w:rsidRDefault="001D3FFE" w:rsidP="001D3FFE">
      <w:pPr>
        <w:rPr>
          <w:sz w:val="22"/>
          <w:szCs w:val="22"/>
        </w:rPr>
      </w:pPr>
      <w:r w:rsidRPr="00103D45">
        <w:rPr>
          <w:sz w:val="22"/>
          <w:szCs w:val="22"/>
        </w:rPr>
        <w:t xml:space="preserve">op vraag nr. </w:t>
      </w:r>
      <w:r>
        <w:rPr>
          <w:sz w:val="22"/>
        </w:rPr>
        <w:t>330</w:t>
      </w:r>
      <w:r w:rsidRPr="00103D45">
        <w:rPr>
          <w:sz w:val="22"/>
          <w:szCs w:val="22"/>
        </w:rPr>
        <w:t xml:space="preserve"> van </w:t>
      </w:r>
      <w:r>
        <w:rPr>
          <w:sz w:val="22"/>
        </w:rPr>
        <w:t>12 juni 2012</w:t>
      </w:r>
    </w:p>
    <w:p w:rsidR="001D3FFE" w:rsidRDefault="001D3FFE" w:rsidP="001D3FFE">
      <w:pPr>
        <w:rPr>
          <w:sz w:val="22"/>
        </w:rPr>
      </w:pPr>
      <w:r w:rsidRPr="00103D45">
        <w:rPr>
          <w:sz w:val="22"/>
          <w:szCs w:val="22"/>
        </w:rPr>
        <w:t xml:space="preserve">van </w:t>
      </w:r>
      <w:r>
        <w:rPr>
          <w:b/>
          <w:smallCaps/>
        </w:rPr>
        <w:t>koen van den heuvel</w:t>
      </w:r>
    </w:p>
    <w:p w:rsidR="001D3FFE" w:rsidRDefault="001D3FFE" w:rsidP="001D3FFE">
      <w:pPr>
        <w:pBdr>
          <w:bottom w:val="single" w:sz="4" w:space="1" w:color="auto"/>
        </w:pBdr>
        <w:jc w:val="both"/>
        <w:rPr>
          <w:sz w:val="22"/>
        </w:rPr>
      </w:pPr>
    </w:p>
    <w:p w:rsidR="00DB6D3D" w:rsidRPr="00083707" w:rsidRDefault="00DB6D3D" w:rsidP="00DB6D3D">
      <w:pPr>
        <w:pStyle w:val="StandaardSV"/>
      </w:pPr>
    </w:p>
    <w:p w:rsidR="00AB4848" w:rsidRDefault="00AB4848" w:rsidP="00AB4848">
      <w:pPr>
        <w:pStyle w:val="StandaardSV"/>
        <w:rPr>
          <w:szCs w:val="22"/>
          <w:lang w:val="nl-BE"/>
        </w:rPr>
      </w:pPr>
    </w:p>
    <w:p w:rsidR="001D3FFE" w:rsidRPr="001D3FFE" w:rsidRDefault="001D3FFE" w:rsidP="00DA33E1">
      <w:pPr>
        <w:pStyle w:val="StandaardSV"/>
        <w:numPr>
          <w:ilvl w:val="0"/>
          <w:numId w:val="20"/>
        </w:numPr>
        <w:rPr>
          <w:szCs w:val="22"/>
          <w:lang w:val="nl-BE"/>
        </w:rPr>
      </w:pPr>
      <w:r w:rsidRPr="001D3FFE">
        <w:rPr>
          <w:szCs w:val="22"/>
          <w:lang w:val="nl-BE"/>
        </w:rPr>
        <w:t>Schenkingen en legaten ontvangen door de Vlaamse universiteiten</w:t>
      </w:r>
      <w:r>
        <w:rPr>
          <w:szCs w:val="22"/>
          <w:lang w:val="nl-BE"/>
        </w:rPr>
        <w:t xml:space="preserve"> </w:t>
      </w:r>
      <w:r w:rsidR="00D059F4">
        <w:rPr>
          <w:szCs w:val="22"/>
          <w:lang w:val="nl-BE"/>
        </w:rPr>
        <w:t>en hogescholen</w:t>
      </w:r>
      <w:r>
        <w:rPr>
          <w:szCs w:val="22"/>
          <w:lang w:val="nl-BE"/>
        </w:rPr>
        <w:t>.</w:t>
      </w:r>
    </w:p>
    <w:p w:rsidR="00AB4848" w:rsidRDefault="00AB4848" w:rsidP="00DA33E1">
      <w:pPr>
        <w:ind w:left="360"/>
        <w:rPr>
          <w:sz w:val="22"/>
          <w:szCs w:val="22"/>
          <w:lang w:val="nl-BE" w:eastAsia="nl-BE"/>
        </w:rPr>
      </w:pPr>
    </w:p>
    <w:p w:rsidR="00D059F4" w:rsidRPr="00D059F4" w:rsidRDefault="00D059F4" w:rsidP="00D059F4">
      <w:pPr>
        <w:pStyle w:val="Lijstalinea"/>
        <w:numPr>
          <w:ilvl w:val="1"/>
          <w:numId w:val="20"/>
        </w:numPr>
        <w:rPr>
          <w:sz w:val="22"/>
          <w:szCs w:val="22"/>
          <w:u w:val="single"/>
          <w:lang w:val="nl-BE" w:eastAsia="nl-BE"/>
        </w:rPr>
      </w:pPr>
      <w:r w:rsidRPr="00D059F4">
        <w:rPr>
          <w:sz w:val="22"/>
          <w:szCs w:val="22"/>
          <w:u w:val="single"/>
          <w:lang w:val="nl-BE" w:eastAsia="nl-BE"/>
        </w:rPr>
        <w:t>Universiteiten</w:t>
      </w:r>
    </w:p>
    <w:p w:rsidR="00D059F4" w:rsidRPr="001D3FFE" w:rsidRDefault="00D059F4" w:rsidP="00280A0E">
      <w:pPr>
        <w:ind w:left="708"/>
        <w:rPr>
          <w:sz w:val="22"/>
          <w:szCs w:val="22"/>
          <w:lang w:val="nl-BE" w:eastAsia="nl-BE"/>
        </w:rPr>
      </w:pPr>
    </w:p>
    <w:p w:rsidR="001D3FFE" w:rsidRPr="00D059F4" w:rsidRDefault="001D3FFE" w:rsidP="00D059F4">
      <w:pPr>
        <w:pStyle w:val="Lijstalinea"/>
        <w:numPr>
          <w:ilvl w:val="2"/>
          <w:numId w:val="20"/>
        </w:numPr>
        <w:rPr>
          <w:sz w:val="22"/>
          <w:szCs w:val="22"/>
          <w:lang w:eastAsia="nl-BE"/>
        </w:rPr>
      </w:pPr>
      <w:r w:rsidRPr="00D059F4">
        <w:rPr>
          <w:sz w:val="22"/>
          <w:szCs w:val="22"/>
          <w:lang w:eastAsia="nl-BE"/>
        </w:rPr>
        <w:t>Hogeschool – Universiteit Brussel (HUB)</w:t>
      </w:r>
    </w:p>
    <w:p w:rsidR="001D3FFE" w:rsidRPr="001D3FFE" w:rsidRDefault="001D3FFE" w:rsidP="00280A0E">
      <w:pPr>
        <w:ind w:left="1416"/>
        <w:rPr>
          <w:sz w:val="22"/>
          <w:szCs w:val="22"/>
          <w:lang w:eastAsia="nl-BE"/>
        </w:rPr>
      </w:pPr>
    </w:p>
    <w:p w:rsidR="00AB4848" w:rsidRPr="001D3FFE" w:rsidRDefault="001D3FFE" w:rsidP="00D059F4">
      <w:pPr>
        <w:ind w:left="1068" w:firstLine="348"/>
        <w:rPr>
          <w:sz w:val="22"/>
          <w:szCs w:val="22"/>
          <w:lang w:eastAsia="nl-BE"/>
        </w:rPr>
      </w:pPr>
      <w:r w:rsidRPr="001D3FFE">
        <w:rPr>
          <w:sz w:val="22"/>
          <w:szCs w:val="22"/>
          <w:lang w:eastAsia="nl-BE"/>
        </w:rPr>
        <w:t>De HUB h</w:t>
      </w:r>
      <w:r w:rsidR="00AB4848" w:rsidRPr="001D3FFE">
        <w:rPr>
          <w:sz w:val="22"/>
          <w:szCs w:val="22"/>
          <w:lang w:eastAsia="nl-BE"/>
        </w:rPr>
        <w:t xml:space="preserve">eeft </w:t>
      </w:r>
      <w:r w:rsidR="003A6777">
        <w:rPr>
          <w:sz w:val="22"/>
          <w:szCs w:val="22"/>
          <w:lang w:eastAsia="nl-BE"/>
        </w:rPr>
        <w:t>d</w:t>
      </w:r>
      <w:r w:rsidR="00AB4848" w:rsidRPr="001D3FFE">
        <w:rPr>
          <w:sz w:val="22"/>
          <w:szCs w:val="22"/>
          <w:lang w:eastAsia="nl-BE"/>
        </w:rPr>
        <w:t xml:space="preserve">e </w:t>
      </w:r>
      <w:r w:rsidR="003A6777">
        <w:rPr>
          <w:sz w:val="22"/>
          <w:szCs w:val="22"/>
          <w:lang w:eastAsia="nl-BE"/>
        </w:rPr>
        <w:t>afgelopen</w:t>
      </w:r>
      <w:r w:rsidR="00AB4848" w:rsidRPr="001D3FFE">
        <w:rPr>
          <w:sz w:val="22"/>
          <w:szCs w:val="22"/>
          <w:lang w:eastAsia="nl-BE"/>
        </w:rPr>
        <w:t xml:space="preserve"> drie ja</w:t>
      </w:r>
      <w:r w:rsidR="003A6777">
        <w:rPr>
          <w:sz w:val="22"/>
          <w:szCs w:val="22"/>
          <w:lang w:eastAsia="nl-BE"/>
        </w:rPr>
        <w:t>ar</w:t>
      </w:r>
      <w:r w:rsidR="00AB4848" w:rsidRPr="001D3FFE">
        <w:rPr>
          <w:sz w:val="22"/>
          <w:szCs w:val="22"/>
          <w:lang w:eastAsia="nl-BE"/>
        </w:rPr>
        <w:t xml:space="preserve"> geen schenkingen </w:t>
      </w:r>
      <w:r w:rsidR="003A6777">
        <w:rPr>
          <w:sz w:val="22"/>
          <w:szCs w:val="22"/>
          <w:lang w:eastAsia="nl-BE"/>
        </w:rPr>
        <w:t>en/</w:t>
      </w:r>
      <w:r w:rsidR="00091ABD">
        <w:rPr>
          <w:sz w:val="22"/>
          <w:szCs w:val="22"/>
          <w:lang w:eastAsia="nl-BE"/>
        </w:rPr>
        <w:t>of</w:t>
      </w:r>
      <w:r w:rsidR="00AB4848" w:rsidRPr="001D3FFE">
        <w:rPr>
          <w:sz w:val="22"/>
          <w:szCs w:val="22"/>
          <w:lang w:eastAsia="nl-BE"/>
        </w:rPr>
        <w:t xml:space="preserve"> legaten ontvangen.</w:t>
      </w:r>
    </w:p>
    <w:p w:rsidR="00AB4848" w:rsidRPr="001D3FFE" w:rsidRDefault="00AB4848" w:rsidP="00280A0E">
      <w:pPr>
        <w:pStyle w:val="StandaardSV"/>
        <w:ind w:left="1416"/>
        <w:rPr>
          <w:szCs w:val="22"/>
        </w:rPr>
      </w:pPr>
    </w:p>
    <w:p w:rsidR="00AB4848" w:rsidRPr="00D059F4" w:rsidRDefault="001D3FFE" w:rsidP="00D059F4">
      <w:pPr>
        <w:pStyle w:val="StandaardSV"/>
        <w:numPr>
          <w:ilvl w:val="2"/>
          <w:numId w:val="20"/>
        </w:numPr>
        <w:rPr>
          <w:szCs w:val="22"/>
        </w:rPr>
      </w:pPr>
      <w:r w:rsidRPr="00D059F4">
        <w:rPr>
          <w:szCs w:val="22"/>
        </w:rPr>
        <w:t>Katholieke Universiteit Leuven (KU Leuven)</w:t>
      </w:r>
    </w:p>
    <w:p w:rsidR="00AA2222" w:rsidRPr="001D3FFE" w:rsidRDefault="00AA2222" w:rsidP="00280A0E">
      <w:pPr>
        <w:pStyle w:val="StandaardSV"/>
        <w:ind w:left="1416"/>
        <w:rPr>
          <w:szCs w:val="22"/>
        </w:rPr>
      </w:pPr>
    </w:p>
    <w:p w:rsidR="00DA33E1" w:rsidRPr="001D3FFE" w:rsidRDefault="00AB4848" w:rsidP="00FF2866">
      <w:pPr>
        <w:pStyle w:val="StandaardSV"/>
        <w:ind w:left="1416"/>
        <w:rPr>
          <w:szCs w:val="22"/>
        </w:rPr>
      </w:pPr>
      <w:r w:rsidRPr="001D3FFE">
        <w:rPr>
          <w:szCs w:val="22"/>
        </w:rPr>
        <w:t>De KU Leuven ontving de volgende bedragen</w:t>
      </w:r>
      <w:r w:rsidR="004F3CF9" w:rsidRPr="001D3FFE">
        <w:rPr>
          <w:szCs w:val="22"/>
        </w:rPr>
        <w:t xml:space="preserve"> </w:t>
      </w:r>
      <w:r w:rsidR="00DA33E1" w:rsidRPr="001D3FFE">
        <w:rPr>
          <w:szCs w:val="22"/>
        </w:rPr>
        <w:t>(</w:t>
      </w:r>
      <w:r w:rsidR="00DA33E1">
        <w:rPr>
          <w:szCs w:val="22"/>
        </w:rPr>
        <w:t>c</w:t>
      </w:r>
      <w:r w:rsidR="00DA33E1" w:rsidRPr="001D3FFE">
        <w:rPr>
          <w:szCs w:val="22"/>
        </w:rPr>
        <w:t>ode 73 van de resultatenrekening: “Giften, schenkingen en legaten”)</w:t>
      </w:r>
      <w:r w:rsidR="00DA33E1">
        <w:rPr>
          <w:szCs w:val="22"/>
        </w:rPr>
        <w:t>:</w:t>
      </w:r>
    </w:p>
    <w:p w:rsidR="0016518C" w:rsidRPr="001D3FFE" w:rsidRDefault="0016518C" w:rsidP="00280A0E">
      <w:pPr>
        <w:pStyle w:val="StandaardSV"/>
        <w:ind w:left="1416"/>
        <w:jc w:val="left"/>
        <w:rPr>
          <w:szCs w:val="22"/>
        </w:rPr>
      </w:pPr>
    </w:p>
    <w:tbl>
      <w:tblPr>
        <w:tblW w:w="0" w:type="auto"/>
        <w:tblInd w:w="1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1780"/>
      </w:tblGrid>
      <w:tr w:rsidR="00DA33E1" w:rsidRPr="001D3FFE" w:rsidTr="00D059F4">
        <w:tc>
          <w:tcPr>
            <w:tcW w:w="766" w:type="dxa"/>
            <w:shd w:val="pct10" w:color="auto" w:fill="auto"/>
          </w:tcPr>
          <w:p w:rsidR="00DA33E1" w:rsidRPr="001D3FFE" w:rsidRDefault="00DA33E1" w:rsidP="00DA33E1">
            <w:pPr>
              <w:pStyle w:val="StandaardSV"/>
              <w:jc w:val="center"/>
              <w:rPr>
                <w:szCs w:val="22"/>
              </w:rPr>
            </w:pPr>
            <w:r>
              <w:rPr>
                <w:szCs w:val="22"/>
              </w:rPr>
              <w:t>Jaar</w:t>
            </w:r>
          </w:p>
        </w:tc>
        <w:tc>
          <w:tcPr>
            <w:tcW w:w="1780" w:type="dxa"/>
            <w:shd w:val="pct10" w:color="auto" w:fill="auto"/>
          </w:tcPr>
          <w:p w:rsidR="00DA33E1" w:rsidRPr="001D3FFE" w:rsidRDefault="00DA33E1" w:rsidP="00DA33E1">
            <w:pPr>
              <w:pStyle w:val="StandaardSV"/>
              <w:jc w:val="right"/>
              <w:rPr>
                <w:szCs w:val="22"/>
              </w:rPr>
            </w:pPr>
            <w:r>
              <w:rPr>
                <w:szCs w:val="22"/>
              </w:rPr>
              <w:t>Bedrag (in euro)</w:t>
            </w:r>
          </w:p>
        </w:tc>
      </w:tr>
      <w:tr w:rsidR="004F3CF9" w:rsidRPr="001D3FFE" w:rsidTr="00D059F4">
        <w:tc>
          <w:tcPr>
            <w:tcW w:w="766" w:type="dxa"/>
            <w:shd w:val="clear" w:color="auto" w:fill="auto"/>
          </w:tcPr>
          <w:p w:rsidR="00AA2222" w:rsidRPr="001D3FFE" w:rsidRDefault="00AA2222" w:rsidP="00DA33E1">
            <w:pPr>
              <w:pStyle w:val="StandaardSV"/>
              <w:jc w:val="center"/>
              <w:rPr>
                <w:szCs w:val="22"/>
              </w:rPr>
            </w:pPr>
            <w:r w:rsidRPr="001D3FFE">
              <w:rPr>
                <w:szCs w:val="22"/>
              </w:rPr>
              <w:t>2009</w:t>
            </w:r>
          </w:p>
        </w:tc>
        <w:tc>
          <w:tcPr>
            <w:tcW w:w="1780" w:type="dxa"/>
            <w:shd w:val="clear" w:color="auto" w:fill="auto"/>
          </w:tcPr>
          <w:p w:rsidR="00AA2222" w:rsidRPr="001D3FFE" w:rsidRDefault="00AA2222" w:rsidP="00DA33E1">
            <w:pPr>
              <w:pStyle w:val="StandaardSV"/>
              <w:jc w:val="right"/>
              <w:rPr>
                <w:szCs w:val="22"/>
              </w:rPr>
            </w:pPr>
            <w:r w:rsidRPr="001D3FFE">
              <w:rPr>
                <w:szCs w:val="22"/>
              </w:rPr>
              <w:t>9.228.756</w:t>
            </w:r>
          </w:p>
        </w:tc>
      </w:tr>
      <w:tr w:rsidR="004F3CF9" w:rsidRPr="001D3FFE" w:rsidTr="00D059F4">
        <w:tc>
          <w:tcPr>
            <w:tcW w:w="766" w:type="dxa"/>
            <w:shd w:val="clear" w:color="auto" w:fill="auto"/>
          </w:tcPr>
          <w:p w:rsidR="00AA2222" w:rsidRPr="001D3FFE" w:rsidRDefault="00AA2222" w:rsidP="00DA33E1">
            <w:pPr>
              <w:pStyle w:val="StandaardSV"/>
              <w:jc w:val="center"/>
              <w:rPr>
                <w:szCs w:val="22"/>
              </w:rPr>
            </w:pPr>
            <w:r w:rsidRPr="001D3FFE">
              <w:rPr>
                <w:szCs w:val="22"/>
              </w:rPr>
              <w:t>2010</w:t>
            </w:r>
          </w:p>
        </w:tc>
        <w:tc>
          <w:tcPr>
            <w:tcW w:w="1780" w:type="dxa"/>
            <w:shd w:val="clear" w:color="auto" w:fill="auto"/>
          </w:tcPr>
          <w:p w:rsidR="00AA2222" w:rsidRPr="001D3FFE" w:rsidRDefault="00AA2222" w:rsidP="00DA33E1">
            <w:pPr>
              <w:pStyle w:val="StandaardSV"/>
              <w:jc w:val="right"/>
              <w:rPr>
                <w:szCs w:val="22"/>
              </w:rPr>
            </w:pPr>
            <w:r w:rsidRPr="001D3FFE">
              <w:rPr>
                <w:szCs w:val="22"/>
              </w:rPr>
              <w:t>9.518.740</w:t>
            </w:r>
          </w:p>
        </w:tc>
      </w:tr>
      <w:tr w:rsidR="004F3CF9" w:rsidRPr="001D3FFE" w:rsidTr="00D059F4">
        <w:tc>
          <w:tcPr>
            <w:tcW w:w="766" w:type="dxa"/>
            <w:shd w:val="clear" w:color="auto" w:fill="auto"/>
          </w:tcPr>
          <w:p w:rsidR="00AA2222" w:rsidRPr="001D3FFE" w:rsidRDefault="00AA2222" w:rsidP="00DA33E1">
            <w:pPr>
              <w:pStyle w:val="StandaardSV"/>
              <w:jc w:val="center"/>
              <w:rPr>
                <w:szCs w:val="22"/>
              </w:rPr>
            </w:pPr>
            <w:r w:rsidRPr="001D3FFE">
              <w:rPr>
                <w:szCs w:val="22"/>
              </w:rPr>
              <w:t>2011</w:t>
            </w:r>
          </w:p>
        </w:tc>
        <w:tc>
          <w:tcPr>
            <w:tcW w:w="1780" w:type="dxa"/>
            <w:shd w:val="clear" w:color="auto" w:fill="auto"/>
          </w:tcPr>
          <w:p w:rsidR="00AA2222" w:rsidRPr="001D3FFE" w:rsidRDefault="00AA2222" w:rsidP="00DA33E1">
            <w:pPr>
              <w:pStyle w:val="StandaardSV"/>
              <w:jc w:val="right"/>
              <w:rPr>
                <w:szCs w:val="22"/>
              </w:rPr>
            </w:pPr>
            <w:r w:rsidRPr="001D3FFE">
              <w:rPr>
                <w:szCs w:val="22"/>
              </w:rPr>
              <w:t>9.230.502</w:t>
            </w:r>
          </w:p>
        </w:tc>
      </w:tr>
    </w:tbl>
    <w:p w:rsidR="00AB4848" w:rsidRPr="001D3FFE" w:rsidRDefault="00AB4848" w:rsidP="00280A0E">
      <w:pPr>
        <w:pStyle w:val="StandaardSV"/>
        <w:ind w:left="1416"/>
        <w:jc w:val="left"/>
        <w:rPr>
          <w:szCs w:val="22"/>
        </w:rPr>
      </w:pPr>
    </w:p>
    <w:p w:rsidR="00DA33E1" w:rsidRDefault="00AB4848" w:rsidP="00D059F4">
      <w:pPr>
        <w:pStyle w:val="StandaardSV"/>
        <w:ind w:left="1416"/>
        <w:jc w:val="left"/>
        <w:rPr>
          <w:szCs w:val="22"/>
        </w:rPr>
      </w:pPr>
      <w:r w:rsidRPr="001D3FFE">
        <w:rPr>
          <w:szCs w:val="22"/>
        </w:rPr>
        <w:t xml:space="preserve">De KU Leuven levert fiscale attesten </w:t>
      </w:r>
      <w:r w:rsidR="00B4252A" w:rsidRPr="001D3FFE">
        <w:rPr>
          <w:szCs w:val="22"/>
        </w:rPr>
        <w:t xml:space="preserve">af </w:t>
      </w:r>
      <w:r w:rsidRPr="001D3FFE">
        <w:rPr>
          <w:szCs w:val="22"/>
        </w:rPr>
        <w:t xml:space="preserve">in uitvoering van </w:t>
      </w:r>
      <w:r w:rsidR="00B4252A" w:rsidRPr="001D3FFE">
        <w:rPr>
          <w:szCs w:val="22"/>
        </w:rPr>
        <w:t xml:space="preserve">artikel </w:t>
      </w:r>
      <w:r w:rsidRPr="001D3FFE">
        <w:rPr>
          <w:szCs w:val="22"/>
        </w:rPr>
        <w:t>104, WIB 92.</w:t>
      </w:r>
    </w:p>
    <w:p w:rsidR="00DA33E1" w:rsidRDefault="00DA33E1" w:rsidP="00280A0E">
      <w:pPr>
        <w:pStyle w:val="StandaardSV"/>
        <w:ind w:left="1416"/>
        <w:jc w:val="left"/>
        <w:rPr>
          <w:szCs w:val="22"/>
        </w:rPr>
      </w:pPr>
    </w:p>
    <w:p w:rsidR="00DA33E1" w:rsidRDefault="00AB4848" w:rsidP="00FF2866">
      <w:pPr>
        <w:pStyle w:val="StandaardSV"/>
        <w:ind w:left="1416"/>
        <w:rPr>
          <w:szCs w:val="22"/>
        </w:rPr>
      </w:pPr>
      <w:r w:rsidRPr="001D3FFE">
        <w:rPr>
          <w:szCs w:val="22"/>
        </w:rPr>
        <w:t xml:space="preserve">De giften, schenkingen en legaten worden door de KU Leuven besteed in het kader van haar </w:t>
      </w:r>
      <w:r w:rsidR="00DA33E1">
        <w:rPr>
          <w:szCs w:val="22"/>
        </w:rPr>
        <w:t xml:space="preserve">drie </w:t>
      </w:r>
      <w:r w:rsidRPr="001D3FFE">
        <w:rPr>
          <w:szCs w:val="22"/>
        </w:rPr>
        <w:t xml:space="preserve">decretale </w:t>
      </w:r>
      <w:r w:rsidR="00B4252A" w:rsidRPr="001D3FFE">
        <w:rPr>
          <w:szCs w:val="22"/>
        </w:rPr>
        <w:t xml:space="preserve">basisopdrachten: </w:t>
      </w:r>
      <w:r w:rsidR="00DA33E1">
        <w:rPr>
          <w:szCs w:val="22"/>
        </w:rPr>
        <w:t xml:space="preserve">(1) </w:t>
      </w:r>
      <w:r w:rsidRPr="001D3FFE">
        <w:rPr>
          <w:szCs w:val="22"/>
        </w:rPr>
        <w:t xml:space="preserve">hoger onderwijs, </w:t>
      </w:r>
      <w:r w:rsidR="00DA33E1">
        <w:rPr>
          <w:szCs w:val="22"/>
        </w:rPr>
        <w:t xml:space="preserve">(2) </w:t>
      </w:r>
      <w:r w:rsidRPr="001D3FFE">
        <w:rPr>
          <w:szCs w:val="22"/>
        </w:rPr>
        <w:t>wetenschappelijk o</w:t>
      </w:r>
      <w:r w:rsidRPr="001D3FFE">
        <w:rPr>
          <w:szCs w:val="22"/>
        </w:rPr>
        <w:t>n</w:t>
      </w:r>
      <w:r w:rsidRPr="001D3FFE">
        <w:rPr>
          <w:szCs w:val="22"/>
        </w:rPr>
        <w:t xml:space="preserve">derzoek en </w:t>
      </w:r>
      <w:r w:rsidR="00DA33E1">
        <w:rPr>
          <w:szCs w:val="22"/>
        </w:rPr>
        <w:t xml:space="preserve">(3) </w:t>
      </w:r>
      <w:r w:rsidRPr="001D3FFE">
        <w:rPr>
          <w:szCs w:val="22"/>
        </w:rPr>
        <w:t>wetenschappelijke en maatschappelijke dienstverlening</w:t>
      </w:r>
      <w:r w:rsidR="00DA33E1">
        <w:rPr>
          <w:szCs w:val="22"/>
        </w:rPr>
        <w:t xml:space="preserve"> (zie </w:t>
      </w:r>
      <w:hyperlink r:id="rId7" w:history="1">
        <w:r w:rsidR="00DA33E1" w:rsidRPr="00F1001A">
          <w:rPr>
            <w:rStyle w:val="Hyperlink"/>
            <w:sz w:val="21"/>
            <w:szCs w:val="21"/>
          </w:rPr>
          <w:t>http://www.kuleuven.be/mecenaat/index.html</w:t>
        </w:r>
      </w:hyperlink>
      <w:r w:rsidR="00DA33E1">
        <w:rPr>
          <w:sz w:val="21"/>
          <w:szCs w:val="21"/>
        </w:rPr>
        <w:t xml:space="preserve"> </w:t>
      </w:r>
      <w:r w:rsidR="00DA33E1">
        <w:rPr>
          <w:szCs w:val="22"/>
        </w:rPr>
        <w:t>voor meer details). D</w:t>
      </w:r>
      <w:r w:rsidRPr="001D3FFE">
        <w:rPr>
          <w:szCs w:val="22"/>
        </w:rPr>
        <w:t xml:space="preserve">oor de verwevenheid van de basisopdrachten van de universiteit is het aandeel van O&amp;O in de </w:t>
      </w:r>
      <w:r w:rsidR="00B4252A" w:rsidRPr="001D3FFE">
        <w:rPr>
          <w:szCs w:val="22"/>
        </w:rPr>
        <w:t xml:space="preserve">besteding </w:t>
      </w:r>
      <w:r w:rsidRPr="001D3FFE">
        <w:rPr>
          <w:szCs w:val="22"/>
        </w:rPr>
        <w:t xml:space="preserve">niet exact te </w:t>
      </w:r>
      <w:r w:rsidR="00B4252A" w:rsidRPr="001D3FFE">
        <w:rPr>
          <w:szCs w:val="22"/>
        </w:rPr>
        <w:t xml:space="preserve">bepalen, </w:t>
      </w:r>
      <w:r w:rsidRPr="001D3FFE">
        <w:rPr>
          <w:szCs w:val="22"/>
        </w:rPr>
        <w:t>maar het betreft wel het overgrote deel (&gt;</w:t>
      </w:r>
      <w:r w:rsidR="00DA33E1">
        <w:rPr>
          <w:szCs w:val="22"/>
        </w:rPr>
        <w:t xml:space="preserve"> </w:t>
      </w:r>
      <w:r w:rsidRPr="001D3FFE">
        <w:rPr>
          <w:szCs w:val="22"/>
        </w:rPr>
        <w:t>85%) van de gelden.</w:t>
      </w:r>
    </w:p>
    <w:p w:rsidR="00AB4848" w:rsidRDefault="00AB4848" w:rsidP="00280A0E">
      <w:pPr>
        <w:pStyle w:val="StandaardSV"/>
        <w:ind w:left="1416"/>
        <w:jc w:val="left"/>
        <w:rPr>
          <w:szCs w:val="22"/>
        </w:rPr>
      </w:pPr>
    </w:p>
    <w:p w:rsidR="00DA33E1" w:rsidRPr="00D059F4" w:rsidRDefault="00DA33E1" w:rsidP="00D059F4">
      <w:pPr>
        <w:pStyle w:val="StandaardSV"/>
        <w:numPr>
          <w:ilvl w:val="2"/>
          <w:numId w:val="20"/>
        </w:numPr>
        <w:jc w:val="left"/>
        <w:rPr>
          <w:szCs w:val="22"/>
        </w:rPr>
      </w:pPr>
      <w:r w:rsidRPr="00D059F4">
        <w:rPr>
          <w:szCs w:val="22"/>
        </w:rPr>
        <w:t>Universiteit Antwerpen (UA)</w:t>
      </w:r>
    </w:p>
    <w:p w:rsidR="00DA33E1" w:rsidRDefault="00DA33E1" w:rsidP="00280A0E">
      <w:pPr>
        <w:pStyle w:val="StandaardSV"/>
        <w:ind w:left="1416"/>
        <w:jc w:val="left"/>
        <w:rPr>
          <w:szCs w:val="22"/>
        </w:rPr>
      </w:pPr>
    </w:p>
    <w:p w:rsidR="00DA33E1" w:rsidRPr="001D3FFE" w:rsidRDefault="00DA33E1" w:rsidP="00D059F4">
      <w:pPr>
        <w:pStyle w:val="StandaardSV"/>
        <w:ind w:left="1416"/>
        <w:jc w:val="left"/>
        <w:rPr>
          <w:szCs w:val="22"/>
        </w:rPr>
      </w:pPr>
      <w:r w:rsidRPr="001D3FFE">
        <w:rPr>
          <w:szCs w:val="22"/>
        </w:rPr>
        <w:t>De UA ontving de volgende bedragen:</w:t>
      </w:r>
    </w:p>
    <w:p w:rsidR="00DA33E1" w:rsidRDefault="00DA33E1" w:rsidP="00280A0E">
      <w:pPr>
        <w:pStyle w:val="StandaardSV"/>
        <w:ind w:left="1416"/>
        <w:jc w:val="left"/>
        <w:rPr>
          <w:szCs w:val="22"/>
        </w:rPr>
      </w:pPr>
    </w:p>
    <w:tbl>
      <w:tblPr>
        <w:tblW w:w="0" w:type="auto"/>
        <w:tblInd w:w="1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1780"/>
      </w:tblGrid>
      <w:tr w:rsidR="00DA33E1" w:rsidRPr="001D3FFE" w:rsidTr="00D059F4">
        <w:tc>
          <w:tcPr>
            <w:tcW w:w="766" w:type="dxa"/>
            <w:shd w:val="pct10" w:color="auto" w:fill="auto"/>
          </w:tcPr>
          <w:p w:rsidR="00DA33E1" w:rsidRPr="001D3FFE" w:rsidRDefault="00DA33E1" w:rsidP="00AD6F7E">
            <w:pPr>
              <w:pStyle w:val="StandaardSV"/>
              <w:jc w:val="center"/>
              <w:rPr>
                <w:szCs w:val="22"/>
              </w:rPr>
            </w:pPr>
            <w:r>
              <w:rPr>
                <w:szCs w:val="22"/>
              </w:rPr>
              <w:t>Jaar</w:t>
            </w:r>
          </w:p>
        </w:tc>
        <w:tc>
          <w:tcPr>
            <w:tcW w:w="1780" w:type="dxa"/>
            <w:shd w:val="pct10" w:color="auto" w:fill="auto"/>
          </w:tcPr>
          <w:p w:rsidR="00DA33E1" w:rsidRPr="001D3FFE" w:rsidRDefault="00DA33E1" w:rsidP="00AD6F7E">
            <w:pPr>
              <w:pStyle w:val="StandaardSV"/>
              <w:jc w:val="right"/>
              <w:rPr>
                <w:szCs w:val="22"/>
              </w:rPr>
            </w:pPr>
            <w:r>
              <w:rPr>
                <w:szCs w:val="22"/>
              </w:rPr>
              <w:t>Bedrag (in euro)</w:t>
            </w:r>
          </w:p>
        </w:tc>
      </w:tr>
      <w:tr w:rsidR="00DA33E1" w:rsidRPr="001D3FFE" w:rsidTr="00D059F4">
        <w:tc>
          <w:tcPr>
            <w:tcW w:w="766" w:type="dxa"/>
            <w:shd w:val="clear" w:color="auto" w:fill="auto"/>
          </w:tcPr>
          <w:p w:rsidR="00DA33E1" w:rsidRPr="001D3FFE" w:rsidRDefault="00DA33E1" w:rsidP="00AD6F7E">
            <w:pPr>
              <w:pStyle w:val="StandaardSV"/>
              <w:jc w:val="center"/>
              <w:rPr>
                <w:szCs w:val="22"/>
              </w:rPr>
            </w:pPr>
            <w:r w:rsidRPr="001D3FFE">
              <w:rPr>
                <w:szCs w:val="22"/>
              </w:rPr>
              <w:t>2009</w:t>
            </w:r>
          </w:p>
        </w:tc>
        <w:tc>
          <w:tcPr>
            <w:tcW w:w="1780" w:type="dxa"/>
            <w:shd w:val="clear" w:color="auto" w:fill="auto"/>
          </w:tcPr>
          <w:p w:rsidR="00DA33E1" w:rsidRPr="001D3FFE" w:rsidRDefault="00DA33E1" w:rsidP="00AD6F7E">
            <w:pPr>
              <w:pStyle w:val="StandaardSV"/>
              <w:jc w:val="right"/>
              <w:rPr>
                <w:szCs w:val="22"/>
              </w:rPr>
            </w:pPr>
            <w:r w:rsidRPr="001D3FFE">
              <w:rPr>
                <w:szCs w:val="22"/>
                <w:lang w:val="nl-BE" w:eastAsia="nl-BE"/>
              </w:rPr>
              <w:t>546.816,48</w:t>
            </w:r>
          </w:p>
        </w:tc>
      </w:tr>
      <w:tr w:rsidR="00DA33E1" w:rsidRPr="001D3FFE" w:rsidTr="00D059F4">
        <w:tc>
          <w:tcPr>
            <w:tcW w:w="766" w:type="dxa"/>
            <w:shd w:val="clear" w:color="auto" w:fill="auto"/>
          </w:tcPr>
          <w:p w:rsidR="00DA33E1" w:rsidRPr="001D3FFE" w:rsidRDefault="00DA33E1" w:rsidP="00AD6F7E">
            <w:pPr>
              <w:pStyle w:val="StandaardSV"/>
              <w:jc w:val="center"/>
              <w:rPr>
                <w:szCs w:val="22"/>
              </w:rPr>
            </w:pPr>
            <w:r w:rsidRPr="001D3FFE">
              <w:rPr>
                <w:szCs w:val="22"/>
              </w:rPr>
              <w:t>2010</w:t>
            </w:r>
          </w:p>
        </w:tc>
        <w:tc>
          <w:tcPr>
            <w:tcW w:w="1780" w:type="dxa"/>
            <w:shd w:val="clear" w:color="auto" w:fill="auto"/>
          </w:tcPr>
          <w:p w:rsidR="00DA33E1" w:rsidRPr="001D3FFE" w:rsidRDefault="00DA33E1" w:rsidP="00AD6F7E">
            <w:pPr>
              <w:pStyle w:val="StandaardSV"/>
              <w:jc w:val="right"/>
              <w:rPr>
                <w:szCs w:val="22"/>
              </w:rPr>
            </w:pPr>
            <w:r w:rsidRPr="001D3FFE">
              <w:rPr>
                <w:szCs w:val="22"/>
                <w:lang w:val="nl-BE" w:eastAsia="nl-BE"/>
              </w:rPr>
              <w:t>1.518.909,22</w:t>
            </w:r>
          </w:p>
        </w:tc>
      </w:tr>
      <w:tr w:rsidR="00DA33E1" w:rsidRPr="001D3FFE" w:rsidTr="00D059F4">
        <w:tc>
          <w:tcPr>
            <w:tcW w:w="766" w:type="dxa"/>
            <w:shd w:val="clear" w:color="auto" w:fill="auto"/>
          </w:tcPr>
          <w:p w:rsidR="00DA33E1" w:rsidRPr="001D3FFE" w:rsidRDefault="00DA33E1" w:rsidP="00AD6F7E">
            <w:pPr>
              <w:pStyle w:val="StandaardSV"/>
              <w:jc w:val="center"/>
              <w:rPr>
                <w:szCs w:val="22"/>
              </w:rPr>
            </w:pPr>
            <w:r w:rsidRPr="001D3FFE">
              <w:rPr>
                <w:szCs w:val="22"/>
              </w:rPr>
              <w:t>2011</w:t>
            </w:r>
          </w:p>
        </w:tc>
        <w:tc>
          <w:tcPr>
            <w:tcW w:w="1780" w:type="dxa"/>
            <w:shd w:val="clear" w:color="auto" w:fill="auto"/>
          </w:tcPr>
          <w:p w:rsidR="00DA33E1" w:rsidRPr="001D3FFE" w:rsidRDefault="00DA33E1" w:rsidP="00AD6F7E">
            <w:pPr>
              <w:pStyle w:val="StandaardSV"/>
              <w:jc w:val="right"/>
              <w:rPr>
                <w:szCs w:val="22"/>
              </w:rPr>
            </w:pPr>
            <w:r w:rsidRPr="001D3FFE">
              <w:rPr>
                <w:szCs w:val="22"/>
                <w:lang w:val="nl-BE" w:eastAsia="nl-BE"/>
              </w:rPr>
              <w:t>1.025.832,98</w:t>
            </w:r>
          </w:p>
        </w:tc>
      </w:tr>
    </w:tbl>
    <w:p w:rsidR="00DA33E1" w:rsidRPr="001D3FFE" w:rsidRDefault="00DA33E1" w:rsidP="00280A0E">
      <w:pPr>
        <w:ind w:left="1416"/>
        <w:rPr>
          <w:sz w:val="22"/>
          <w:szCs w:val="22"/>
          <w:lang w:val="nl-BE" w:eastAsia="nl-BE"/>
        </w:rPr>
      </w:pPr>
    </w:p>
    <w:p w:rsidR="00DA33E1" w:rsidRDefault="00DA33E1" w:rsidP="00FF2866">
      <w:pPr>
        <w:pStyle w:val="StandaardSV"/>
        <w:ind w:left="1416"/>
        <w:rPr>
          <w:szCs w:val="22"/>
        </w:rPr>
      </w:pPr>
      <w:r w:rsidRPr="00DA33E1">
        <w:rPr>
          <w:szCs w:val="22"/>
        </w:rPr>
        <w:t>Voor 95% van de handgiften werden fiscale attesten uitgereikt. Er dienen voor de l</w:t>
      </w:r>
      <w:r w:rsidRPr="00DA33E1">
        <w:rPr>
          <w:szCs w:val="22"/>
        </w:rPr>
        <w:t>e</w:t>
      </w:r>
      <w:r w:rsidRPr="00DA33E1">
        <w:rPr>
          <w:szCs w:val="22"/>
        </w:rPr>
        <w:t>gaten geen afzonderlijke fiscale attesten te worden opgemaakt door de UA aangezien deze schenkingen steeds via een notaris lopen en zo de fiscaliteit mee geregeld wordt.</w:t>
      </w:r>
    </w:p>
    <w:p w:rsidR="00DA33E1" w:rsidRDefault="00DA33E1" w:rsidP="00FF2866">
      <w:pPr>
        <w:pStyle w:val="StandaardSV"/>
        <w:ind w:left="1416"/>
        <w:rPr>
          <w:szCs w:val="22"/>
        </w:rPr>
      </w:pPr>
    </w:p>
    <w:p w:rsidR="00DA33E1" w:rsidRDefault="00DA33E1" w:rsidP="00FF2866">
      <w:pPr>
        <w:pStyle w:val="StandaardSV"/>
        <w:ind w:left="1416"/>
        <w:rPr>
          <w:szCs w:val="22"/>
        </w:rPr>
      </w:pPr>
      <w:r w:rsidRPr="00DA33E1">
        <w:rPr>
          <w:szCs w:val="22"/>
        </w:rPr>
        <w:t xml:space="preserve">Van de handgiften werd meer dan 80% aan onderzoek besteed. Aan legaten geeft de </w:t>
      </w:r>
      <w:r w:rsidR="00A362A5">
        <w:rPr>
          <w:szCs w:val="22"/>
        </w:rPr>
        <w:t>UA</w:t>
      </w:r>
      <w:r w:rsidRPr="00DA33E1">
        <w:rPr>
          <w:szCs w:val="22"/>
        </w:rPr>
        <w:t xml:space="preserve"> via haar bestuurscollege een bestemming. Deze bestemming (die meestal de voo</w:t>
      </w:r>
      <w:r w:rsidRPr="00DA33E1">
        <w:rPr>
          <w:szCs w:val="22"/>
        </w:rPr>
        <w:t>r</w:t>
      </w:r>
      <w:r w:rsidRPr="00DA33E1">
        <w:rPr>
          <w:szCs w:val="22"/>
        </w:rPr>
        <w:t xml:space="preserve">keur van de schenker volgt) kan een onmiddellijke en volledige toewijzing zijn aan </w:t>
      </w:r>
      <w:r w:rsidRPr="00DA33E1">
        <w:rPr>
          <w:szCs w:val="22"/>
        </w:rPr>
        <w:lastRenderedPageBreak/>
        <w:t xml:space="preserve">een onderzoeksproject of een jaarlijkse toekenning van een prijs of doctoraatsbursaal. Indien de volledige som van het legaat niet meteen volledig wordt toegekend, dan wordt deze som geoormerkt in de portefeuille van de universiteit en </w:t>
      </w:r>
      <w:r w:rsidR="00091ABD">
        <w:rPr>
          <w:szCs w:val="22"/>
        </w:rPr>
        <w:t>w</w:t>
      </w:r>
      <w:r w:rsidRPr="00DA33E1">
        <w:rPr>
          <w:szCs w:val="22"/>
        </w:rPr>
        <w:t>orden de fina</w:t>
      </w:r>
      <w:r w:rsidRPr="00DA33E1">
        <w:rPr>
          <w:szCs w:val="22"/>
        </w:rPr>
        <w:t>n</w:t>
      </w:r>
      <w:r w:rsidRPr="00DA33E1">
        <w:rPr>
          <w:szCs w:val="22"/>
        </w:rPr>
        <w:t>ciële opbrengsten toegevoegd en/of aangewend voor de jaarlijkse toekenningen aan prijzen, bursalen of onderzoek.</w:t>
      </w:r>
    </w:p>
    <w:p w:rsidR="00AA2222" w:rsidRDefault="00AA2222" w:rsidP="00280A0E">
      <w:pPr>
        <w:ind w:left="1416"/>
        <w:rPr>
          <w:iCs/>
          <w:sz w:val="22"/>
          <w:szCs w:val="22"/>
        </w:rPr>
      </w:pPr>
    </w:p>
    <w:p w:rsidR="00A362A5" w:rsidRPr="00D059F4" w:rsidRDefault="00A362A5" w:rsidP="00D059F4">
      <w:pPr>
        <w:pStyle w:val="Lijstalinea"/>
        <w:numPr>
          <w:ilvl w:val="2"/>
          <w:numId w:val="20"/>
        </w:numPr>
        <w:rPr>
          <w:iCs/>
          <w:sz w:val="22"/>
          <w:szCs w:val="22"/>
        </w:rPr>
      </w:pPr>
      <w:r w:rsidRPr="00D059F4">
        <w:rPr>
          <w:iCs/>
          <w:sz w:val="22"/>
          <w:szCs w:val="22"/>
        </w:rPr>
        <w:t>Universiteit Gent (UGent)</w:t>
      </w:r>
    </w:p>
    <w:p w:rsidR="00A362A5" w:rsidRDefault="00A362A5" w:rsidP="00280A0E">
      <w:pPr>
        <w:ind w:left="1416"/>
        <w:rPr>
          <w:iCs/>
          <w:sz w:val="22"/>
          <w:szCs w:val="22"/>
        </w:rPr>
      </w:pPr>
    </w:p>
    <w:p w:rsidR="00A362A5" w:rsidRDefault="00B4252A" w:rsidP="00FF2866">
      <w:pPr>
        <w:ind w:left="1416"/>
        <w:jc w:val="both"/>
        <w:rPr>
          <w:iCs/>
          <w:sz w:val="22"/>
          <w:szCs w:val="22"/>
        </w:rPr>
      </w:pPr>
      <w:r>
        <w:rPr>
          <w:iCs/>
          <w:sz w:val="22"/>
          <w:szCs w:val="22"/>
        </w:rPr>
        <w:t xml:space="preserve">De </w:t>
      </w:r>
      <w:r w:rsidR="00A362A5" w:rsidRPr="00A362A5">
        <w:rPr>
          <w:iCs/>
          <w:sz w:val="22"/>
          <w:szCs w:val="22"/>
        </w:rPr>
        <w:t>UGent ontving de volgende bedragen</w:t>
      </w:r>
      <w:r w:rsidR="00A362A5">
        <w:rPr>
          <w:iCs/>
          <w:sz w:val="22"/>
          <w:szCs w:val="22"/>
        </w:rPr>
        <w:t xml:space="preserve"> (i</w:t>
      </w:r>
      <w:r w:rsidR="00A362A5" w:rsidRPr="00A362A5">
        <w:rPr>
          <w:iCs/>
          <w:sz w:val="22"/>
          <w:szCs w:val="22"/>
        </w:rPr>
        <w:t xml:space="preserve">nclusief een dotatie van de Nationale Bank van België van </w:t>
      </w:r>
      <w:r w:rsidR="00A362A5">
        <w:rPr>
          <w:iCs/>
          <w:sz w:val="22"/>
          <w:szCs w:val="22"/>
        </w:rPr>
        <w:t>±</w:t>
      </w:r>
      <w:r w:rsidR="00A362A5" w:rsidRPr="00A362A5">
        <w:rPr>
          <w:iCs/>
          <w:sz w:val="22"/>
          <w:szCs w:val="22"/>
        </w:rPr>
        <w:t xml:space="preserve"> </w:t>
      </w:r>
      <w:r w:rsidR="00A362A5">
        <w:rPr>
          <w:iCs/>
          <w:sz w:val="22"/>
          <w:szCs w:val="22"/>
        </w:rPr>
        <w:t>2</w:t>
      </w:r>
      <w:r w:rsidR="00A362A5" w:rsidRPr="00A362A5">
        <w:rPr>
          <w:iCs/>
          <w:sz w:val="22"/>
          <w:szCs w:val="22"/>
        </w:rPr>
        <w:t>00.000</w:t>
      </w:r>
      <w:r w:rsidR="00A362A5">
        <w:rPr>
          <w:iCs/>
          <w:sz w:val="22"/>
          <w:szCs w:val="22"/>
        </w:rPr>
        <w:t xml:space="preserve"> euro):</w:t>
      </w:r>
    </w:p>
    <w:p w:rsidR="00A362A5" w:rsidRDefault="00A362A5" w:rsidP="00280A0E">
      <w:pPr>
        <w:ind w:left="1416"/>
        <w:rPr>
          <w:iCs/>
          <w:sz w:val="22"/>
          <w:szCs w:val="22"/>
        </w:rPr>
      </w:pPr>
    </w:p>
    <w:tbl>
      <w:tblPr>
        <w:tblW w:w="0" w:type="auto"/>
        <w:tblInd w:w="1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2141"/>
        <w:gridCol w:w="1780"/>
      </w:tblGrid>
      <w:tr w:rsidR="0053058A" w:rsidRPr="001D3FFE" w:rsidTr="00D059F4">
        <w:tc>
          <w:tcPr>
            <w:tcW w:w="766" w:type="dxa"/>
            <w:shd w:val="pct10" w:color="auto" w:fill="auto"/>
          </w:tcPr>
          <w:p w:rsidR="0053058A" w:rsidRPr="001D3FFE" w:rsidRDefault="0053058A" w:rsidP="00AD6F7E">
            <w:pPr>
              <w:jc w:val="center"/>
              <w:rPr>
                <w:sz w:val="22"/>
                <w:szCs w:val="22"/>
              </w:rPr>
            </w:pPr>
            <w:r>
              <w:rPr>
                <w:sz w:val="22"/>
                <w:szCs w:val="22"/>
              </w:rPr>
              <w:t>Jaar</w:t>
            </w:r>
          </w:p>
        </w:tc>
        <w:tc>
          <w:tcPr>
            <w:tcW w:w="2141" w:type="dxa"/>
            <w:shd w:val="pct10" w:color="auto" w:fill="auto"/>
          </w:tcPr>
          <w:p w:rsidR="0053058A" w:rsidRPr="001D3FFE" w:rsidRDefault="0053058A" w:rsidP="00AD6F7E">
            <w:pPr>
              <w:rPr>
                <w:sz w:val="22"/>
                <w:szCs w:val="22"/>
              </w:rPr>
            </w:pPr>
            <w:r>
              <w:rPr>
                <w:sz w:val="22"/>
                <w:szCs w:val="22"/>
              </w:rPr>
              <w:t>Fiscale fiche</w:t>
            </w:r>
          </w:p>
        </w:tc>
        <w:tc>
          <w:tcPr>
            <w:tcW w:w="1780" w:type="dxa"/>
            <w:shd w:val="pct10" w:color="auto" w:fill="auto"/>
          </w:tcPr>
          <w:p w:rsidR="0053058A" w:rsidRPr="001D3FFE" w:rsidRDefault="0053058A" w:rsidP="00AD6F7E">
            <w:pPr>
              <w:jc w:val="right"/>
              <w:rPr>
                <w:sz w:val="22"/>
                <w:szCs w:val="22"/>
              </w:rPr>
            </w:pPr>
            <w:r>
              <w:rPr>
                <w:sz w:val="22"/>
                <w:szCs w:val="22"/>
              </w:rPr>
              <w:t>Bedrag (in euro)</w:t>
            </w:r>
          </w:p>
        </w:tc>
      </w:tr>
      <w:tr w:rsidR="0053058A" w:rsidRPr="001D3FFE" w:rsidTr="00D059F4">
        <w:tc>
          <w:tcPr>
            <w:tcW w:w="766" w:type="dxa"/>
            <w:vMerge w:val="restart"/>
            <w:shd w:val="clear" w:color="auto" w:fill="auto"/>
          </w:tcPr>
          <w:p w:rsidR="0053058A" w:rsidRPr="001D3FFE" w:rsidRDefault="0053058A" w:rsidP="00AD6F7E">
            <w:pPr>
              <w:jc w:val="center"/>
              <w:rPr>
                <w:sz w:val="22"/>
                <w:szCs w:val="22"/>
              </w:rPr>
            </w:pPr>
            <w:r w:rsidRPr="001D3FFE">
              <w:rPr>
                <w:sz w:val="22"/>
                <w:szCs w:val="22"/>
              </w:rPr>
              <w:t>2009</w:t>
            </w:r>
          </w:p>
        </w:tc>
        <w:tc>
          <w:tcPr>
            <w:tcW w:w="2141" w:type="dxa"/>
            <w:shd w:val="clear" w:color="auto" w:fill="auto"/>
          </w:tcPr>
          <w:p w:rsidR="0053058A" w:rsidRPr="001D3FFE" w:rsidRDefault="0053058A" w:rsidP="00AD6F7E">
            <w:pPr>
              <w:rPr>
                <w:sz w:val="22"/>
                <w:szCs w:val="22"/>
              </w:rPr>
            </w:pPr>
            <w:r>
              <w:rPr>
                <w:sz w:val="22"/>
                <w:szCs w:val="22"/>
              </w:rPr>
              <w:t>M</w:t>
            </w:r>
            <w:r w:rsidRPr="001D3FFE">
              <w:rPr>
                <w:sz w:val="22"/>
                <w:szCs w:val="22"/>
              </w:rPr>
              <w:t xml:space="preserve">et fiscale fiche </w:t>
            </w:r>
          </w:p>
        </w:tc>
        <w:tc>
          <w:tcPr>
            <w:tcW w:w="1780" w:type="dxa"/>
            <w:shd w:val="clear" w:color="auto" w:fill="auto"/>
          </w:tcPr>
          <w:p w:rsidR="0053058A" w:rsidRPr="001D3FFE" w:rsidRDefault="0053058A" w:rsidP="00AD6F7E">
            <w:pPr>
              <w:jc w:val="right"/>
              <w:rPr>
                <w:sz w:val="22"/>
                <w:szCs w:val="22"/>
              </w:rPr>
            </w:pPr>
            <w:r w:rsidRPr="001D3FFE">
              <w:rPr>
                <w:sz w:val="22"/>
                <w:szCs w:val="22"/>
              </w:rPr>
              <w:t>403.301,96</w:t>
            </w:r>
          </w:p>
        </w:tc>
      </w:tr>
      <w:tr w:rsidR="0053058A" w:rsidRPr="001D3FFE" w:rsidTr="00D059F4">
        <w:tc>
          <w:tcPr>
            <w:tcW w:w="766" w:type="dxa"/>
            <w:vMerge/>
            <w:shd w:val="clear" w:color="auto" w:fill="auto"/>
          </w:tcPr>
          <w:p w:rsidR="0053058A" w:rsidRPr="001D3FFE" w:rsidRDefault="0053058A" w:rsidP="00AD6F7E">
            <w:pPr>
              <w:jc w:val="center"/>
              <w:rPr>
                <w:sz w:val="22"/>
                <w:szCs w:val="22"/>
              </w:rPr>
            </w:pPr>
          </w:p>
        </w:tc>
        <w:tc>
          <w:tcPr>
            <w:tcW w:w="2141" w:type="dxa"/>
            <w:shd w:val="clear" w:color="auto" w:fill="auto"/>
          </w:tcPr>
          <w:p w:rsidR="0053058A" w:rsidRPr="001D3FFE" w:rsidRDefault="0053058A" w:rsidP="00AD6F7E">
            <w:pPr>
              <w:rPr>
                <w:sz w:val="22"/>
                <w:szCs w:val="22"/>
              </w:rPr>
            </w:pPr>
            <w:r>
              <w:rPr>
                <w:sz w:val="22"/>
                <w:szCs w:val="22"/>
              </w:rPr>
              <w:t>Z</w:t>
            </w:r>
            <w:r w:rsidRPr="001D3FFE">
              <w:rPr>
                <w:sz w:val="22"/>
                <w:szCs w:val="22"/>
              </w:rPr>
              <w:t xml:space="preserve">onder </w:t>
            </w:r>
            <w:r>
              <w:rPr>
                <w:sz w:val="22"/>
                <w:szCs w:val="22"/>
              </w:rPr>
              <w:t xml:space="preserve">fiscale </w:t>
            </w:r>
            <w:r w:rsidRPr="001D3FFE">
              <w:rPr>
                <w:sz w:val="22"/>
                <w:szCs w:val="22"/>
              </w:rPr>
              <w:t xml:space="preserve">fiche </w:t>
            </w:r>
          </w:p>
        </w:tc>
        <w:tc>
          <w:tcPr>
            <w:tcW w:w="1780" w:type="dxa"/>
            <w:shd w:val="clear" w:color="auto" w:fill="auto"/>
          </w:tcPr>
          <w:p w:rsidR="0053058A" w:rsidRPr="001D3FFE" w:rsidRDefault="0053058A" w:rsidP="00AD6F7E">
            <w:pPr>
              <w:jc w:val="right"/>
              <w:rPr>
                <w:sz w:val="22"/>
                <w:szCs w:val="22"/>
              </w:rPr>
            </w:pPr>
            <w:r w:rsidRPr="001D3FFE">
              <w:rPr>
                <w:sz w:val="22"/>
                <w:szCs w:val="22"/>
              </w:rPr>
              <w:t>542.750,45</w:t>
            </w:r>
          </w:p>
        </w:tc>
      </w:tr>
      <w:tr w:rsidR="0053058A" w:rsidRPr="001D3FFE" w:rsidTr="00D059F4">
        <w:tc>
          <w:tcPr>
            <w:tcW w:w="766" w:type="dxa"/>
            <w:vMerge w:val="restart"/>
            <w:shd w:val="clear" w:color="auto" w:fill="auto"/>
          </w:tcPr>
          <w:p w:rsidR="0053058A" w:rsidRPr="001D3FFE" w:rsidRDefault="0053058A" w:rsidP="00AD6F7E">
            <w:pPr>
              <w:jc w:val="center"/>
              <w:rPr>
                <w:sz w:val="22"/>
                <w:szCs w:val="22"/>
                <w:lang w:val="it-IT"/>
              </w:rPr>
            </w:pPr>
            <w:r w:rsidRPr="001D3FFE">
              <w:rPr>
                <w:sz w:val="22"/>
                <w:szCs w:val="22"/>
                <w:lang w:val="it-IT"/>
              </w:rPr>
              <w:t>2010</w:t>
            </w:r>
          </w:p>
        </w:tc>
        <w:tc>
          <w:tcPr>
            <w:tcW w:w="2141" w:type="dxa"/>
            <w:shd w:val="clear" w:color="auto" w:fill="auto"/>
          </w:tcPr>
          <w:p w:rsidR="0053058A" w:rsidRPr="001D3FFE" w:rsidRDefault="0053058A" w:rsidP="00AD6F7E">
            <w:pPr>
              <w:rPr>
                <w:sz w:val="22"/>
                <w:szCs w:val="22"/>
                <w:lang w:val="it-IT"/>
              </w:rPr>
            </w:pPr>
            <w:r>
              <w:rPr>
                <w:sz w:val="22"/>
                <w:szCs w:val="22"/>
                <w:lang w:val="it-IT"/>
              </w:rPr>
              <w:t>M</w:t>
            </w:r>
            <w:r w:rsidRPr="001D3FFE">
              <w:rPr>
                <w:sz w:val="22"/>
                <w:szCs w:val="22"/>
                <w:lang w:val="it-IT"/>
              </w:rPr>
              <w:t xml:space="preserve">et fiscale fiche </w:t>
            </w:r>
          </w:p>
        </w:tc>
        <w:tc>
          <w:tcPr>
            <w:tcW w:w="1780" w:type="dxa"/>
            <w:shd w:val="clear" w:color="auto" w:fill="auto"/>
          </w:tcPr>
          <w:p w:rsidR="0053058A" w:rsidRPr="001D3FFE" w:rsidRDefault="0053058A" w:rsidP="00AD6F7E">
            <w:pPr>
              <w:jc w:val="right"/>
              <w:rPr>
                <w:sz w:val="22"/>
                <w:szCs w:val="22"/>
                <w:lang w:val="it-IT"/>
              </w:rPr>
            </w:pPr>
            <w:r w:rsidRPr="001D3FFE">
              <w:rPr>
                <w:sz w:val="22"/>
                <w:szCs w:val="22"/>
                <w:lang w:val="it-IT"/>
              </w:rPr>
              <w:t>436.877,71</w:t>
            </w:r>
          </w:p>
        </w:tc>
      </w:tr>
      <w:tr w:rsidR="0053058A" w:rsidRPr="001D3FFE" w:rsidTr="00D059F4">
        <w:tc>
          <w:tcPr>
            <w:tcW w:w="766" w:type="dxa"/>
            <w:vMerge/>
            <w:shd w:val="clear" w:color="auto" w:fill="auto"/>
          </w:tcPr>
          <w:p w:rsidR="0053058A" w:rsidRPr="001D3FFE" w:rsidRDefault="0053058A" w:rsidP="00AD6F7E">
            <w:pPr>
              <w:jc w:val="center"/>
              <w:rPr>
                <w:sz w:val="22"/>
                <w:szCs w:val="22"/>
                <w:lang w:val="it-IT"/>
              </w:rPr>
            </w:pPr>
          </w:p>
        </w:tc>
        <w:tc>
          <w:tcPr>
            <w:tcW w:w="2141" w:type="dxa"/>
            <w:shd w:val="clear" w:color="auto" w:fill="auto"/>
          </w:tcPr>
          <w:p w:rsidR="0053058A" w:rsidRPr="001D3FFE" w:rsidRDefault="0053058A" w:rsidP="00AD6F7E">
            <w:pPr>
              <w:rPr>
                <w:sz w:val="22"/>
                <w:szCs w:val="22"/>
                <w:lang w:val="it-IT"/>
              </w:rPr>
            </w:pPr>
            <w:r>
              <w:rPr>
                <w:sz w:val="22"/>
                <w:szCs w:val="22"/>
                <w:lang w:val="it-IT"/>
              </w:rPr>
              <w:t>Z</w:t>
            </w:r>
            <w:r w:rsidRPr="001D3FFE">
              <w:rPr>
                <w:sz w:val="22"/>
                <w:szCs w:val="22"/>
                <w:lang w:val="it-IT"/>
              </w:rPr>
              <w:t xml:space="preserve">onder </w:t>
            </w:r>
            <w:r>
              <w:rPr>
                <w:sz w:val="22"/>
                <w:szCs w:val="22"/>
                <w:lang w:val="it-IT"/>
              </w:rPr>
              <w:t xml:space="preserve">fiscale </w:t>
            </w:r>
            <w:r w:rsidRPr="001D3FFE">
              <w:rPr>
                <w:sz w:val="22"/>
                <w:szCs w:val="22"/>
                <w:lang w:val="it-IT"/>
              </w:rPr>
              <w:t xml:space="preserve">fiche </w:t>
            </w:r>
          </w:p>
        </w:tc>
        <w:tc>
          <w:tcPr>
            <w:tcW w:w="1780" w:type="dxa"/>
            <w:shd w:val="clear" w:color="auto" w:fill="auto"/>
          </w:tcPr>
          <w:p w:rsidR="0053058A" w:rsidRPr="001D3FFE" w:rsidRDefault="0053058A" w:rsidP="00AD6F7E">
            <w:pPr>
              <w:jc w:val="right"/>
              <w:rPr>
                <w:sz w:val="22"/>
                <w:szCs w:val="22"/>
                <w:lang w:val="it-IT"/>
              </w:rPr>
            </w:pPr>
            <w:r w:rsidRPr="001D3FFE">
              <w:rPr>
                <w:sz w:val="22"/>
                <w:szCs w:val="22"/>
                <w:lang w:val="it-IT"/>
              </w:rPr>
              <w:t>634.812,64</w:t>
            </w:r>
          </w:p>
        </w:tc>
      </w:tr>
      <w:tr w:rsidR="0053058A" w:rsidRPr="001D3FFE" w:rsidTr="00D059F4">
        <w:tc>
          <w:tcPr>
            <w:tcW w:w="766" w:type="dxa"/>
            <w:vMerge w:val="restart"/>
            <w:shd w:val="clear" w:color="auto" w:fill="auto"/>
          </w:tcPr>
          <w:p w:rsidR="0053058A" w:rsidRPr="001D3FFE" w:rsidRDefault="0053058A" w:rsidP="00AD6F7E">
            <w:pPr>
              <w:jc w:val="center"/>
              <w:rPr>
                <w:sz w:val="22"/>
                <w:szCs w:val="22"/>
                <w:lang w:val="it-IT"/>
              </w:rPr>
            </w:pPr>
            <w:r w:rsidRPr="001D3FFE">
              <w:rPr>
                <w:sz w:val="22"/>
                <w:szCs w:val="22"/>
                <w:lang w:val="it-IT"/>
              </w:rPr>
              <w:t>2011</w:t>
            </w:r>
          </w:p>
        </w:tc>
        <w:tc>
          <w:tcPr>
            <w:tcW w:w="2141" w:type="dxa"/>
            <w:shd w:val="clear" w:color="auto" w:fill="auto"/>
          </w:tcPr>
          <w:p w:rsidR="0053058A" w:rsidRPr="001D3FFE" w:rsidRDefault="0053058A" w:rsidP="00AD6F7E">
            <w:pPr>
              <w:rPr>
                <w:sz w:val="22"/>
                <w:szCs w:val="22"/>
                <w:lang w:val="it-IT"/>
              </w:rPr>
            </w:pPr>
            <w:r>
              <w:rPr>
                <w:sz w:val="22"/>
                <w:szCs w:val="22"/>
                <w:lang w:val="it-IT"/>
              </w:rPr>
              <w:t>M</w:t>
            </w:r>
            <w:r w:rsidRPr="001D3FFE">
              <w:rPr>
                <w:sz w:val="22"/>
                <w:szCs w:val="22"/>
                <w:lang w:val="it-IT"/>
              </w:rPr>
              <w:t xml:space="preserve">et fiscale fiche </w:t>
            </w:r>
          </w:p>
        </w:tc>
        <w:tc>
          <w:tcPr>
            <w:tcW w:w="1780" w:type="dxa"/>
            <w:shd w:val="clear" w:color="auto" w:fill="auto"/>
          </w:tcPr>
          <w:p w:rsidR="0053058A" w:rsidRPr="001D3FFE" w:rsidRDefault="0053058A" w:rsidP="00AD6F7E">
            <w:pPr>
              <w:jc w:val="right"/>
              <w:rPr>
                <w:sz w:val="22"/>
                <w:szCs w:val="22"/>
                <w:lang w:val="it-IT"/>
              </w:rPr>
            </w:pPr>
            <w:r w:rsidRPr="001D3FFE">
              <w:rPr>
                <w:sz w:val="22"/>
                <w:szCs w:val="22"/>
                <w:lang w:val="it-IT"/>
              </w:rPr>
              <w:t>393.753,84</w:t>
            </w:r>
          </w:p>
        </w:tc>
      </w:tr>
      <w:tr w:rsidR="0053058A" w:rsidRPr="001D3FFE" w:rsidTr="00D059F4">
        <w:tc>
          <w:tcPr>
            <w:tcW w:w="766" w:type="dxa"/>
            <w:vMerge/>
            <w:shd w:val="clear" w:color="auto" w:fill="auto"/>
          </w:tcPr>
          <w:p w:rsidR="0053058A" w:rsidRPr="001D3FFE" w:rsidRDefault="0053058A" w:rsidP="00AD6F7E">
            <w:pPr>
              <w:jc w:val="center"/>
              <w:rPr>
                <w:sz w:val="22"/>
                <w:szCs w:val="22"/>
                <w:lang w:val="it-IT"/>
              </w:rPr>
            </w:pPr>
          </w:p>
        </w:tc>
        <w:tc>
          <w:tcPr>
            <w:tcW w:w="2141" w:type="dxa"/>
            <w:shd w:val="clear" w:color="auto" w:fill="auto"/>
          </w:tcPr>
          <w:p w:rsidR="0053058A" w:rsidRPr="001D3FFE" w:rsidRDefault="0053058A" w:rsidP="00AD6F7E">
            <w:pPr>
              <w:rPr>
                <w:sz w:val="22"/>
                <w:szCs w:val="22"/>
                <w:lang w:val="it-IT"/>
              </w:rPr>
            </w:pPr>
            <w:r>
              <w:rPr>
                <w:sz w:val="22"/>
                <w:szCs w:val="22"/>
                <w:lang w:val="it-IT"/>
              </w:rPr>
              <w:t>Z</w:t>
            </w:r>
            <w:r w:rsidRPr="001D3FFE">
              <w:rPr>
                <w:sz w:val="22"/>
                <w:szCs w:val="22"/>
                <w:lang w:val="it-IT"/>
              </w:rPr>
              <w:t xml:space="preserve">onder </w:t>
            </w:r>
            <w:r>
              <w:rPr>
                <w:sz w:val="22"/>
                <w:szCs w:val="22"/>
                <w:lang w:val="it-IT"/>
              </w:rPr>
              <w:t xml:space="preserve">fiscale </w:t>
            </w:r>
            <w:r w:rsidRPr="001D3FFE">
              <w:rPr>
                <w:sz w:val="22"/>
                <w:szCs w:val="22"/>
                <w:lang w:val="it-IT"/>
              </w:rPr>
              <w:t xml:space="preserve">fiche </w:t>
            </w:r>
          </w:p>
        </w:tc>
        <w:tc>
          <w:tcPr>
            <w:tcW w:w="1780" w:type="dxa"/>
            <w:shd w:val="clear" w:color="auto" w:fill="auto"/>
          </w:tcPr>
          <w:p w:rsidR="0053058A" w:rsidRPr="001D3FFE" w:rsidRDefault="0053058A" w:rsidP="00AD6F7E">
            <w:pPr>
              <w:jc w:val="right"/>
              <w:rPr>
                <w:sz w:val="22"/>
                <w:szCs w:val="22"/>
                <w:lang w:val="it-IT"/>
              </w:rPr>
            </w:pPr>
            <w:r w:rsidRPr="001D3FFE">
              <w:rPr>
                <w:sz w:val="22"/>
                <w:szCs w:val="22"/>
                <w:lang w:val="it-IT"/>
              </w:rPr>
              <w:t>1.277.391,61</w:t>
            </w:r>
          </w:p>
        </w:tc>
      </w:tr>
    </w:tbl>
    <w:p w:rsidR="00A362A5" w:rsidRDefault="00A362A5" w:rsidP="00280A0E">
      <w:pPr>
        <w:ind w:left="1416"/>
        <w:rPr>
          <w:iCs/>
          <w:sz w:val="22"/>
          <w:szCs w:val="22"/>
        </w:rPr>
      </w:pPr>
    </w:p>
    <w:p w:rsidR="00A362A5" w:rsidRDefault="0053058A" w:rsidP="00FF2866">
      <w:pPr>
        <w:ind w:left="1416"/>
        <w:jc w:val="both"/>
        <w:rPr>
          <w:iCs/>
          <w:sz w:val="22"/>
          <w:szCs w:val="22"/>
        </w:rPr>
      </w:pPr>
      <w:r w:rsidRPr="0053058A">
        <w:rPr>
          <w:iCs/>
          <w:sz w:val="22"/>
          <w:szCs w:val="22"/>
        </w:rPr>
        <w:t xml:space="preserve">Bij </w:t>
      </w:r>
      <w:r w:rsidR="00B4252A">
        <w:rPr>
          <w:iCs/>
          <w:sz w:val="22"/>
          <w:szCs w:val="22"/>
        </w:rPr>
        <w:t xml:space="preserve">de </w:t>
      </w:r>
      <w:r w:rsidRPr="0053058A">
        <w:rPr>
          <w:iCs/>
          <w:sz w:val="22"/>
          <w:szCs w:val="22"/>
        </w:rPr>
        <w:t xml:space="preserve">UGent worden giften voor </w:t>
      </w:r>
      <w:r>
        <w:rPr>
          <w:iCs/>
          <w:sz w:val="22"/>
          <w:szCs w:val="22"/>
        </w:rPr>
        <w:t>onderwijs en onderzoek</w:t>
      </w:r>
      <w:r w:rsidRPr="0053058A">
        <w:rPr>
          <w:iCs/>
          <w:sz w:val="22"/>
          <w:szCs w:val="22"/>
        </w:rPr>
        <w:t xml:space="preserve"> samen beschouwd. Een o</w:t>
      </w:r>
      <w:r w:rsidRPr="0053058A">
        <w:rPr>
          <w:iCs/>
          <w:sz w:val="22"/>
          <w:szCs w:val="22"/>
        </w:rPr>
        <w:t>n</w:t>
      </w:r>
      <w:r w:rsidRPr="0053058A">
        <w:rPr>
          <w:iCs/>
          <w:sz w:val="22"/>
          <w:szCs w:val="22"/>
        </w:rPr>
        <w:t xml:space="preserve">derscheid maken tussen beide is niet mogelijk. Al deze gelden kennen onmiddellijk een bestemming en worden volledig aan </w:t>
      </w:r>
      <w:r>
        <w:rPr>
          <w:iCs/>
          <w:sz w:val="22"/>
          <w:szCs w:val="22"/>
        </w:rPr>
        <w:t xml:space="preserve">onderwijs en </w:t>
      </w:r>
      <w:r w:rsidRPr="0053058A">
        <w:rPr>
          <w:iCs/>
          <w:sz w:val="22"/>
          <w:szCs w:val="22"/>
        </w:rPr>
        <w:t>onderzoek besteed</w:t>
      </w:r>
      <w:r>
        <w:rPr>
          <w:iCs/>
          <w:sz w:val="22"/>
          <w:szCs w:val="22"/>
        </w:rPr>
        <w:t>.</w:t>
      </w:r>
    </w:p>
    <w:p w:rsidR="00A362A5" w:rsidRDefault="00A362A5" w:rsidP="00280A0E">
      <w:pPr>
        <w:ind w:left="1416"/>
        <w:rPr>
          <w:iCs/>
          <w:sz w:val="22"/>
          <w:szCs w:val="22"/>
        </w:rPr>
      </w:pPr>
    </w:p>
    <w:p w:rsidR="00A362A5" w:rsidRPr="00D059F4" w:rsidRDefault="0053058A" w:rsidP="00D059F4">
      <w:pPr>
        <w:pStyle w:val="Lijstalinea"/>
        <w:numPr>
          <w:ilvl w:val="2"/>
          <w:numId w:val="20"/>
        </w:numPr>
        <w:rPr>
          <w:iCs/>
          <w:sz w:val="22"/>
          <w:szCs w:val="22"/>
        </w:rPr>
      </w:pPr>
      <w:r w:rsidRPr="00D059F4">
        <w:rPr>
          <w:iCs/>
          <w:sz w:val="22"/>
          <w:szCs w:val="22"/>
        </w:rPr>
        <w:t>Universiteit Hasselt (UHasselt)</w:t>
      </w:r>
    </w:p>
    <w:p w:rsidR="00A362A5" w:rsidRDefault="00A362A5" w:rsidP="00280A0E">
      <w:pPr>
        <w:ind w:left="1416"/>
        <w:rPr>
          <w:iCs/>
          <w:sz w:val="22"/>
          <w:szCs w:val="22"/>
        </w:rPr>
      </w:pPr>
    </w:p>
    <w:p w:rsidR="0053058A" w:rsidRDefault="00B4252A" w:rsidP="00D059F4">
      <w:pPr>
        <w:ind w:left="1416"/>
        <w:rPr>
          <w:iCs/>
          <w:sz w:val="22"/>
          <w:szCs w:val="22"/>
        </w:rPr>
      </w:pPr>
      <w:r>
        <w:rPr>
          <w:iCs/>
          <w:sz w:val="22"/>
          <w:szCs w:val="22"/>
        </w:rPr>
        <w:t xml:space="preserve">De </w:t>
      </w:r>
      <w:r w:rsidRPr="00B4252A">
        <w:rPr>
          <w:iCs/>
          <w:sz w:val="22"/>
          <w:szCs w:val="22"/>
        </w:rPr>
        <w:t>UHasselt ontving de volgende bedragen:</w:t>
      </w:r>
    </w:p>
    <w:p w:rsidR="0053058A" w:rsidRDefault="0053058A" w:rsidP="00280A0E">
      <w:pPr>
        <w:ind w:left="1416"/>
        <w:rPr>
          <w:iCs/>
          <w:sz w:val="22"/>
          <w:szCs w:val="22"/>
        </w:rPr>
      </w:pPr>
    </w:p>
    <w:tbl>
      <w:tblPr>
        <w:tblW w:w="0" w:type="auto"/>
        <w:tblInd w:w="1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1780"/>
      </w:tblGrid>
      <w:tr w:rsidR="0053058A" w:rsidRPr="001D3FFE" w:rsidTr="00D059F4">
        <w:tc>
          <w:tcPr>
            <w:tcW w:w="766" w:type="dxa"/>
            <w:shd w:val="pct10" w:color="auto" w:fill="auto"/>
          </w:tcPr>
          <w:p w:rsidR="0053058A" w:rsidRPr="001D3FFE" w:rsidRDefault="0053058A" w:rsidP="00AD6F7E">
            <w:pPr>
              <w:pStyle w:val="StandaardSV"/>
              <w:jc w:val="center"/>
              <w:rPr>
                <w:szCs w:val="22"/>
              </w:rPr>
            </w:pPr>
            <w:r>
              <w:rPr>
                <w:szCs w:val="22"/>
              </w:rPr>
              <w:t>Jaar</w:t>
            </w:r>
          </w:p>
        </w:tc>
        <w:tc>
          <w:tcPr>
            <w:tcW w:w="1780" w:type="dxa"/>
            <w:shd w:val="pct10" w:color="auto" w:fill="auto"/>
          </w:tcPr>
          <w:p w:rsidR="0053058A" w:rsidRPr="001D3FFE" w:rsidRDefault="0053058A" w:rsidP="00AD6F7E">
            <w:pPr>
              <w:pStyle w:val="StandaardSV"/>
              <w:jc w:val="right"/>
              <w:rPr>
                <w:szCs w:val="22"/>
              </w:rPr>
            </w:pPr>
            <w:r>
              <w:rPr>
                <w:szCs w:val="22"/>
              </w:rPr>
              <w:t>Bedrag (in euro)</w:t>
            </w:r>
          </w:p>
        </w:tc>
      </w:tr>
      <w:tr w:rsidR="0053058A" w:rsidRPr="001D3FFE" w:rsidTr="00D059F4">
        <w:tc>
          <w:tcPr>
            <w:tcW w:w="766" w:type="dxa"/>
            <w:shd w:val="clear" w:color="auto" w:fill="auto"/>
          </w:tcPr>
          <w:p w:rsidR="0053058A" w:rsidRPr="001D3FFE" w:rsidRDefault="0053058A" w:rsidP="00AD6F7E">
            <w:pPr>
              <w:pStyle w:val="StandaardSV"/>
              <w:jc w:val="center"/>
              <w:rPr>
                <w:szCs w:val="22"/>
              </w:rPr>
            </w:pPr>
            <w:r w:rsidRPr="001D3FFE">
              <w:rPr>
                <w:szCs w:val="22"/>
              </w:rPr>
              <w:t>2009</w:t>
            </w:r>
          </w:p>
        </w:tc>
        <w:tc>
          <w:tcPr>
            <w:tcW w:w="1780" w:type="dxa"/>
            <w:shd w:val="clear" w:color="auto" w:fill="auto"/>
          </w:tcPr>
          <w:p w:rsidR="0053058A" w:rsidRPr="001D3FFE" w:rsidRDefault="00B4252A" w:rsidP="00AD6F7E">
            <w:pPr>
              <w:pStyle w:val="StandaardSV"/>
              <w:jc w:val="right"/>
              <w:rPr>
                <w:szCs w:val="22"/>
              </w:rPr>
            </w:pPr>
            <w:r w:rsidRPr="001D3FFE">
              <w:rPr>
                <w:szCs w:val="22"/>
              </w:rPr>
              <w:t>1.091.901,42</w:t>
            </w:r>
          </w:p>
        </w:tc>
      </w:tr>
      <w:tr w:rsidR="0053058A" w:rsidRPr="001D3FFE" w:rsidTr="00D059F4">
        <w:tc>
          <w:tcPr>
            <w:tcW w:w="766" w:type="dxa"/>
            <w:shd w:val="clear" w:color="auto" w:fill="auto"/>
          </w:tcPr>
          <w:p w:rsidR="0053058A" w:rsidRPr="001D3FFE" w:rsidRDefault="0053058A" w:rsidP="00AD6F7E">
            <w:pPr>
              <w:pStyle w:val="StandaardSV"/>
              <w:jc w:val="center"/>
              <w:rPr>
                <w:szCs w:val="22"/>
              </w:rPr>
            </w:pPr>
            <w:r w:rsidRPr="001D3FFE">
              <w:rPr>
                <w:szCs w:val="22"/>
              </w:rPr>
              <w:t>2010</w:t>
            </w:r>
          </w:p>
        </w:tc>
        <w:tc>
          <w:tcPr>
            <w:tcW w:w="1780" w:type="dxa"/>
            <w:shd w:val="clear" w:color="auto" w:fill="auto"/>
          </w:tcPr>
          <w:p w:rsidR="0053058A" w:rsidRPr="001D3FFE" w:rsidRDefault="00B4252A" w:rsidP="00AD6F7E">
            <w:pPr>
              <w:pStyle w:val="StandaardSV"/>
              <w:jc w:val="right"/>
              <w:rPr>
                <w:szCs w:val="22"/>
              </w:rPr>
            </w:pPr>
            <w:r w:rsidRPr="001D3FFE">
              <w:rPr>
                <w:szCs w:val="22"/>
              </w:rPr>
              <w:t>173.149,36</w:t>
            </w:r>
          </w:p>
        </w:tc>
      </w:tr>
      <w:tr w:rsidR="0053058A" w:rsidRPr="001D3FFE" w:rsidTr="00D059F4">
        <w:tc>
          <w:tcPr>
            <w:tcW w:w="766" w:type="dxa"/>
            <w:shd w:val="clear" w:color="auto" w:fill="auto"/>
          </w:tcPr>
          <w:p w:rsidR="0053058A" w:rsidRPr="001D3FFE" w:rsidRDefault="0053058A" w:rsidP="00AD6F7E">
            <w:pPr>
              <w:pStyle w:val="StandaardSV"/>
              <w:jc w:val="center"/>
              <w:rPr>
                <w:szCs w:val="22"/>
              </w:rPr>
            </w:pPr>
            <w:r w:rsidRPr="001D3FFE">
              <w:rPr>
                <w:szCs w:val="22"/>
              </w:rPr>
              <w:t>2011</w:t>
            </w:r>
          </w:p>
        </w:tc>
        <w:tc>
          <w:tcPr>
            <w:tcW w:w="1780" w:type="dxa"/>
            <w:shd w:val="clear" w:color="auto" w:fill="auto"/>
          </w:tcPr>
          <w:p w:rsidR="0053058A" w:rsidRPr="001D3FFE" w:rsidRDefault="00B4252A" w:rsidP="00AD6F7E">
            <w:pPr>
              <w:pStyle w:val="StandaardSV"/>
              <w:jc w:val="right"/>
              <w:rPr>
                <w:szCs w:val="22"/>
              </w:rPr>
            </w:pPr>
            <w:r w:rsidRPr="001D3FFE">
              <w:rPr>
                <w:szCs w:val="22"/>
              </w:rPr>
              <w:t>252.195,69</w:t>
            </w:r>
          </w:p>
        </w:tc>
      </w:tr>
    </w:tbl>
    <w:p w:rsidR="0053058A" w:rsidRDefault="0053058A" w:rsidP="00280A0E">
      <w:pPr>
        <w:ind w:left="1416"/>
        <w:rPr>
          <w:iCs/>
          <w:sz w:val="22"/>
          <w:szCs w:val="22"/>
        </w:rPr>
      </w:pPr>
    </w:p>
    <w:p w:rsidR="00B4252A" w:rsidRDefault="00B4252A" w:rsidP="00D059F4">
      <w:pPr>
        <w:ind w:left="1416"/>
        <w:rPr>
          <w:iCs/>
          <w:sz w:val="22"/>
          <w:szCs w:val="22"/>
        </w:rPr>
      </w:pPr>
      <w:r>
        <w:rPr>
          <w:iCs/>
          <w:sz w:val="22"/>
          <w:szCs w:val="22"/>
        </w:rPr>
        <w:t xml:space="preserve">De </w:t>
      </w:r>
      <w:r w:rsidRPr="00B4252A">
        <w:rPr>
          <w:iCs/>
          <w:sz w:val="22"/>
          <w:szCs w:val="22"/>
        </w:rPr>
        <w:t>UHasselt leverde voor deze bedragen fiscale attesten af.</w:t>
      </w:r>
    </w:p>
    <w:p w:rsidR="00B4252A" w:rsidRDefault="00B4252A" w:rsidP="00280A0E">
      <w:pPr>
        <w:ind w:left="1416"/>
        <w:rPr>
          <w:iCs/>
          <w:sz w:val="22"/>
          <w:szCs w:val="22"/>
        </w:rPr>
      </w:pPr>
    </w:p>
    <w:p w:rsidR="0053058A" w:rsidRDefault="00B4252A" w:rsidP="00D059F4">
      <w:pPr>
        <w:ind w:left="1416"/>
        <w:rPr>
          <w:iCs/>
          <w:sz w:val="22"/>
          <w:szCs w:val="22"/>
        </w:rPr>
      </w:pPr>
      <w:r>
        <w:rPr>
          <w:iCs/>
          <w:sz w:val="22"/>
          <w:szCs w:val="22"/>
        </w:rPr>
        <w:t>D</w:t>
      </w:r>
      <w:r w:rsidRPr="00B4252A">
        <w:rPr>
          <w:iCs/>
          <w:sz w:val="22"/>
          <w:szCs w:val="22"/>
        </w:rPr>
        <w:t>eze schenkingen en legaten worden volledig aan O&amp;O besteed.</w:t>
      </w:r>
    </w:p>
    <w:p w:rsidR="0053058A" w:rsidRDefault="0053058A" w:rsidP="00280A0E">
      <w:pPr>
        <w:ind w:left="1416"/>
        <w:rPr>
          <w:iCs/>
          <w:sz w:val="22"/>
          <w:szCs w:val="22"/>
        </w:rPr>
      </w:pPr>
    </w:p>
    <w:p w:rsidR="0053058A" w:rsidRPr="00D059F4" w:rsidRDefault="00B4252A" w:rsidP="00D059F4">
      <w:pPr>
        <w:pStyle w:val="Lijstalinea"/>
        <w:numPr>
          <w:ilvl w:val="2"/>
          <w:numId w:val="20"/>
        </w:numPr>
        <w:rPr>
          <w:iCs/>
          <w:sz w:val="22"/>
          <w:szCs w:val="22"/>
        </w:rPr>
      </w:pPr>
      <w:r w:rsidRPr="00D059F4">
        <w:rPr>
          <w:iCs/>
          <w:sz w:val="22"/>
          <w:szCs w:val="22"/>
        </w:rPr>
        <w:t>Vrije Universiteit Brussel (VUB)</w:t>
      </w:r>
    </w:p>
    <w:p w:rsidR="00B4252A" w:rsidRDefault="00B4252A" w:rsidP="00280A0E">
      <w:pPr>
        <w:ind w:left="1416"/>
        <w:rPr>
          <w:iCs/>
          <w:sz w:val="22"/>
          <w:szCs w:val="22"/>
        </w:rPr>
      </w:pPr>
    </w:p>
    <w:p w:rsidR="00091ABD" w:rsidRDefault="00091ABD" w:rsidP="00D059F4">
      <w:pPr>
        <w:ind w:left="1416"/>
        <w:rPr>
          <w:iCs/>
          <w:sz w:val="22"/>
          <w:szCs w:val="22"/>
        </w:rPr>
      </w:pPr>
      <w:r>
        <w:rPr>
          <w:iCs/>
          <w:sz w:val="22"/>
          <w:szCs w:val="22"/>
        </w:rPr>
        <w:t>De VUB ontving de volgende bedragen:</w:t>
      </w:r>
    </w:p>
    <w:p w:rsidR="00091ABD" w:rsidRDefault="00091ABD" w:rsidP="00280A0E">
      <w:pPr>
        <w:ind w:left="1416"/>
        <w:rPr>
          <w:iCs/>
          <w:sz w:val="22"/>
          <w:szCs w:val="22"/>
        </w:rPr>
      </w:pPr>
    </w:p>
    <w:tbl>
      <w:tblPr>
        <w:tblW w:w="0" w:type="auto"/>
        <w:tblInd w:w="1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1780"/>
      </w:tblGrid>
      <w:tr w:rsidR="00B4252A" w:rsidRPr="001D3FFE" w:rsidTr="00D059F4">
        <w:tc>
          <w:tcPr>
            <w:tcW w:w="766" w:type="dxa"/>
            <w:shd w:val="pct10" w:color="auto" w:fill="auto"/>
          </w:tcPr>
          <w:p w:rsidR="00B4252A" w:rsidRPr="001D3FFE" w:rsidRDefault="00B4252A" w:rsidP="00AD6F7E">
            <w:pPr>
              <w:pStyle w:val="StandaardSV"/>
              <w:jc w:val="center"/>
              <w:rPr>
                <w:szCs w:val="22"/>
              </w:rPr>
            </w:pPr>
            <w:r>
              <w:rPr>
                <w:szCs w:val="22"/>
              </w:rPr>
              <w:t>Jaar</w:t>
            </w:r>
          </w:p>
        </w:tc>
        <w:tc>
          <w:tcPr>
            <w:tcW w:w="1780" w:type="dxa"/>
            <w:shd w:val="pct10" w:color="auto" w:fill="auto"/>
          </w:tcPr>
          <w:p w:rsidR="00B4252A" w:rsidRPr="001D3FFE" w:rsidRDefault="00B4252A" w:rsidP="00AD6F7E">
            <w:pPr>
              <w:pStyle w:val="StandaardSV"/>
              <w:jc w:val="right"/>
              <w:rPr>
                <w:szCs w:val="22"/>
              </w:rPr>
            </w:pPr>
            <w:r>
              <w:rPr>
                <w:szCs w:val="22"/>
              </w:rPr>
              <w:t>Bedrag (in euro)</w:t>
            </w:r>
          </w:p>
        </w:tc>
      </w:tr>
      <w:tr w:rsidR="00B4252A" w:rsidRPr="001D3FFE" w:rsidTr="00D059F4">
        <w:tc>
          <w:tcPr>
            <w:tcW w:w="766" w:type="dxa"/>
            <w:shd w:val="clear" w:color="auto" w:fill="auto"/>
          </w:tcPr>
          <w:p w:rsidR="00B4252A" w:rsidRPr="001D3FFE" w:rsidRDefault="00B4252A" w:rsidP="00AD6F7E">
            <w:pPr>
              <w:pStyle w:val="StandaardSV"/>
              <w:jc w:val="center"/>
              <w:rPr>
                <w:szCs w:val="22"/>
              </w:rPr>
            </w:pPr>
            <w:r w:rsidRPr="001D3FFE">
              <w:rPr>
                <w:szCs w:val="22"/>
              </w:rPr>
              <w:t>2009</w:t>
            </w:r>
          </w:p>
        </w:tc>
        <w:tc>
          <w:tcPr>
            <w:tcW w:w="1780" w:type="dxa"/>
            <w:shd w:val="clear" w:color="auto" w:fill="auto"/>
          </w:tcPr>
          <w:p w:rsidR="00B4252A" w:rsidRPr="001D3FFE" w:rsidRDefault="00B4252A" w:rsidP="00AD6F7E">
            <w:pPr>
              <w:pStyle w:val="StandaardSV"/>
              <w:jc w:val="right"/>
              <w:rPr>
                <w:szCs w:val="22"/>
              </w:rPr>
            </w:pPr>
            <w:r w:rsidRPr="001D3FFE">
              <w:rPr>
                <w:szCs w:val="22"/>
              </w:rPr>
              <w:t>2.094.451,64</w:t>
            </w:r>
          </w:p>
        </w:tc>
      </w:tr>
      <w:tr w:rsidR="00B4252A" w:rsidRPr="001D3FFE" w:rsidTr="00D059F4">
        <w:tc>
          <w:tcPr>
            <w:tcW w:w="766" w:type="dxa"/>
            <w:shd w:val="clear" w:color="auto" w:fill="auto"/>
          </w:tcPr>
          <w:p w:rsidR="00B4252A" w:rsidRPr="001D3FFE" w:rsidRDefault="00B4252A" w:rsidP="00AD6F7E">
            <w:pPr>
              <w:pStyle w:val="StandaardSV"/>
              <w:jc w:val="center"/>
              <w:rPr>
                <w:szCs w:val="22"/>
              </w:rPr>
            </w:pPr>
            <w:r w:rsidRPr="001D3FFE">
              <w:rPr>
                <w:szCs w:val="22"/>
              </w:rPr>
              <w:t>2010</w:t>
            </w:r>
          </w:p>
        </w:tc>
        <w:tc>
          <w:tcPr>
            <w:tcW w:w="1780" w:type="dxa"/>
            <w:shd w:val="clear" w:color="auto" w:fill="auto"/>
          </w:tcPr>
          <w:p w:rsidR="00B4252A" w:rsidRPr="001D3FFE" w:rsidRDefault="00B4252A" w:rsidP="00AD6F7E">
            <w:pPr>
              <w:pStyle w:val="StandaardSV"/>
              <w:jc w:val="right"/>
              <w:rPr>
                <w:szCs w:val="22"/>
              </w:rPr>
            </w:pPr>
            <w:r w:rsidRPr="001D3FFE">
              <w:rPr>
                <w:szCs w:val="22"/>
              </w:rPr>
              <w:t>1.541.790,44</w:t>
            </w:r>
          </w:p>
        </w:tc>
      </w:tr>
      <w:tr w:rsidR="00B4252A" w:rsidRPr="001D3FFE" w:rsidTr="00D059F4">
        <w:tc>
          <w:tcPr>
            <w:tcW w:w="766" w:type="dxa"/>
            <w:shd w:val="clear" w:color="auto" w:fill="auto"/>
          </w:tcPr>
          <w:p w:rsidR="00B4252A" w:rsidRPr="001D3FFE" w:rsidRDefault="00B4252A" w:rsidP="00AD6F7E">
            <w:pPr>
              <w:pStyle w:val="StandaardSV"/>
              <w:jc w:val="center"/>
              <w:rPr>
                <w:szCs w:val="22"/>
              </w:rPr>
            </w:pPr>
            <w:r w:rsidRPr="001D3FFE">
              <w:rPr>
                <w:szCs w:val="22"/>
              </w:rPr>
              <w:t>2011</w:t>
            </w:r>
          </w:p>
        </w:tc>
        <w:tc>
          <w:tcPr>
            <w:tcW w:w="1780" w:type="dxa"/>
            <w:shd w:val="clear" w:color="auto" w:fill="auto"/>
          </w:tcPr>
          <w:p w:rsidR="00B4252A" w:rsidRPr="001D3FFE" w:rsidRDefault="00B4252A" w:rsidP="00AD6F7E">
            <w:pPr>
              <w:pStyle w:val="StandaardSV"/>
              <w:jc w:val="right"/>
              <w:rPr>
                <w:szCs w:val="22"/>
              </w:rPr>
            </w:pPr>
            <w:r w:rsidRPr="001D3FFE">
              <w:rPr>
                <w:szCs w:val="22"/>
              </w:rPr>
              <w:t>1.146.430,85</w:t>
            </w:r>
          </w:p>
        </w:tc>
      </w:tr>
    </w:tbl>
    <w:p w:rsidR="00B4252A" w:rsidRDefault="00B4252A" w:rsidP="00280A0E">
      <w:pPr>
        <w:ind w:left="1416"/>
        <w:rPr>
          <w:iCs/>
          <w:sz w:val="22"/>
          <w:szCs w:val="22"/>
        </w:rPr>
      </w:pPr>
    </w:p>
    <w:p w:rsidR="00B4252A" w:rsidRPr="00B4252A" w:rsidRDefault="00B4252A" w:rsidP="00D059F4">
      <w:pPr>
        <w:ind w:left="1416"/>
        <w:rPr>
          <w:iCs/>
          <w:sz w:val="22"/>
          <w:szCs w:val="22"/>
        </w:rPr>
      </w:pPr>
      <w:r w:rsidRPr="00B4252A">
        <w:rPr>
          <w:iCs/>
          <w:sz w:val="22"/>
          <w:szCs w:val="22"/>
        </w:rPr>
        <w:t>Voor giften werd er een fiscaal attest afgeleverd, voor legaten niet.</w:t>
      </w:r>
    </w:p>
    <w:p w:rsidR="00B4252A" w:rsidRPr="00B4252A" w:rsidRDefault="00B4252A" w:rsidP="00280A0E">
      <w:pPr>
        <w:ind w:left="1416"/>
        <w:rPr>
          <w:iCs/>
          <w:sz w:val="22"/>
          <w:szCs w:val="22"/>
        </w:rPr>
      </w:pPr>
    </w:p>
    <w:p w:rsidR="000D6267" w:rsidRDefault="00B4252A" w:rsidP="00D059F4">
      <w:pPr>
        <w:ind w:left="1416"/>
        <w:rPr>
          <w:iCs/>
          <w:sz w:val="22"/>
          <w:szCs w:val="22"/>
        </w:rPr>
      </w:pPr>
      <w:r w:rsidRPr="00B4252A">
        <w:rPr>
          <w:iCs/>
          <w:sz w:val="22"/>
          <w:szCs w:val="22"/>
        </w:rPr>
        <w:t>De fondsen worden integraal gebruikt voor O&amp;O.</w:t>
      </w:r>
    </w:p>
    <w:p w:rsidR="000D6267" w:rsidRDefault="000D6267">
      <w:pPr>
        <w:rPr>
          <w:iCs/>
          <w:sz w:val="22"/>
          <w:szCs w:val="22"/>
        </w:rPr>
      </w:pPr>
      <w:r>
        <w:rPr>
          <w:iCs/>
          <w:sz w:val="22"/>
          <w:szCs w:val="22"/>
        </w:rPr>
        <w:br w:type="page"/>
      </w:r>
    </w:p>
    <w:p w:rsidR="00D059F4" w:rsidRPr="00D059F4" w:rsidRDefault="00D059F4" w:rsidP="00D059F4">
      <w:pPr>
        <w:pStyle w:val="Lijstalinea"/>
        <w:numPr>
          <w:ilvl w:val="1"/>
          <w:numId w:val="20"/>
        </w:numPr>
        <w:rPr>
          <w:sz w:val="22"/>
          <w:szCs w:val="22"/>
          <w:u w:val="single"/>
          <w:lang w:val="nl-BE" w:eastAsia="nl-BE"/>
        </w:rPr>
      </w:pPr>
      <w:r>
        <w:rPr>
          <w:sz w:val="22"/>
          <w:szCs w:val="22"/>
          <w:u w:val="single"/>
          <w:lang w:val="nl-BE" w:eastAsia="nl-BE"/>
        </w:rPr>
        <w:lastRenderedPageBreak/>
        <w:t>Hogescholen</w:t>
      </w:r>
    </w:p>
    <w:p w:rsidR="00D059F4" w:rsidRDefault="00D059F4" w:rsidP="00280A0E">
      <w:pPr>
        <w:ind w:left="708"/>
        <w:rPr>
          <w:iCs/>
          <w:sz w:val="22"/>
          <w:szCs w:val="22"/>
        </w:rPr>
      </w:pPr>
    </w:p>
    <w:p w:rsidR="00D059F4" w:rsidRDefault="00D059F4" w:rsidP="00FF2866">
      <w:pPr>
        <w:ind w:left="708"/>
        <w:jc w:val="both"/>
        <w:rPr>
          <w:iCs/>
          <w:sz w:val="22"/>
          <w:szCs w:val="22"/>
        </w:rPr>
      </w:pPr>
      <w:r>
        <w:rPr>
          <w:iCs/>
          <w:sz w:val="22"/>
          <w:szCs w:val="22"/>
        </w:rPr>
        <w:t>Een overzicht van de schenkingen en legaten aan de Vlaamse hogescholen vindt u in onde</w:t>
      </w:r>
      <w:r>
        <w:rPr>
          <w:iCs/>
          <w:sz w:val="22"/>
          <w:szCs w:val="22"/>
        </w:rPr>
        <w:t>r</w:t>
      </w:r>
      <w:r>
        <w:rPr>
          <w:iCs/>
          <w:sz w:val="22"/>
          <w:szCs w:val="22"/>
        </w:rPr>
        <w:t>staande tabel.</w:t>
      </w:r>
    </w:p>
    <w:p w:rsidR="00D059F4" w:rsidRDefault="00D059F4" w:rsidP="00D059F4">
      <w:pPr>
        <w:ind w:left="708"/>
        <w:rPr>
          <w:iCs/>
          <w:sz w:val="22"/>
          <w:szCs w:val="22"/>
        </w:rPr>
      </w:pPr>
    </w:p>
    <w:p w:rsidR="00D059F4" w:rsidRDefault="00D059F4" w:rsidP="00D059F4">
      <w:pPr>
        <w:ind w:left="708"/>
        <w:rPr>
          <w:iCs/>
          <w:sz w:val="22"/>
          <w:szCs w:val="22"/>
        </w:rPr>
      </w:pPr>
      <w:r w:rsidRPr="00D059F4">
        <w:rPr>
          <w:noProof/>
          <w:lang w:val="nl-BE" w:eastAsia="nl-BE"/>
        </w:rPr>
        <w:drawing>
          <wp:inline distT="0" distB="0" distL="0" distR="0">
            <wp:extent cx="5200650" cy="3821347"/>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5295" cy="3824760"/>
                    </a:xfrm>
                    <a:prstGeom prst="rect">
                      <a:avLst/>
                    </a:prstGeom>
                    <a:noFill/>
                    <a:ln>
                      <a:noFill/>
                    </a:ln>
                  </pic:spPr>
                </pic:pic>
              </a:graphicData>
            </a:graphic>
          </wp:inline>
        </w:drawing>
      </w:r>
    </w:p>
    <w:p w:rsidR="00D059F4" w:rsidRDefault="00D059F4" w:rsidP="00B4252A">
      <w:pPr>
        <w:ind w:left="360"/>
        <w:rPr>
          <w:iCs/>
          <w:sz w:val="22"/>
          <w:szCs w:val="22"/>
        </w:rPr>
      </w:pPr>
    </w:p>
    <w:p w:rsidR="00DB6D3D" w:rsidRPr="001D3FFE" w:rsidRDefault="008D352A" w:rsidP="000D6267">
      <w:pPr>
        <w:pStyle w:val="StandaardSV"/>
        <w:numPr>
          <w:ilvl w:val="0"/>
          <w:numId w:val="17"/>
        </w:numPr>
      </w:pPr>
      <w:r w:rsidRPr="008D352A">
        <w:t xml:space="preserve">Schenkingen en legaten ontvangen door </w:t>
      </w:r>
      <w:r>
        <w:t>h</w:t>
      </w:r>
      <w:r w:rsidR="00DB6D3D" w:rsidRPr="001D3FFE">
        <w:t xml:space="preserve">et Fonds </w:t>
      </w:r>
      <w:r>
        <w:t>W</w:t>
      </w:r>
      <w:r w:rsidR="00DB6D3D" w:rsidRPr="001D3FFE">
        <w:t>etenschappelijk Onderzoek</w:t>
      </w:r>
      <w:r>
        <w:t xml:space="preserve"> – Vlaanderen (</w:t>
      </w:r>
      <w:r w:rsidR="00DB6D3D" w:rsidRPr="001D3FFE">
        <w:t xml:space="preserve">FWO) en de </w:t>
      </w:r>
      <w:r>
        <w:t>S</w:t>
      </w:r>
      <w:r w:rsidR="00DB6D3D" w:rsidRPr="001D3FFE">
        <w:t xml:space="preserve">trategische </w:t>
      </w:r>
      <w:r>
        <w:t>O</w:t>
      </w:r>
      <w:r w:rsidR="00DB6D3D" w:rsidRPr="001D3FFE">
        <w:t>nderzoekscentra (SOC’s)</w:t>
      </w:r>
      <w:r>
        <w:t>.</w:t>
      </w:r>
    </w:p>
    <w:p w:rsidR="00DB6D3D" w:rsidRDefault="00DB6D3D" w:rsidP="008D352A">
      <w:pPr>
        <w:pStyle w:val="Lijstalinea"/>
        <w:ind w:left="360"/>
        <w:rPr>
          <w:sz w:val="22"/>
          <w:szCs w:val="22"/>
        </w:rPr>
      </w:pPr>
    </w:p>
    <w:p w:rsidR="008D352A" w:rsidRPr="000D6267" w:rsidRDefault="000D6267" w:rsidP="007076FE">
      <w:pPr>
        <w:pStyle w:val="Lijstalinea"/>
        <w:numPr>
          <w:ilvl w:val="1"/>
          <w:numId w:val="24"/>
        </w:numPr>
        <w:rPr>
          <w:sz w:val="22"/>
          <w:szCs w:val="22"/>
          <w:u w:val="single"/>
          <w:lang w:val="nl-BE" w:eastAsia="nl-BE"/>
        </w:rPr>
      </w:pPr>
      <w:r w:rsidRPr="000D6267">
        <w:rPr>
          <w:sz w:val="22"/>
          <w:szCs w:val="22"/>
          <w:u w:val="single"/>
          <w:lang w:val="nl-BE" w:eastAsia="nl-BE"/>
        </w:rPr>
        <w:t>FWO</w:t>
      </w:r>
    </w:p>
    <w:p w:rsidR="000D6267" w:rsidRPr="008D352A" w:rsidRDefault="000D6267" w:rsidP="008816CD">
      <w:pPr>
        <w:pStyle w:val="Lijstalinea"/>
        <w:rPr>
          <w:sz w:val="22"/>
          <w:szCs w:val="22"/>
        </w:rPr>
      </w:pPr>
    </w:p>
    <w:p w:rsidR="008D352A" w:rsidRPr="008D352A" w:rsidRDefault="008D352A" w:rsidP="00FF2866">
      <w:pPr>
        <w:pStyle w:val="Lijstalinea"/>
        <w:jc w:val="both"/>
        <w:rPr>
          <w:sz w:val="22"/>
          <w:szCs w:val="22"/>
        </w:rPr>
      </w:pPr>
      <w:r w:rsidRPr="008D352A">
        <w:rPr>
          <w:sz w:val="22"/>
          <w:szCs w:val="22"/>
        </w:rPr>
        <w:t xml:space="preserve">In onderstaande tabel wordt een overzicht gegeven van </w:t>
      </w:r>
      <w:r>
        <w:rPr>
          <w:sz w:val="22"/>
          <w:szCs w:val="22"/>
        </w:rPr>
        <w:t xml:space="preserve">de </w:t>
      </w:r>
      <w:r w:rsidRPr="008D352A">
        <w:rPr>
          <w:sz w:val="22"/>
          <w:szCs w:val="22"/>
        </w:rPr>
        <w:t>door het FWO ontvangen schenki</w:t>
      </w:r>
      <w:r w:rsidRPr="008D352A">
        <w:rPr>
          <w:sz w:val="22"/>
          <w:szCs w:val="22"/>
        </w:rPr>
        <w:t>n</w:t>
      </w:r>
      <w:r w:rsidRPr="008D352A">
        <w:rPr>
          <w:sz w:val="22"/>
          <w:szCs w:val="22"/>
        </w:rPr>
        <w:t>gen en legaten tijdens de periode 2009</w:t>
      </w:r>
      <w:r>
        <w:rPr>
          <w:sz w:val="22"/>
          <w:szCs w:val="22"/>
        </w:rPr>
        <w:t>-</w:t>
      </w:r>
      <w:r w:rsidRPr="008D352A">
        <w:rPr>
          <w:sz w:val="22"/>
          <w:szCs w:val="22"/>
        </w:rPr>
        <w:t>2011</w:t>
      </w:r>
      <w:r>
        <w:rPr>
          <w:sz w:val="22"/>
          <w:szCs w:val="22"/>
        </w:rPr>
        <w:t xml:space="preserve"> (bedragen in euro)</w:t>
      </w:r>
      <w:r w:rsidRPr="008D352A">
        <w:rPr>
          <w:sz w:val="22"/>
          <w:szCs w:val="22"/>
        </w:rPr>
        <w:t>.</w:t>
      </w:r>
    </w:p>
    <w:p w:rsidR="008D352A" w:rsidRPr="008D352A" w:rsidRDefault="008D352A" w:rsidP="008816CD">
      <w:pPr>
        <w:pStyle w:val="Lijstalinea"/>
        <w:rPr>
          <w:sz w:val="22"/>
          <w:szCs w:val="22"/>
        </w:rPr>
      </w:pPr>
    </w:p>
    <w:tbl>
      <w:tblPr>
        <w:tblW w:w="3482" w:type="dxa"/>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0"/>
        <w:gridCol w:w="1552"/>
        <w:gridCol w:w="1240"/>
      </w:tblGrid>
      <w:tr w:rsidR="002B7C01" w:rsidRPr="008D352A" w:rsidTr="008816CD">
        <w:trPr>
          <w:trHeight w:val="70"/>
        </w:trPr>
        <w:tc>
          <w:tcPr>
            <w:tcW w:w="690" w:type="dxa"/>
            <w:shd w:val="pct10" w:color="auto" w:fill="auto"/>
            <w:noWrap/>
            <w:vAlign w:val="bottom"/>
            <w:hideMark/>
          </w:tcPr>
          <w:p w:rsidR="002B7C01" w:rsidRPr="008D352A" w:rsidRDefault="002B7C01" w:rsidP="00AD6F7E">
            <w:pPr>
              <w:jc w:val="center"/>
              <w:rPr>
                <w:color w:val="000000"/>
                <w:sz w:val="22"/>
                <w:szCs w:val="22"/>
                <w:lang w:val="nl-BE" w:eastAsia="nl-BE"/>
              </w:rPr>
            </w:pPr>
            <w:r>
              <w:rPr>
                <w:color w:val="000000"/>
                <w:sz w:val="22"/>
                <w:szCs w:val="22"/>
                <w:lang w:val="nl-BE" w:eastAsia="nl-BE"/>
              </w:rPr>
              <w:t>Jaar</w:t>
            </w:r>
          </w:p>
        </w:tc>
        <w:tc>
          <w:tcPr>
            <w:tcW w:w="1552" w:type="dxa"/>
            <w:shd w:val="pct10" w:color="auto" w:fill="auto"/>
            <w:noWrap/>
            <w:vAlign w:val="bottom"/>
            <w:hideMark/>
          </w:tcPr>
          <w:p w:rsidR="002B7C01" w:rsidRPr="008D352A" w:rsidRDefault="002B7C01" w:rsidP="00AD6F7E">
            <w:pPr>
              <w:jc w:val="right"/>
              <w:rPr>
                <w:color w:val="000000"/>
                <w:sz w:val="22"/>
                <w:szCs w:val="22"/>
                <w:lang w:val="nl-BE" w:eastAsia="nl-BE"/>
              </w:rPr>
            </w:pPr>
            <w:r w:rsidRPr="008D352A">
              <w:rPr>
                <w:color w:val="000000"/>
                <w:sz w:val="22"/>
                <w:szCs w:val="22"/>
                <w:lang w:val="nl-BE" w:eastAsia="nl-BE"/>
              </w:rPr>
              <w:t>Schenkingen</w:t>
            </w:r>
            <w:r w:rsidRPr="002B7C01">
              <w:rPr>
                <w:color w:val="000000"/>
                <w:sz w:val="22"/>
                <w:szCs w:val="22"/>
                <w:vertAlign w:val="superscript"/>
                <w:lang w:val="nl-BE" w:eastAsia="nl-BE"/>
              </w:rPr>
              <w:t>(*)</w:t>
            </w:r>
            <w:r w:rsidRPr="008D352A">
              <w:rPr>
                <w:color w:val="000000"/>
                <w:sz w:val="22"/>
                <w:szCs w:val="22"/>
                <w:lang w:val="nl-BE" w:eastAsia="nl-BE"/>
              </w:rPr>
              <w:t xml:space="preserve"> </w:t>
            </w:r>
          </w:p>
        </w:tc>
        <w:tc>
          <w:tcPr>
            <w:tcW w:w="1240" w:type="dxa"/>
            <w:shd w:val="pct10" w:color="auto" w:fill="auto"/>
            <w:noWrap/>
            <w:vAlign w:val="bottom"/>
            <w:hideMark/>
          </w:tcPr>
          <w:p w:rsidR="002B7C01" w:rsidRPr="008D352A" w:rsidRDefault="002B7C01" w:rsidP="00AD6F7E">
            <w:pPr>
              <w:jc w:val="right"/>
              <w:rPr>
                <w:color w:val="000000"/>
                <w:sz w:val="22"/>
                <w:szCs w:val="22"/>
                <w:lang w:val="nl-BE" w:eastAsia="nl-BE"/>
              </w:rPr>
            </w:pPr>
            <w:r w:rsidRPr="008D352A">
              <w:rPr>
                <w:color w:val="000000"/>
                <w:sz w:val="22"/>
                <w:szCs w:val="22"/>
                <w:lang w:val="nl-BE" w:eastAsia="nl-BE"/>
              </w:rPr>
              <w:t xml:space="preserve">Legaten </w:t>
            </w:r>
          </w:p>
        </w:tc>
      </w:tr>
      <w:tr w:rsidR="002B7C01" w:rsidRPr="008D352A" w:rsidTr="008816CD">
        <w:trPr>
          <w:trHeight w:val="70"/>
        </w:trPr>
        <w:tc>
          <w:tcPr>
            <w:tcW w:w="690" w:type="dxa"/>
            <w:shd w:val="clear" w:color="auto" w:fill="auto"/>
            <w:noWrap/>
            <w:vAlign w:val="bottom"/>
            <w:hideMark/>
          </w:tcPr>
          <w:p w:rsidR="002B7C01" w:rsidRPr="008D352A" w:rsidRDefault="002B7C01" w:rsidP="00AD6F7E">
            <w:pPr>
              <w:jc w:val="center"/>
              <w:rPr>
                <w:color w:val="000000"/>
                <w:sz w:val="22"/>
                <w:szCs w:val="22"/>
                <w:lang w:val="nl-BE" w:eastAsia="nl-BE"/>
              </w:rPr>
            </w:pPr>
            <w:r w:rsidRPr="008D352A">
              <w:rPr>
                <w:color w:val="000000"/>
                <w:sz w:val="22"/>
                <w:szCs w:val="22"/>
                <w:lang w:val="nl-BE" w:eastAsia="nl-BE"/>
              </w:rPr>
              <w:t>2009</w:t>
            </w:r>
          </w:p>
        </w:tc>
        <w:tc>
          <w:tcPr>
            <w:tcW w:w="1552" w:type="dxa"/>
            <w:shd w:val="clear" w:color="auto" w:fill="auto"/>
            <w:noWrap/>
            <w:vAlign w:val="bottom"/>
            <w:hideMark/>
          </w:tcPr>
          <w:p w:rsidR="002B7C01" w:rsidRPr="008D352A" w:rsidRDefault="002B7C01" w:rsidP="00AD6F7E">
            <w:pPr>
              <w:jc w:val="right"/>
              <w:rPr>
                <w:color w:val="000000"/>
                <w:sz w:val="22"/>
                <w:szCs w:val="22"/>
                <w:lang w:val="nl-BE" w:eastAsia="nl-BE"/>
              </w:rPr>
            </w:pPr>
            <w:r w:rsidRPr="008D352A">
              <w:rPr>
                <w:color w:val="000000"/>
                <w:sz w:val="22"/>
                <w:szCs w:val="22"/>
                <w:lang w:val="nl-BE" w:eastAsia="nl-BE"/>
              </w:rPr>
              <w:t>187.387,79</w:t>
            </w:r>
          </w:p>
        </w:tc>
        <w:tc>
          <w:tcPr>
            <w:tcW w:w="1240" w:type="dxa"/>
            <w:shd w:val="clear" w:color="auto" w:fill="auto"/>
            <w:noWrap/>
            <w:vAlign w:val="bottom"/>
            <w:hideMark/>
          </w:tcPr>
          <w:p w:rsidR="002B7C01" w:rsidRPr="008D352A" w:rsidRDefault="002B7C01" w:rsidP="00AD6F7E">
            <w:pPr>
              <w:jc w:val="right"/>
              <w:rPr>
                <w:color w:val="000000"/>
                <w:sz w:val="22"/>
                <w:szCs w:val="22"/>
                <w:lang w:val="nl-BE" w:eastAsia="nl-BE"/>
              </w:rPr>
            </w:pPr>
            <w:r w:rsidRPr="008D352A">
              <w:rPr>
                <w:color w:val="000000"/>
                <w:sz w:val="22"/>
                <w:szCs w:val="22"/>
                <w:lang w:val="nl-BE" w:eastAsia="nl-BE"/>
              </w:rPr>
              <w:t>0,00</w:t>
            </w:r>
          </w:p>
        </w:tc>
      </w:tr>
      <w:tr w:rsidR="002B7C01" w:rsidRPr="008D352A" w:rsidTr="008816CD">
        <w:trPr>
          <w:trHeight w:val="70"/>
        </w:trPr>
        <w:tc>
          <w:tcPr>
            <w:tcW w:w="690" w:type="dxa"/>
            <w:shd w:val="clear" w:color="auto" w:fill="auto"/>
            <w:noWrap/>
            <w:vAlign w:val="bottom"/>
            <w:hideMark/>
          </w:tcPr>
          <w:p w:rsidR="002B7C01" w:rsidRPr="008D352A" w:rsidRDefault="002B7C01" w:rsidP="00AD6F7E">
            <w:pPr>
              <w:jc w:val="center"/>
              <w:rPr>
                <w:color w:val="000000"/>
                <w:sz w:val="22"/>
                <w:szCs w:val="22"/>
                <w:lang w:val="nl-BE" w:eastAsia="nl-BE"/>
              </w:rPr>
            </w:pPr>
            <w:r w:rsidRPr="008D352A">
              <w:rPr>
                <w:color w:val="000000"/>
                <w:sz w:val="22"/>
                <w:szCs w:val="22"/>
                <w:lang w:val="nl-BE" w:eastAsia="nl-BE"/>
              </w:rPr>
              <w:t>2010</w:t>
            </w:r>
          </w:p>
        </w:tc>
        <w:tc>
          <w:tcPr>
            <w:tcW w:w="1552" w:type="dxa"/>
            <w:shd w:val="clear" w:color="auto" w:fill="auto"/>
            <w:noWrap/>
            <w:vAlign w:val="bottom"/>
            <w:hideMark/>
          </w:tcPr>
          <w:p w:rsidR="002B7C01" w:rsidRPr="008D352A" w:rsidRDefault="002B7C01" w:rsidP="00AD6F7E">
            <w:pPr>
              <w:jc w:val="right"/>
              <w:rPr>
                <w:color w:val="000000"/>
                <w:sz w:val="22"/>
                <w:szCs w:val="22"/>
                <w:lang w:val="nl-BE" w:eastAsia="nl-BE"/>
              </w:rPr>
            </w:pPr>
            <w:r w:rsidRPr="008D352A">
              <w:rPr>
                <w:color w:val="000000"/>
                <w:sz w:val="22"/>
                <w:szCs w:val="22"/>
                <w:lang w:val="nl-BE" w:eastAsia="nl-BE"/>
              </w:rPr>
              <w:t>406.335,36</w:t>
            </w:r>
          </w:p>
        </w:tc>
        <w:tc>
          <w:tcPr>
            <w:tcW w:w="1240" w:type="dxa"/>
            <w:shd w:val="clear" w:color="auto" w:fill="auto"/>
            <w:noWrap/>
            <w:vAlign w:val="bottom"/>
            <w:hideMark/>
          </w:tcPr>
          <w:p w:rsidR="002B7C01" w:rsidRPr="008D352A" w:rsidRDefault="002B7C01" w:rsidP="00AD6F7E">
            <w:pPr>
              <w:jc w:val="right"/>
              <w:rPr>
                <w:color w:val="000000"/>
                <w:sz w:val="22"/>
                <w:szCs w:val="22"/>
                <w:lang w:val="nl-BE" w:eastAsia="nl-BE"/>
              </w:rPr>
            </w:pPr>
            <w:r w:rsidRPr="008D352A">
              <w:rPr>
                <w:color w:val="000000"/>
                <w:sz w:val="22"/>
                <w:szCs w:val="22"/>
                <w:lang w:val="nl-BE" w:eastAsia="nl-BE"/>
              </w:rPr>
              <w:t>28.418,13</w:t>
            </w:r>
          </w:p>
        </w:tc>
      </w:tr>
      <w:tr w:rsidR="002B7C01" w:rsidRPr="008D352A" w:rsidTr="008816CD">
        <w:trPr>
          <w:trHeight w:val="70"/>
        </w:trPr>
        <w:tc>
          <w:tcPr>
            <w:tcW w:w="690" w:type="dxa"/>
            <w:shd w:val="clear" w:color="auto" w:fill="auto"/>
            <w:noWrap/>
            <w:vAlign w:val="bottom"/>
            <w:hideMark/>
          </w:tcPr>
          <w:p w:rsidR="002B7C01" w:rsidRPr="008D352A" w:rsidRDefault="002B7C01" w:rsidP="00AD6F7E">
            <w:pPr>
              <w:jc w:val="center"/>
              <w:rPr>
                <w:color w:val="000000"/>
                <w:sz w:val="22"/>
                <w:szCs w:val="22"/>
                <w:lang w:val="nl-BE" w:eastAsia="nl-BE"/>
              </w:rPr>
            </w:pPr>
            <w:r w:rsidRPr="008D352A">
              <w:rPr>
                <w:color w:val="000000"/>
                <w:sz w:val="22"/>
                <w:szCs w:val="22"/>
                <w:lang w:val="nl-BE" w:eastAsia="nl-BE"/>
              </w:rPr>
              <w:t>2011</w:t>
            </w:r>
          </w:p>
        </w:tc>
        <w:tc>
          <w:tcPr>
            <w:tcW w:w="1552" w:type="dxa"/>
            <w:shd w:val="clear" w:color="auto" w:fill="auto"/>
            <w:noWrap/>
            <w:vAlign w:val="bottom"/>
            <w:hideMark/>
          </w:tcPr>
          <w:p w:rsidR="002B7C01" w:rsidRPr="008D352A" w:rsidRDefault="002B7C01" w:rsidP="00AD6F7E">
            <w:pPr>
              <w:jc w:val="right"/>
              <w:rPr>
                <w:color w:val="000000"/>
                <w:sz w:val="22"/>
                <w:szCs w:val="22"/>
                <w:lang w:val="nl-BE" w:eastAsia="nl-BE"/>
              </w:rPr>
            </w:pPr>
            <w:r w:rsidRPr="008D352A">
              <w:rPr>
                <w:color w:val="000000"/>
                <w:sz w:val="22"/>
                <w:szCs w:val="22"/>
                <w:lang w:val="nl-BE" w:eastAsia="nl-BE"/>
              </w:rPr>
              <w:t>549.241,31</w:t>
            </w:r>
          </w:p>
        </w:tc>
        <w:tc>
          <w:tcPr>
            <w:tcW w:w="1240" w:type="dxa"/>
            <w:shd w:val="clear" w:color="auto" w:fill="auto"/>
            <w:noWrap/>
            <w:vAlign w:val="bottom"/>
            <w:hideMark/>
          </w:tcPr>
          <w:p w:rsidR="002B7C01" w:rsidRPr="008D352A" w:rsidRDefault="002B7C01" w:rsidP="00AD6F7E">
            <w:pPr>
              <w:jc w:val="right"/>
              <w:rPr>
                <w:color w:val="000000"/>
                <w:sz w:val="22"/>
                <w:szCs w:val="22"/>
                <w:lang w:val="nl-BE" w:eastAsia="nl-BE"/>
              </w:rPr>
            </w:pPr>
            <w:r w:rsidRPr="008D352A">
              <w:rPr>
                <w:color w:val="000000"/>
                <w:sz w:val="22"/>
                <w:szCs w:val="22"/>
                <w:lang w:val="nl-BE" w:eastAsia="nl-BE"/>
              </w:rPr>
              <w:t>268.341,01</w:t>
            </w:r>
          </w:p>
        </w:tc>
      </w:tr>
    </w:tbl>
    <w:p w:rsidR="008D352A" w:rsidRDefault="002B7C01" w:rsidP="008816CD">
      <w:pPr>
        <w:pStyle w:val="Lijstalinea"/>
        <w:rPr>
          <w:sz w:val="22"/>
          <w:szCs w:val="22"/>
        </w:rPr>
      </w:pPr>
      <w:r w:rsidRPr="002B7C01">
        <w:rPr>
          <w:sz w:val="22"/>
          <w:szCs w:val="22"/>
          <w:vertAlign w:val="superscript"/>
        </w:rPr>
        <w:t>(*)</w:t>
      </w:r>
      <w:r w:rsidRPr="002B7C01">
        <w:rPr>
          <w:sz w:val="22"/>
          <w:szCs w:val="22"/>
        </w:rPr>
        <w:t>Bij schenkingen worden er steeds fiscale attesten afgeleverd.</w:t>
      </w:r>
    </w:p>
    <w:p w:rsidR="002B7C01" w:rsidRDefault="002B7C01" w:rsidP="008816CD">
      <w:pPr>
        <w:pStyle w:val="Lijstalinea"/>
        <w:rPr>
          <w:sz w:val="22"/>
          <w:szCs w:val="22"/>
        </w:rPr>
      </w:pPr>
    </w:p>
    <w:p w:rsidR="008816CD" w:rsidRDefault="002B7C01" w:rsidP="00FF2866">
      <w:pPr>
        <w:pStyle w:val="Lijstalinea"/>
        <w:jc w:val="both"/>
        <w:rPr>
          <w:sz w:val="22"/>
          <w:szCs w:val="22"/>
        </w:rPr>
      </w:pPr>
      <w:r w:rsidRPr="002B7C01">
        <w:rPr>
          <w:sz w:val="22"/>
          <w:szCs w:val="22"/>
        </w:rPr>
        <w:t>Deze schenkingen zijn voornamelijk schenkingen uit de bedrijfswereld voor het financier</w:t>
      </w:r>
      <w:r>
        <w:rPr>
          <w:sz w:val="22"/>
          <w:szCs w:val="22"/>
        </w:rPr>
        <w:t>en</w:t>
      </w:r>
      <w:r w:rsidRPr="002B7C01">
        <w:rPr>
          <w:sz w:val="22"/>
          <w:szCs w:val="22"/>
        </w:rPr>
        <w:t xml:space="preserve"> van specifieke wetenschappelijke prijzen en van de aspirantenmandaten VITO (elk jaar 2 beurzen),</w:t>
      </w:r>
      <w:r w:rsidR="00DE5A54">
        <w:rPr>
          <w:sz w:val="22"/>
          <w:szCs w:val="22"/>
        </w:rPr>
        <w:t xml:space="preserve"> Studiecentrum voor Kernenergie (S</w:t>
      </w:r>
      <w:r w:rsidRPr="002B7C01">
        <w:rPr>
          <w:sz w:val="22"/>
          <w:szCs w:val="22"/>
        </w:rPr>
        <w:t>CK•CEN</w:t>
      </w:r>
      <w:r w:rsidR="00DE5A54">
        <w:rPr>
          <w:sz w:val="22"/>
          <w:szCs w:val="22"/>
        </w:rPr>
        <w:t>)</w:t>
      </w:r>
      <w:r w:rsidRPr="002B7C01">
        <w:rPr>
          <w:sz w:val="22"/>
          <w:szCs w:val="22"/>
        </w:rPr>
        <w:t xml:space="preserve"> (elk jaar 2 beurzen) en L’Oréal – Unesco (om de 2 jaar 3 beurzen samen met het </w:t>
      </w:r>
      <w:r w:rsidR="00DE5A54" w:rsidRPr="00DE5A54">
        <w:rPr>
          <w:sz w:val="22"/>
          <w:szCs w:val="22"/>
        </w:rPr>
        <w:t>Fonds de la Recherche Scientifique</w:t>
      </w:r>
      <w:r w:rsidR="00DE5A54">
        <w:rPr>
          <w:sz w:val="22"/>
          <w:szCs w:val="22"/>
        </w:rPr>
        <w:t xml:space="preserve"> [</w:t>
      </w:r>
      <w:r w:rsidRPr="002B7C01">
        <w:rPr>
          <w:sz w:val="22"/>
          <w:szCs w:val="22"/>
        </w:rPr>
        <w:t>F.R.S. – FNRS</w:t>
      </w:r>
      <w:r w:rsidR="00DE5A54">
        <w:rPr>
          <w:sz w:val="22"/>
          <w:szCs w:val="22"/>
        </w:rPr>
        <w:t>]</w:t>
      </w:r>
      <w:r w:rsidRPr="002B7C01">
        <w:rPr>
          <w:sz w:val="22"/>
          <w:szCs w:val="22"/>
        </w:rPr>
        <w:t>)</w:t>
      </w:r>
      <w:r>
        <w:rPr>
          <w:sz w:val="22"/>
          <w:szCs w:val="22"/>
        </w:rPr>
        <w:t>.</w:t>
      </w:r>
    </w:p>
    <w:p w:rsidR="008816CD" w:rsidRDefault="008816CD">
      <w:pPr>
        <w:rPr>
          <w:sz w:val="22"/>
          <w:szCs w:val="22"/>
        </w:rPr>
      </w:pPr>
      <w:r>
        <w:rPr>
          <w:sz w:val="22"/>
          <w:szCs w:val="22"/>
        </w:rPr>
        <w:br w:type="page"/>
      </w:r>
    </w:p>
    <w:p w:rsidR="002B7C01" w:rsidRPr="000D6267" w:rsidRDefault="002B7C01" w:rsidP="007076FE">
      <w:pPr>
        <w:pStyle w:val="Lijstalinea"/>
        <w:numPr>
          <w:ilvl w:val="1"/>
          <w:numId w:val="24"/>
        </w:numPr>
        <w:rPr>
          <w:sz w:val="22"/>
          <w:szCs w:val="22"/>
          <w:u w:val="single"/>
          <w:lang w:val="nl-BE" w:eastAsia="nl-BE"/>
        </w:rPr>
      </w:pPr>
      <w:r w:rsidRPr="000D6267">
        <w:rPr>
          <w:sz w:val="22"/>
          <w:szCs w:val="22"/>
          <w:u w:val="single"/>
          <w:lang w:val="nl-BE" w:eastAsia="nl-BE"/>
        </w:rPr>
        <w:lastRenderedPageBreak/>
        <w:t>SOC’s</w:t>
      </w:r>
    </w:p>
    <w:p w:rsidR="002B7C01" w:rsidRDefault="002B7C01" w:rsidP="008816CD">
      <w:pPr>
        <w:pStyle w:val="Lijstalinea"/>
        <w:rPr>
          <w:sz w:val="22"/>
          <w:szCs w:val="22"/>
        </w:rPr>
      </w:pPr>
    </w:p>
    <w:p w:rsidR="004C5D95" w:rsidRPr="007076FE" w:rsidRDefault="004C5D95" w:rsidP="007076FE">
      <w:pPr>
        <w:pStyle w:val="Lijstalinea"/>
        <w:numPr>
          <w:ilvl w:val="2"/>
          <w:numId w:val="24"/>
        </w:numPr>
        <w:rPr>
          <w:iCs/>
          <w:sz w:val="22"/>
          <w:szCs w:val="22"/>
        </w:rPr>
      </w:pPr>
      <w:r w:rsidRPr="007076FE">
        <w:rPr>
          <w:iCs/>
          <w:sz w:val="22"/>
          <w:szCs w:val="22"/>
        </w:rPr>
        <w:t>Interdisciplinair Instituut voor Breedband Technologie (IBBT)</w:t>
      </w:r>
    </w:p>
    <w:p w:rsidR="004C5D95" w:rsidRDefault="004C5D95" w:rsidP="008816CD">
      <w:pPr>
        <w:pStyle w:val="Lijstalinea"/>
        <w:ind w:left="1416"/>
        <w:rPr>
          <w:sz w:val="22"/>
          <w:szCs w:val="22"/>
        </w:rPr>
      </w:pPr>
    </w:p>
    <w:p w:rsidR="004C5D95" w:rsidRDefault="004C5D95" w:rsidP="00FF2866">
      <w:pPr>
        <w:pStyle w:val="Lijstalinea"/>
        <w:ind w:left="1416"/>
        <w:jc w:val="both"/>
        <w:rPr>
          <w:sz w:val="22"/>
          <w:szCs w:val="22"/>
        </w:rPr>
      </w:pPr>
      <w:r>
        <w:rPr>
          <w:sz w:val="22"/>
          <w:szCs w:val="22"/>
        </w:rPr>
        <w:t xml:space="preserve">IBBT heeft de afgelopen drie jaar geen schenkingen </w:t>
      </w:r>
      <w:r w:rsidR="002B6D8B">
        <w:rPr>
          <w:sz w:val="22"/>
          <w:szCs w:val="22"/>
        </w:rPr>
        <w:t>en/</w:t>
      </w:r>
      <w:r>
        <w:rPr>
          <w:sz w:val="22"/>
          <w:szCs w:val="22"/>
        </w:rPr>
        <w:t>of legaten ontvangen (en evenmin in de periode daarvoor</w:t>
      </w:r>
      <w:r w:rsidR="003A6777">
        <w:rPr>
          <w:sz w:val="22"/>
          <w:szCs w:val="22"/>
        </w:rPr>
        <w:t>). I</w:t>
      </w:r>
      <w:r>
        <w:rPr>
          <w:sz w:val="22"/>
          <w:szCs w:val="22"/>
        </w:rPr>
        <w:t>BBT heeft dan ook geen (fiscale) attesten in dit verband uitgegeven. IBBT beschikt overigens niet over het – door de FOD Financiën goed te keuren – vereiste statuut om een dergelijk attest uit te schrijven.</w:t>
      </w:r>
    </w:p>
    <w:p w:rsidR="004C5D95" w:rsidRDefault="004C5D95" w:rsidP="00FF2866">
      <w:pPr>
        <w:pStyle w:val="Lijstalinea"/>
        <w:ind w:left="1416"/>
        <w:jc w:val="both"/>
        <w:rPr>
          <w:sz w:val="22"/>
          <w:szCs w:val="22"/>
        </w:rPr>
      </w:pPr>
    </w:p>
    <w:p w:rsidR="002B7C01" w:rsidRPr="008816CD" w:rsidRDefault="00C066B5" w:rsidP="00FF2866">
      <w:pPr>
        <w:pStyle w:val="Lijstalinea"/>
        <w:numPr>
          <w:ilvl w:val="2"/>
          <w:numId w:val="24"/>
        </w:numPr>
        <w:jc w:val="both"/>
        <w:rPr>
          <w:iCs/>
          <w:sz w:val="22"/>
          <w:szCs w:val="22"/>
        </w:rPr>
      </w:pPr>
      <w:r w:rsidRPr="008816CD">
        <w:rPr>
          <w:iCs/>
          <w:sz w:val="22"/>
          <w:szCs w:val="22"/>
        </w:rPr>
        <w:t>Interuniversitair Micro Elektronica Centrum (IMEC)</w:t>
      </w:r>
    </w:p>
    <w:p w:rsidR="002B7C01" w:rsidRDefault="002B7C01" w:rsidP="00FF2866">
      <w:pPr>
        <w:pStyle w:val="Lijstalinea"/>
        <w:ind w:left="1416"/>
        <w:jc w:val="both"/>
        <w:rPr>
          <w:sz w:val="22"/>
          <w:szCs w:val="22"/>
        </w:rPr>
      </w:pPr>
    </w:p>
    <w:p w:rsidR="00C066B5" w:rsidRDefault="00C066B5" w:rsidP="00FF2866">
      <w:pPr>
        <w:pStyle w:val="Lijstalinea"/>
        <w:ind w:left="1416"/>
        <w:jc w:val="both"/>
        <w:rPr>
          <w:sz w:val="22"/>
          <w:szCs w:val="22"/>
        </w:rPr>
      </w:pPr>
      <w:r>
        <w:rPr>
          <w:sz w:val="22"/>
          <w:szCs w:val="22"/>
        </w:rPr>
        <w:t>IMEC heeft de afgelopen drie jaar geen schenkingen</w:t>
      </w:r>
      <w:r w:rsidR="004C5D95">
        <w:rPr>
          <w:sz w:val="22"/>
          <w:szCs w:val="22"/>
        </w:rPr>
        <w:t xml:space="preserve"> </w:t>
      </w:r>
      <w:r w:rsidR="002B6D8B">
        <w:rPr>
          <w:sz w:val="22"/>
          <w:szCs w:val="22"/>
        </w:rPr>
        <w:t>en/</w:t>
      </w:r>
      <w:r w:rsidR="004C5D95">
        <w:rPr>
          <w:sz w:val="22"/>
          <w:szCs w:val="22"/>
        </w:rPr>
        <w:t xml:space="preserve">of </w:t>
      </w:r>
      <w:r>
        <w:rPr>
          <w:sz w:val="22"/>
          <w:szCs w:val="22"/>
        </w:rPr>
        <w:t xml:space="preserve">legaten ontvangen en </w:t>
      </w:r>
      <w:r w:rsidR="004C5D95">
        <w:rPr>
          <w:sz w:val="22"/>
          <w:szCs w:val="22"/>
        </w:rPr>
        <w:t>bi</w:t>
      </w:r>
      <w:r w:rsidR="004C5D95">
        <w:rPr>
          <w:sz w:val="22"/>
          <w:szCs w:val="22"/>
        </w:rPr>
        <w:t>j</w:t>
      </w:r>
      <w:r w:rsidR="004C5D95">
        <w:rPr>
          <w:sz w:val="22"/>
          <w:szCs w:val="22"/>
        </w:rPr>
        <w:t>gevolg ook geen fiscale attesten in dit verband afgeleverd.</w:t>
      </w:r>
      <w:r>
        <w:rPr>
          <w:sz w:val="22"/>
          <w:szCs w:val="22"/>
        </w:rPr>
        <w:t xml:space="preserve"> </w:t>
      </w:r>
    </w:p>
    <w:p w:rsidR="00C066B5" w:rsidRDefault="00C066B5" w:rsidP="008816CD">
      <w:pPr>
        <w:pStyle w:val="Lijstalinea"/>
        <w:ind w:left="1416"/>
        <w:rPr>
          <w:sz w:val="22"/>
          <w:szCs w:val="22"/>
        </w:rPr>
      </w:pPr>
    </w:p>
    <w:p w:rsidR="004C5D95" w:rsidRPr="008816CD" w:rsidRDefault="00F96EC9" w:rsidP="008816CD">
      <w:pPr>
        <w:pStyle w:val="Lijstalinea"/>
        <w:numPr>
          <w:ilvl w:val="2"/>
          <w:numId w:val="24"/>
        </w:numPr>
        <w:rPr>
          <w:iCs/>
          <w:sz w:val="22"/>
          <w:szCs w:val="22"/>
        </w:rPr>
      </w:pPr>
      <w:r w:rsidRPr="008816CD">
        <w:rPr>
          <w:iCs/>
          <w:sz w:val="22"/>
          <w:szCs w:val="22"/>
        </w:rPr>
        <w:t>V</w:t>
      </w:r>
      <w:r w:rsidR="004C5D95" w:rsidRPr="008816CD">
        <w:rPr>
          <w:iCs/>
          <w:sz w:val="22"/>
          <w:szCs w:val="22"/>
        </w:rPr>
        <w:t>laams Instituut voor Biotechnologie</w:t>
      </w:r>
      <w:r w:rsidRPr="008816CD">
        <w:rPr>
          <w:iCs/>
          <w:sz w:val="22"/>
          <w:szCs w:val="22"/>
        </w:rPr>
        <w:t xml:space="preserve"> (VIB)</w:t>
      </w:r>
    </w:p>
    <w:p w:rsidR="004C5D95" w:rsidRDefault="004C5D95" w:rsidP="008816CD">
      <w:pPr>
        <w:pStyle w:val="Lijstalinea"/>
        <w:ind w:left="1416"/>
        <w:rPr>
          <w:sz w:val="22"/>
          <w:szCs w:val="22"/>
        </w:rPr>
      </w:pPr>
    </w:p>
    <w:p w:rsidR="0083595D" w:rsidRDefault="0083595D" w:rsidP="008816CD">
      <w:pPr>
        <w:pStyle w:val="Lijstalinea"/>
        <w:ind w:left="1416"/>
        <w:rPr>
          <w:sz w:val="22"/>
          <w:szCs w:val="22"/>
        </w:rPr>
      </w:pPr>
      <w:r w:rsidRPr="0083595D">
        <w:rPr>
          <w:sz w:val="22"/>
          <w:szCs w:val="22"/>
        </w:rPr>
        <w:t xml:space="preserve">VIB ontving </w:t>
      </w:r>
      <w:r>
        <w:rPr>
          <w:sz w:val="22"/>
          <w:szCs w:val="22"/>
        </w:rPr>
        <w:t xml:space="preserve">de </w:t>
      </w:r>
      <w:r w:rsidRPr="0083595D">
        <w:rPr>
          <w:sz w:val="22"/>
          <w:szCs w:val="22"/>
        </w:rPr>
        <w:t xml:space="preserve">volgende schenkingen in de afgelopen </w:t>
      </w:r>
      <w:r>
        <w:rPr>
          <w:sz w:val="22"/>
          <w:szCs w:val="22"/>
        </w:rPr>
        <w:t>drie</w:t>
      </w:r>
      <w:r w:rsidRPr="0083595D">
        <w:rPr>
          <w:sz w:val="22"/>
          <w:szCs w:val="22"/>
        </w:rPr>
        <w:t xml:space="preserve"> jaar</w:t>
      </w:r>
      <w:r>
        <w:rPr>
          <w:sz w:val="22"/>
          <w:szCs w:val="22"/>
        </w:rPr>
        <w:t xml:space="preserve"> (2012 inbegrepen):</w:t>
      </w:r>
    </w:p>
    <w:p w:rsidR="0083595D" w:rsidRDefault="0083595D" w:rsidP="008816CD">
      <w:pPr>
        <w:pStyle w:val="Lijstalinea"/>
        <w:ind w:left="1416"/>
        <w:rPr>
          <w:sz w:val="22"/>
          <w:szCs w:val="22"/>
        </w:rPr>
      </w:pPr>
    </w:p>
    <w:tbl>
      <w:tblPr>
        <w:tblW w:w="0" w:type="auto"/>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1780"/>
      </w:tblGrid>
      <w:tr w:rsidR="00F96EC9" w:rsidRPr="001D3FFE" w:rsidTr="008816CD">
        <w:tc>
          <w:tcPr>
            <w:tcW w:w="766" w:type="dxa"/>
            <w:shd w:val="pct10" w:color="auto" w:fill="auto"/>
          </w:tcPr>
          <w:p w:rsidR="00F96EC9" w:rsidRPr="001D3FFE" w:rsidRDefault="00F96EC9" w:rsidP="00AD6F7E">
            <w:pPr>
              <w:pStyle w:val="StandaardSV"/>
              <w:jc w:val="center"/>
              <w:rPr>
                <w:szCs w:val="22"/>
              </w:rPr>
            </w:pPr>
            <w:r>
              <w:rPr>
                <w:szCs w:val="22"/>
              </w:rPr>
              <w:t>Jaar</w:t>
            </w:r>
          </w:p>
        </w:tc>
        <w:tc>
          <w:tcPr>
            <w:tcW w:w="1780" w:type="dxa"/>
            <w:shd w:val="pct10" w:color="auto" w:fill="auto"/>
          </w:tcPr>
          <w:p w:rsidR="00F96EC9" w:rsidRPr="001D3FFE" w:rsidRDefault="00F96EC9" w:rsidP="00AD6F7E">
            <w:pPr>
              <w:pStyle w:val="StandaardSV"/>
              <w:jc w:val="right"/>
              <w:rPr>
                <w:szCs w:val="22"/>
              </w:rPr>
            </w:pPr>
            <w:r>
              <w:rPr>
                <w:szCs w:val="22"/>
              </w:rPr>
              <w:t>Bedrag (in euro)</w:t>
            </w:r>
          </w:p>
        </w:tc>
      </w:tr>
      <w:tr w:rsidR="00F96EC9" w:rsidRPr="001D3FFE" w:rsidTr="008816CD">
        <w:tc>
          <w:tcPr>
            <w:tcW w:w="766" w:type="dxa"/>
            <w:shd w:val="clear" w:color="auto" w:fill="auto"/>
          </w:tcPr>
          <w:p w:rsidR="00F96EC9" w:rsidRPr="001D3FFE" w:rsidRDefault="00F96EC9" w:rsidP="00F96EC9">
            <w:pPr>
              <w:pStyle w:val="StandaardSV"/>
              <w:jc w:val="center"/>
              <w:rPr>
                <w:szCs w:val="22"/>
              </w:rPr>
            </w:pPr>
            <w:r w:rsidRPr="001D3FFE">
              <w:rPr>
                <w:szCs w:val="22"/>
              </w:rPr>
              <w:t>20</w:t>
            </w:r>
            <w:r>
              <w:rPr>
                <w:szCs w:val="22"/>
              </w:rPr>
              <w:t>10</w:t>
            </w:r>
          </w:p>
        </w:tc>
        <w:tc>
          <w:tcPr>
            <w:tcW w:w="1780" w:type="dxa"/>
            <w:shd w:val="clear" w:color="auto" w:fill="auto"/>
          </w:tcPr>
          <w:p w:rsidR="00F96EC9" w:rsidRPr="001D3FFE" w:rsidRDefault="0083595D" w:rsidP="00AD6F7E">
            <w:pPr>
              <w:pStyle w:val="StandaardSV"/>
              <w:jc w:val="right"/>
              <w:rPr>
                <w:szCs w:val="22"/>
              </w:rPr>
            </w:pPr>
            <w:r>
              <w:rPr>
                <w:szCs w:val="22"/>
              </w:rPr>
              <w:t>0,00</w:t>
            </w:r>
          </w:p>
        </w:tc>
      </w:tr>
      <w:tr w:rsidR="00F96EC9" w:rsidRPr="001D3FFE" w:rsidTr="008816CD">
        <w:tc>
          <w:tcPr>
            <w:tcW w:w="766" w:type="dxa"/>
            <w:shd w:val="clear" w:color="auto" w:fill="auto"/>
          </w:tcPr>
          <w:p w:rsidR="00F96EC9" w:rsidRPr="001D3FFE" w:rsidRDefault="00F96EC9" w:rsidP="00F96EC9">
            <w:pPr>
              <w:pStyle w:val="StandaardSV"/>
              <w:jc w:val="center"/>
              <w:rPr>
                <w:szCs w:val="22"/>
              </w:rPr>
            </w:pPr>
            <w:r w:rsidRPr="001D3FFE">
              <w:rPr>
                <w:szCs w:val="22"/>
              </w:rPr>
              <w:t>201</w:t>
            </w:r>
            <w:r>
              <w:rPr>
                <w:szCs w:val="22"/>
              </w:rPr>
              <w:t>1</w:t>
            </w:r>
          </w:p>
        </w:tc>
        <w:tc>
          <w:tcPr>
            <w:tcW w:w="1780" w:type="dxa"/>
            <w:shd w:val="clear" w:color="auto" w:fill="auto"/>
          </w:tcPr>
          <w:p w:rsidR="00F96EC9" w:rsidRPr="001D3FFE" w:rsidRDefault="0083595D" w:rsidP="00AD6F7E">
            <w:pPr>
              <w:pStyle w:val="StandaardSV"/>
              <w:jc w:val="right"/>
              <w:rPr>
                <w:szCs w:val="22"/>
              </w:rPr>
            </w:pPr>
            <w:r>
              <w:rPr>
                <w:szCs w:val="22"/>
              </w:rPr>
              <w:t>0,00</w:t>
            </w:r>
          </w:p>
        </w:tc>
      </w:tr>
      <w:tr w:rsidR="00F96EC9" w:rsidRPr="001D3FFE" w:rsidTr="008816CD">
        <w:tc>
          <w:tcPr>
            <w:tcW w:w="766" w:type="dxa"/>
            <w:shd w:val="clear" w:color="auto" w:fill="auto"/>
          </w:tcPr>
          <w:p w:rsidR="00F96EC9" w:rsidRPr="001D3FFE" w:rsidRDefault="00F96EC9" w:rsidP="00F96EC9">
            <w:pPr>
              <w:pStyle w:val="StandaardSV"/>
              <w:jc w:val="center"/>
              <w:rPr>
                <w:szCs w:val="22"/>
              </w:rPr>
            </w:pPr>
            <w:r w:rsidRPr="001D3FFE">
              <w:rPr>
                <w:szCs w:val="22"/>
              </w:rPr>
              <w:t>201</w:t>
            </w:r>
            <w:r>
              <w:rPr>
                <w:szCs w:val="22"/>
              </w:rPr>
              <w:t>2</w:t>
            </w:r>
          </w:p>
        </w:tc>
        <w:tc>
          <w:tcPr>
            <w:tcW w:w="1780" w:type="dxa"/>
            <w:shd w:val="clear" w:color="auto" w:fill="auto"/>
          </w:tcPr>
          <w:p w:rsidR="00F96EC9" w:rsidRPr="001D3FFE" w:rsidRDefault="0083595D" w:rsidP="00AD6F7E">
            <w:pPr>
              <w:pStyle w:val="StandaardSV"/>
              <w:jc w:val="right"/>
              <w:rPr>
                <w:szCs w:val="22"/>
              </w:rPr>
            </w:pPr>
            <w:r w:rsidRPr="0083595D">
              <w:rPr>
                <w:szCs w:val="22"/>
              </w:rPr>
              <w:t>103.000</w:t>
            </w:r>
            <w:r>
              <w:rPr>
                <w:szCs w:val="22"/>
              </w:rPr>
              <w:t>,00</w:t>
            </w:r>
          </w:p>
        </w:tc>
      </w:tr>
    </w:tbl>
    <w:p w:rsidR="00F96EC9" w:rsidRDefault="00F96EC9" w:rsidP="008816CD">
      <w:pPr>
        <w:ind w:left="1416"/>
        <w:rPr>
          <w:iCs/>
          <w:sz w:val="22"/>
          <w:szCs w:val="22"/>
        </w:rPr>
      </w:pPr>
    </w:p>
    <w:p w:rsidR="00F96EC9" w:rsidRDefault="0083595D" w:rsidP="00FF2866">
      <w:pPr>
        <w:pStyle w:val="Lijstalinea"/>
        <w:ind w:left="1416"/>
        <w:jc w:val="both"/>
        <w:rPr>
          <w:sz w:val="22"/>
          <w:szCs w:val="22"/>
        </w:rPr>
      </w:pPr>
      <w:r w:rsidRPr="0083595D">
        <w:rPr>
          <w:sz w:val="22"/>
          <w:szCs w:val="22"/>
        </w:rPr>
        <w:t>De aanvraag van VIB om fiscale attesten te kunnen uitreiken</w:t>
      </w:r>
      <w:r>
        <w:rPr>
          <w:sz w:val="22"/>
          <w:szCs w:val="22"/>
        </w:rPr>
        <w:t>,</w:t>
      </w:r>
      <w:r w:rsidRPr="0083595D">
        <w:rPr>
          <w:sz w:val="22"/>
          <w:szCs w:val="22"/>
        </w:rPr>
        <w:t xml:space="preserve"> loopt nog steeds. VIB heeft de procedure opgestart bij </w:t>
      </w:r>
      <w:r>
        <w:rPr>
          <w:sz w:val="22"/>
          <w:szCs w:val="22"/>
        </w:rPr>
        <w:t>de FOD Financiën en bij de POD Wetenschapsbeleid (</w:t>
      </w:r>
      <w:r w:rsidRPr="0083595D">
        <w:rPr>
          <w:sz w:val="22"/>
          <w:szCs w:val="22"/>
        </w:rPr>
        <w:t>BELSPO</w:t>
      </w:r>
      <w:r>
        <w:rPr>
          <w:sz w:val="22"/>
          <w:szCs w:val="22"/>
        </w:rPr>
        <w:t>)</w:t>
      </w:r>
      <w:r w:rsidRPr="0083595D">
        <w:rPr>
          <w:sz w:val="22"/>
          <w:szCs w:val="22"/>
        </w:rPr>
        <w:t xml:space="preserve"> in mei 2010, zonder enig formeel antwoord </w:t>
      </w:r>
      <w:r>
        <w:rPr>
          <w:sz w:val="22"/>
          <w:szCs w:val="22"/>
        </w:rPr>
        <w:t xml:space="preserve">tot </w:t>
      </w:r>
      <w:r w:rsidRPr="0083595D">
        <w:rPr>
          <w:sz w:val="22"/>
          <w:szCs w:val="22"/>
        </w:rPr>
        <w:t>op de dag van vandaag. Als gevolg hierva</w:t>
      </w:r>
      <w:bookmarkStart w:id="0" w:name="_GoBack"/>
      <w:bookmarkEnd w:id="0"/>
      <w:r w:rsidRPr="0083595D">
        <w:rPr>
          <w:sz w:val="22"/>
          <w:szCs w:val="22"/>
        </w:rPr>
        <w:t xml:space="preserve">n kan VIB </w:t>
      </w:r>
      <w:r>
        <w:rPr>
          <w:sz w:val="22"/>
          <w:szCs w:val="22"/>
        </w:rPr>
        <w:t xml:space="preserve">(nog steeds) </w:t>
      </w:r>
      <w:r w:rsidRPr="0083595D">
        <w:rPr>
          <w:sz w:val="22"/>
          <w:szCs w:val="22"/>
        </w:rPr>
        <w:t>geen fiscale attesten afleveren.</w:t>
      </w:r>
    </w:p>
    <w:p w:rsidR="0083595D" w:rsidRDefault="0083595D" w:rsidP="00FF2866">
      <w:pPr>
        <w:pStyle w:val="Lijstalinea"/>
        <w:ind w:left="1416"/>
        <w:jc w:val="both"/>
        <w:rPr>
          <w:sz w:val="22"/>
          <w:szCs w:val="22"/>
        </w:rPr>
      </w:pPr>
    </w:p>
    <w:p w:rsidR="00C066B5" w:rsidRPr="008816CD" w:rsidRDefault="004C5D95" w:rsidP="00FF2866">
      <w:pPr>
        <w:pStyle w:val="Lijstalinea"/>
        <w:numPr>
          <w:ilvl w:val="2"/>
          <w:numId w:val="24"/>
        </w:numPr>
        <w:jc w:val="both"/>
        <w:rPr>
          <w:iCs/>
          <w:sz w:val="22"/>
          <w:szCs w:val="22"/>
        </w:rPr>
      </w:pPr>
      <w:r w:rsidRPr="008816CD">
        <w:rPr>
          <w:iCs/>
          <w:sz w:val="22"/>
          <w:szCs w:val="22"/>
        </w:rPr>
        <w:t>Vlaamse Instelling voor Technologisch Onderzoek</w:t>
      </w:r>
      <w:r w:rsidR="0083595D" w:rsidRPr="008816CD">
        <w:rPr>
          <w:iCs/>
          <w:sz w:val="22"/>
          <w:szCs w:val="22"/>
        </w:rPr>
        <w:t xml:space="preserve"> (VITO)</w:t>
      </w:r>
    </w:p>
    <w:p w:rsidR="00C066B5" w:rsidRDefault="00C066B5" w:rsidP="00FF2866">
      <w:pPr>
        <w:pStyle w:val="Lijstalinea"/>
        <w:ind w:left="1416"/>
        <w:jc w:val="both"/>
        <w:rPr>
          <w:sz w:val="22"/>
          <w:szCs w:val="22"/>
        </w:rPr>
      </w:pPr>
    </w:p>
    <w:p w:rsidR="0083595D" w:rsidRDefault="0083595D" w:rsidP="00FF2866">
      <w:pPr>
        <w:pStyle w:val="Lijstalinea"/>
        <w:ind w:left="1416"/>
        <w:jc w:val="both"/>
        <w:rPr>
          <w:sz w:val="22"/>
          <w:szCs w:val="22"/>
        </w:rPr>
      </w:pPr>
      <w:r>
        <w:rPr>
          <w:sz w:val="22"/>
          <w:szCs w:val="22"/>
        </w:rPr>
        <w:t xml:space="preserve">VITO heeft de afgelopen drie jaar geen schenkingen </w:t>
      </w:r>
      <w:r w:rsidR="002B6D8B">
        <w:rPr>
          <w:sz w:val="22"/>
          <w:szCs w:val="22"/>
        </w:rPr>
        <w:t>en/</w:t>
      </w:r>
      <w:r>
        <w:rPr>
          <w:sz w:val="22"/>
          <w:szCs w:val="22"/>
        </w:rPr>
        <w:t>of legaten ontvangen en bijg</w:t>
      </w:r>
      <w:r>
        <w:rPr>
          <w:sz w:val="22"/>
          <w:szCs w:val="22"/>
        </w:rPr>
        <w:t>e</w:t>
      </w:r>
      <w:r>
        <w:rPr>
          <w:sz w:val="22"/>
          <w:szCs w:val="22"/>
        </w:rPr>
        <w:t xml:space="preserve">volg ook geen fiscale attesten in dit verband afgeleverd. </w:t>
      </w:r>
    </w:p>
    <w:p w:rsidR="00C066B5" w:rsidRDefault="00C066B5" w:rsidP="008816CD">
      <w:pPr>
        <w:pStyle w:val="Lijstalinea"/>
        <w:ind w:left="1416"/>
        <w:rPr>
          <w:sz w:val="22"/>
          <w:szCs w:val="22"/>
        </w:rPr>
      </w:pPr>
    </w:p>
    <w:p w:rsidR="001D3FFE" w:rsidRPr="008D352A" w:rsidRDefault="0083595D" w:rsidP="0083595D">
      <w:pPr>
        <w:pStyle w:val="Lijstalinea"/>
        <w:numPr>
          <w:ilvl w:val="0"/>
          <w:numId w:val="17"/>
        </w:numPr>
        <w:rPr>
          <w:sz w:val="22"/>
          <w:szCs w:val="22"/>
        </w:rPr>
      </w:pPr>
      <w:r>
        <w:rPr>
          <w:sz w:val="22"/>
          <w:szCs w:val="22"/>
        </w:rPr>
        <w:t xml:space="preserve">Neen. </w:t>
      </w:r>
    </w:p>
    <w:sectPr w:rsidR="001D3FFE" w:rsidRPr="008D352A" w:rsidSect="006D4F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Tahoma"/>
        <w:sz w:val="18"/>
        <w:szCs w:val="18"/>
      </w:rPr>
    </w:lvl>
    <w:lvl w:ilvl="1">
      <w:start w:val="1"/>
      <w:numFmt w:val="bullet"/>
      <w:lvlText w:val=""/>
      <w:lvlJc w:val="left"/>
      <w:pPr>
        <w:tabs>
          <w:tab w:val="num" w:pos="1080"/>
        </w:tabs>
        <w:ind w:left="1080" w:hanging="360"/>
      </w:pPr>
      <w:rPr>
        <w:rFonts w:ascii="Wingdings" w:hAnsi="Wingdings" w:cs="Tahoma"/>
        <w:sz w:val="18"/>
        <w:szCs w:val="18"/>
      </w:rPr>
    </w:lvl>
    <w:lvl w:ilvl="2">
      <w:start w:val="1"/>
      <w:numFmt w:val="bullet"/>
      <w:lvlText w:val=""/>
      <w:lvlJc w:val="left"/>
      <w:pPr>
        <w:tabs>
          <w:tab w:val="num" w:pos="1440"/>
        </w:tabs>
        <w:ind w:left="1440" w:hanging="360"/>
      </w:pPr>
      <w:rPr>
        <w:rFonts w:ascii="Wingdings" w:hAnsi="Wingdings" w:cs="Tahoma"/>
        <w:sz w:val="18"/>
        <w:szCs w:val="18"/>
      </w:rPr>
    </w:lvl>
    <w:lvl w:ilvl="3">
      <w:start w:val="1"/>
      <w:numFmt w:val="bullet"/>
      <w:lvlText w:val=""/>
      <w:lvlJc w:val="left"/>
      <w:pPr>
        <w:tabs>
          <w:tab w:val="num" w:pos="1800"/>
        </w:tabs>
        <w:ind w:left="1800" w:hanging="360"/>
      </w:pPr>
      <w:rPr>
        <w:rFonts w:ascii="Wingdings" w:hAnsi="Wingdings" w:cs="Tahoma"/>
        <w:sz w:val="18"/>
        <w:szCs w:val="18"/>
      </w:rPr>
    </w:lvl>
    <w:lvl w:ilvl="4">
      <w:start w:val="1"/>
      <w:numFmt w:val="bullet"/>
      <w:lvlText w:val=""/>
      <w:lvlJc w:val="left"/>
      <w:pPr>
        <w:tabs>
          <w:tab w:val="num" w:pos="2160"/>
        </w:tabs>
        <w:ind w:left="2160" w:hanging="360"/>
      </w:pPr>
      <w:rPr>
        <w:rFonts w:ascii="Wingdings" w:hAnsi="Wingdings" w:cs="Tahoma"/>
        <w:sz w:val="18"/>
        <w:szCs w:val="18"/>
      </w:rPr>
    </w:lvl>
    <w:lvl w:ilvl="5">
      <w:start w:val="1"/>
      <w:numFmt w:val="bullet"/>
      <w:lvlText w:val=""/>
      <w:lvlJc w:val="left"/>
      <w:pPr>
        <w:tabs>
          <w:tab w:val="num" w:pos="2520"/>
        </w:tabs>
        <w:ind w:left="2520" w:hanging="360"/>
      </w:pPr>
      <w:rPr>
        <w:rFonts w:ascii="Wingdings" w:hAnsi="Wingdings" w:cs="Tahoma"/>
        <w:sz w:val="18"/>
        <w:szCs w:val="18"/>
      </w:rPr>
    </w:lvl>
    <w:lvl w:ilvl="6">
      <w:start w:val="1"/>
      <w:numFmt w:val="bullet"/>
      <w:lvlText w:val=""/>
      <w:lvlJc w:val="left"/>
      <w:pPr>
        <w:tabs>
          <w:tab w:val="num" w:pos="2880"/>
        </w:tabs>
        <w:ind w:left="2880" w:hanging="360"/>
      </w:pPr>
      <w:rPr>
        <w:rFonts w:ascii="Wingdings" w:hAnsi="Wingdings" w:cs="Tahoma"/>
        <w:sz w:val="18"/>
        <w:szCs w:val="18"/>
      </w:rPr>
    </w:lvl>
    <w:lvl w:ilvl="7">
      <w:start w:val="1"/>
      <w:numFmt w:val="bullet"/>
      <w:lvlText w:val=""/>
      <w:lvlJc w:val="left"/>
      <w:pPr>
        <w:tabs>
          <w:tab w:val="num" w:pos="3240"/>
        </w:tabs>
        <w:ind w:left="3240" w:hanging="360"/>
      </w:pPr>
      <w:rPr>
        <w:rFonts w:ascii="Wingdings" w:hAnsi="Wingdings" w:cs="Tahoma"/>
        <w:sz w:val="18"/>
        <w:szCs w:val="18"/>
      </w:rPr>
    </w:lvl>
    <w:lvl w:ilvl="8">
      <w:start w:val="1"/>
      <w:numFmt w:val="bullet"/>
      <w:lvlText w:val=""/>
      <w:lvlJc w:val="left"/>
      <w:pPr>
        <w:tabs>
          <w:tab w:val="num" w:pos="3600"/>
        </w:tabs>
        <w:ind w:left="3600" w:hanging="360"/>
      </w:pPr>
      <w:rPr>
        <w:rFonts w:ascii="Wingdings" w:hAnsi="Wingdings" w:cs="Tahoma"/>
        <w:sz w:val="18"/>
        <w:szCs w:val="18"/>
      </w:rPr>
    </w:lvl>
  </w:abstractNum>
  <w:abstractNum w:abstractNumId="1">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20C29F4"/>
    <w:multiLevelType w:val="hybridMultilevel"/>
    <w:tmpl w:val="8496D4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8000941"/>
    <w:multiLevelType w:val="hybridMultilevel"/>
    <w:tmpl w:val="FEF233C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0D872961"/>
    <w:multiLevelType w:val="hybridMultilevel"/>
    <w:tmpl w:val="901C1F16"/>
    <w:lvl w:ilvl="0" w:tplc="938E5D9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7DF0796"/>
    <w:multiLevelType w:val="hybridMultilevel"/>
    <w:tmpl w:val="8D5EBF3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277202FC"/>
    <w:multiLevelType w:val="hybridMultilevel"/>
    <w:tmpl w:val="7200C2DC"/>
    <w:lvl w:ilvl="0" w:tplc="7EE4528E">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285B69D6"/>
    <w:multiLevelType w:val="hybridMultilevel"/>
    <w:tmpl w:val="48068D1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8A875C2"/>
    <w:multiLevelType w:val="multilevel"/>
    <w:tmpl w:val="81EEF3E8"/>
    <w:lvl w:ilvl="0">
      <w:start w:val="1"/>
      <w:numFmt w:val="decimal"/>
      <w:lvlText w:val="%1."/>
      <w:lvlJc w:val="left"/>
      <w:pPr>
        <w:ind w:left="360" w:hanging="360"/>
      </w:pPr>
      <w:rPr>
        <w:rFonts w:hint="default"/>
      </w:rPr>
    </w:lvl>
    <w:lvl w:ilvl="1">
      <w:start w:val="1"/>
      <w:numFmt w:val="decimal"/>
      <w:isLgl/>
      <w:lvlText w:val="2.%2."/>
      <w:lvlJc w:val="left"/>
      <w:pPr>
        <w:ind w:left="720" w:hanging="360"/>
      </w:pPr>
      <w:rPr>
        <w:rFonts w:hint="default"/>
      </w:rPr>
    </w:lvl>
    <w:lvl w:ilvl="2">
      <w:start w:val="1"/>
      <w:numFmt w:val="decimal"/>
      <w:isLgl/>
      <w:lvlText w:val="2.%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nsid w:val="28ED4DCD"/>
    <w:multiLevelType w:val="hybridMultilevel"/>
    <w:tmpl w:val="023609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2B3D7ABA"/>
    <w:multiLevelType w:val="hybridMultilevel"/>
    <w:tmpl w:val="9FD4F3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35512236"/>
    <w:multiLevelType w:val="multilevel"/>
    <w:tmpl w:val="BE205F80"/>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3B8C37FF"/>
    <w:multiLevelType w:val="multilevel"/>
    <w:tmpl w:val="C9429DB2"/>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4A304CD7"/>
    <w:multiLevelType w:val="hybridMultilevel"/>
    <w:tmpl w:val="7102B5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nsid w:val="5955484D"/>
    <w:multiLevelType w:val="multilevel"/>
    <w:tmpl w:val="0A70C61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nsid w:val="62DE3C09"/>
    <w:multiLevelType w:val="hybridMultilevel"/>
    <w:tmpl w:val="D0641B9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nsid w:val="64AA0BAC"/>
    <w:multiLevelType w:val="multilevel"/>
    <w:tmpl w:val="C9429DB2"/>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nsid w:val="6669276E"/>
    <w:multiLevelType w:val="multilevel"/>
    <w:tmpl w:val="4D16DCB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nsid w:val="68695034"/>
    <w:multiLevelType w:val="hybridMultilevel"/>
    <w:tmpl w:val="271CA88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6"/>
  </w:num>
  <w:num w:numId="2">
    <w:abstractNumId w:val="6"/>
  </w:num>
  <w:num w:numId="3">
    <w:abstractNumId w:val="1"/>
  </w:num>
  <w:num w:numId="4">
    <w:abstractNumId w:val="18"/>
  </w:num>
  <w:num w:numId="5">
    <w:abstractNumId w:val="15"/>
  </w:num>
  <w:num w:numId="6">
    <w:abstractNumId w:val="5"/>
  </w:num>
  <w:num w:numId="7">
    <w:abstractNumId w:val="4"/>
  </w:num>
  <w:num w:numId="8">
    <w:abstractNumId w:val="16"/>
  </w:num>
  <w:num w:numId="9">
    <w:abstractNumId w:val="11"/>
  </w:num>
  <w:num w:numId="10">
    <w:abstractNumId w:val="0"/>
  </w:num>
  <w:num w:numId="11">
    <w:abstractNumId w:val="22"/>
  </w:num>
  <w:num w:numId="12">
    <w:abstractNumId w:val="2"/>
  </w:num>
  <w:num w:numId="13">
    <w:abstractNumId w:val="12"/>
  </w:num>
  <w:num w:numId="14">
    <w:abstractNumId w:val="19"/>
  </w:num>
  <w:num w:numId="15">
    <w:abstractNumId w:val="3"/>
  </w:num>
  <w:num w:numId="16">
    <w:abstractNumId w:val="9"/>
  </w:num>
  <w:num w:numId="17">
    <w:abstractNumId w:val="13"/>
  </w:num>
  <w:num w:numId="18">
    <w:abstractNumId w:val="8"/>
  </w:num>
  <w:num w:numId="19">
    <w:abstractNumId w:val="7"/>
  </w:num>
  <w:num w:numId="20">
    <w:abstractNumId w:val="21"/>
  </w:num>
  <w:num w:numId="21">
    <w:abstractNumId w:val="14"/>
  </w:num>
  <w:num w:numId="22">
    <w:abstractNumId w:val="17"/>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941198"/>
    <w:rsid w:val="000464A2"/>
    <w:rsid w:val="00070064"/>
    <w:rsid w:val="00071DA4"/>
    <w:rsid w:val="00080040"/>
    <w:rsid w:val="00083707"/>
    <w:rsid w:val="00091ABD"/>
    <w:rsid w:val="000B20DA"/>
    <w:rsid w:val="000B4303"/>
    <w:rsid w:val="000D6267"/>
    <w:rsid w:val="0016518C"/>
    <w:rsid w:val="00187BFC"/>
    <w:rsid w:val="001D3FFE"/>
    <w:rsid w:val="001E4BBA"/>
    <w:rsid w:val="0027647A"/>
    <w:rsid w:val="00280A0E"/>
    <w:rsid w:val="00293F6B"/>
    <w:rsid w:val="002B6D8B"/>
    <w:rsid w:val="002B7C01"/>
    <w:rsid w:val="00343A8F"/>
    <w:rsid w:val="003937A3"/>
    <w:rsid w:val="003A6777"/>
    <w:rsid w:val="003B721C"/>
    <w:rsid w:val="004210D6"/>
    <w:rsid w:val="00427E2D"/>
    <w:rsid w:val="004566D9"/>
    <w:rsid w:val="004C5D95"/>
    <w:rsid w:val="004D3B49"/>
    <w:rsid w:val="004D7979"/>
    <w:rsid w:val="004F3CF9"/>
    <w:rsid w:val="005051B9"/>
    <w:rsid w:val="0053058A"/>
    <w:rsid w:val="00532FE1"/>
    <w:rsid w:val="005A0D53"/>
    <w:rsid w:val="005F207D"/>
    <w:rsid w:val="00667CE6"/>
    <w:rsid w:val="00693743"/>
    <w:rsid w:val="006D4F57"/>
    <w:rsid w:val="006F29F5"/>
    <w:rsid w:val="006F49EA"/>
    <w:rsid w:val="007076FE"/>
    <w:rsid w:val="0073059F"/>
    <w:rsid w:val="00763774"/>
    <w:rsid w:val="007A7738"/>
    <w:rsid w:val="00800A0E"/>
    <w:rsid w:val="00832C90"/>
    <w:rsid w:val="0083595D"/>
    <w:rsid w:val="0083747B"/>
    <w:rsid w:val="00842F2E"/>
    <w:rsid w:val="00844521"/>
    <w:rsid w:val="008816CD"/>
    <w:rsid w:val="008D352A"/>
    <w:rsid w:val="00934B05"/>
    <w:rsid w:val="00941198"/>
    <w:rsid w:val="009864CE"/>
    <w:rsid w:val="009C170D"/>
    <w:rsid w:val="009C1DF0"/>
    <w:rsid w:val="009E167C"/>
    <w:rsid w:val="009F10A6"/>
    <w:rsid w:val="00A067BE"/>
    <w:rsid w:val="00A362A5"/>
    <w:rsid w:val="00AA2222"/>
    <w:rsid w:val="00AB4848"/>
    <w:rsid w:val="00AD78E8"/>
    <w:rsid w:val="00B4252A"/>
    <w:rsid w:val="00B6547D"/>
    <w:rsid w:val="00BD07FB"/>
    <w:rsid w:val="00C066B5"/>
    <w:rsid w:val="00C75C7E"/>
    <w:rsid w:val="00CC63C8"/>
    <w:rsid w:val="00CD3C5B"/>
    <w:rsid w:val="00CE7C75"/>
    <w:rsid w:val="00CF4E65"/>
    <w:rsid w:val="00D059F4"/>
    <w:rsid w:val="00DA33E1"/>
    <w:rsid w:val="00DB6D3D"/>
    <w:rsid w:val="00DE5A54"/>
    <w:rsid w:val="00DF6517"/>
    <w:rsid w:val="00EA33B6"/>
    <w:rsid w:val="00EB58D7"/>
    <w:rsid w:val="00EF296F"/>
    <w:rsid w:val="00F52CAF"/>
    <w:rsid w:val="00F96EC9"/>
    <w:rsid w:val="00FC1093"/>
    <w:rsid w:val="00FC489F"/>
    <w:rsid w:val="00FE0319"/>
    <w:rsid w:val="00FF28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D4F57"/>
    <w:rPr>
      <w:sz w:val="24"/>
      <w:lang w:val="nl-NL" w:eastAsia="nl-NL"/>
    </w:rPr>
  </w:style>
  <w:style w:type="paragraph" w:styleId="Kop1">
    <w:name w:val="heading 1"/>
    <w:basedOn w:val="Standaard"/>
    <w:next w:val="Standaard"/>
    <w:qFormat/>
    <w:rsid w:val="006D4F57"/>
    <w:pPr>
      <w:keepNext/>
      <w:numPr>
        <w:numId w:val="2"/>
      </w:numPr>
      <w:jc w:val="both"/>
      <w:outlineLvl w:val="0"/>
    </w:pPr>
    <w:rPr>
      <w:b/>
      <w:caps/>
    </w:rPr>
  </w:style>
  <w:style w:type="paragraph" w:styleId="Kop2">
    <w:name w:val="heading 2"/>
    <w:basedOn w:val="Standaard"/>
    <w:next w:val="Standaard"/>
    <w:qFormat/>
    <w:rsid w:val="006D4F57"/>
    <w:pPr>
      <w:keepNext/>
      <w:tabs>
        <w:tab w:val="num" w:pos="567"/>
      </w:tabs>
      <w:ind w:left="567" w:hanging="567"/>
      <w:outlineLvl w:val="1"/>
    </w:pPr>
    <w:rPr>
      <w:b/>
    </w:rPr>
  </w:style>
  <w:style w:type="paragraph" w:styleId="Kop3">
    <w:name w:val="heading 3"/>
    <w:basedOn w:val="Standaard"/>
    <w:next w:val="Standaard"/>
    <w:qFormat/>
    <w:rsid w:val="006D4F57"/>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6D4F57"/>
    <w:pPr>
      <w:framePr w:w="7920" w:h="1980" w:hRule="exact" w:hSpace="141" w:wrap="auto" w:hAnchor="page" w:xAlign="center" w:yAlign="bottom"/>
      <w:ind w:left="2880"/>
    </w:pPr>
  </w:style>
  <w:style w:type="paragraph" w:styleId="Afzender">
    <w:name w:val="envelope return"/>
    <w:basedOn w:val="Standaard"/>
    <w:rsid w:val="006D4F57"/>
  </w:style>
  <w:style w:type="paragraph" w:styleId="Inhopg1">
    <w:name w:val="toc 1"/>
    <w:basedOn w:val="Standaard"/>
    <w:next w:val="Standaard"/>
    <w:autoRedefine/>
    <w:semiHidden/>
    <w:rsid w:val="006D4F57"/>
    <w:pPr>
      <w:tabs>
        <w:tab w:val="right" w:leader="dot" w:pos="9741"/>
      </w:tabs>
      <w:spacing w:before="180" w:after="180"/>
      <w:ind w:left="567" w:hanging="567"/>
    </w:pPr>
    <w:rPr>
      <w:b/>
      <w:caps/>
      <w:noProof/>
    </w:rPr>
  </w:style>
  <w:style w:type="paragraph" w:styleId="Inhopg2">
    <w:name w:val="toc 2"/>
    <w:basedOn w:val="Standaard"/>
    <w:next w:val="Standaard"/>
    <w:autoRedefine/>
    <w:semiHidden/>
    <w:rsid w:val="006D4F57"/>
    <w:pPr>
      <w:tabs>
        <w:tab w:val="right" w:leader="dot" w:pos="9741"/>
      </w:tabs>
      <w:spacing w:before="80" w:after="80"/>
      <w:ind w:left="1134" w:hanging="567"/>
    </w:pPr>
    <w:rPr>
      <w:noProof/>
    </w:rPr>
  </w:style>
  <w:style w:type="paragraph" w:styleId="Inhopg3">
    <w:name w:val="toc 3"/>
    <w:basedOn w:val="Standaard"/>
    <w:next w:val="Standaard"/>
    <w:autoRedefine/>
    <w:semiHidden/>
    <w:rsid w:val="006D4F57"/>
    <w:pPr>
      <w:tabs>
        <w:tab w:val="right" w:leader="dot" w:pos="9741"/>
      </w:tabs>
      <w:spacing w:before="40" w:after="40"/>
      <w:ind w:left="1701" w:hanging="567"/>
    </w:pPr>
    <w:rPr>
      <w:i/>
    </w:rPr>
  </w:style>
  <w:style w:type="paragraph" w:styleId="Plattetekst2">
    <w:name w:val="Body Text 2"/>
    <w:basedOn w:val="Standaard"/>
    <w:rsid w:val="006D4F57"/>
    <w:pPr>
      <w:jc w:val="both"/>
    </w:pPr>
    <w:rPr>
      <w:i/>
      <w:sz w:val="22"/>
    </w:rPr>
  </w:style>
  <w:style w:type="paragraph" w:styleId="Lijstalinea">
    <w:name w:val="List Paragraph"/>
    <w:basedOn w:val="Standaard"/>
    <w:uiPriority w:val="34"/>
    <w:qFormat/>
    <w:rsid w:val="004210D6"/>
    <w:pPr>
      <w:ind w:left="708"/>
    </w:pPr>
  </w:style>
  <w:style w:type="paragraph" w:customStyle="1" w:styleId="SVVlaamsParlement">
    <w:name w:val="SV Vlaams Parlement"/>
    <w:basedOn w:val="Standaard"/>
    <w:rsid w:val="006D4F57"/>
    <w:pPr>
      <w:jc w:val="both"/>
    </w:pPr>
    <w:rPr>
      <w:b/>
      <w:smallCaps/>
      <w:sz w:val="22"/>
    </w:rPr>
  </w:style>
  <w:style w:type="paragraph" w:customStyle="1" w:styleId="SVTitel">
    <w:name w:val="SV Titel"/>
    <w:basedOn w:val="Standaard"/>
    <w:rsid w:val="006D4F57"/>
    <w:pPr>
      <w:jc w:val="both"/>
    </w:pPr>
    <w:rPr>
      <w:i/>
      <w:sz w:val="22"/>
    </w:rPr>
  </w:style>
  <w:style w:type="paragraph" w:customStyle="1" w:styleId="StandaardSV">
    <w:name w:val="Standaard SV"/>
    <w:basedOn w:val="Standaard"/>
    <w:rsid w:val="006D4F57"/>
    <w:pPr>
      <w:jc w:val="both"/>
    </w:pPr>
    <w:rPr>
      <w:sz w:val="22"/>
    </w:rPr>
  </w:style>
  <w:style w:type="paragraph" w:styleId="Ballontekst">
    <w:name w:val="Balloon Text"/>
    <w:basedOn w:val="Standaard"/>
    <w:link w:val="BallontekstChar"/>
    <w:rsid w:val="00EB58D7"/>
    <w:rPr>
      <w:rFonts w:ascii="Tahoma" w:hAnsi="Tahoma"/>
      <w:sz w:val="16"/>
      <w:szCs w:val="16"/>
    </w:rPr>
  </w:style>
  <w:style w:type="character" w:customStyle="1" w:styleId="BallontekstChar">
    <w:name w:val="Ballontekst Char"/>
    <w:link w:val="Ballontekst"/>
    <w:rsid w:val="00EB58D7"/>
    <w:rPr>
      <w:rFonts w:ascii="Tahoma" w:hAnsi="Tahoma" w:cs="Tahoma"/>
      <w:sz w:val="16"/>
      <w:szCs w:val="16"/>
      <w:lang w:val="nl-NL" w:eastAsia="nl-NL"/>
    </w:rPr>
  </w:style>
  <w:style w:type="table" w:styleId="Tabelraster">
    <w:name w:val="Table Grid"/>
    <w:basedOn w:val="Standaardtabel"/>
    <w:rsid w:val="00AA22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rsid w:val="00DA33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paragraph" w:styleId="Lijstalinea">
    <w:name w:val="List Paragraph"/>
    <w:basedOn w:val="Standaard"/>
    <w:uiPriority w:val="34"/>
    <w:qFormat/>
    <w:rsid w:val="004210D6"/>
    <w:pPr>
      <w:ind w:left="708"/>
    </w:p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Ballontekst">
    <w:name w:val="Balloon Text"/>
    <w:basedOn w:val="Standaard"/>
    <w:link w:val="BallontekstChar"/>
    <w:rsid w:val="00EB58D7"/>
    <w:rPr>
      <w:rFonts w:ascii="Tahoma" w:hAnsi="Tahoma"/>
      <w:sz w:val="16"/>
      <w:szCs w:val="16"/>
    </w:rPr>
  </w:style>
  <w:style w:type="character" w:customStyle="1" w:styleId="BallontekstChar">
    <w:name w:val="Ballontekst Char"/>
    <w:link w:val="Ballontekst"/>
    <w:rsid w:val="00EB58D7"/>
    <w:rPr>
      <w:rFonts w:ascii="Tahoma" w:hAnsi="Tahoma" w:cs="Tahoma"/>
      <w:sz w:val="16"/>
      <w:szCs w:val="16"/>
      <w:lang w:val="nl-NL" w:eastAsia="nl-NL"/>
    </w:rPr>
  </w:style>
  <w:style w:type="table" w:styleId="Tabelraster">
    <w:name w:val="Table Grid"/>
    <w:basedOn w:val="Standaardtabel"/>
    <w:rsid w:val="00AA22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rsid w:val="00DA33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9181">
      <w:bodyDiv w:val="1"/>
      <w:marLeft w:val="0"/>
      <w:marRight w:val="0"/>
      <w:marTop w:val="0"/>
      <w:marBottom w:val="0"/>
      <w:divBdr>
        <w:top w:val="none" w:sz="0" w:space="0" w:color="auto"/>
        <w:left w:val="none" w:sz="0" w:space="0" w:color="auto"/>
        <w:bottom w:val="none" w:sz="0" w:space="0" w:color="auto"/>
        <w:right w:val="none" w:sz="0" w:space="0" w:color="auto"/>
      </w:divBdr>
      <w:divsChild>
        <w:div w:id="622424494">
          <w:marLeft w:val="0"/>
          <w:marRight w:val="0"/>
          <w:marTop w:val="0"/>
          <w:marBottom w:val="0"/>
          <w:divBdr>
            <w:top w:val="none" w:sz="0" w:space="0" w:color="auto"/>
            <w:left w:val="none" w:sz="0" w:space="0" w:color="auto"/>
            <w:bottom w:val="none" w:sz="0" w:space="0" w:color="auto"/>
            <w:right w:val="none" w:sz="0" w:space="0" w:color="auto"/>
          </w:divBdr>
        </w:div>
        <w:div w:id="951863511">
          <w:marLeft w:val="0"/>
          <w:marRight w:val="0"/>
          <w:marTop w:val="0"/>
          <w:marBottom w:val="0"/>
          <w:divBdr>
            <w:top w:val="none" w:sz="0" w:space="0" w:color="auto"/>
            <w:left w:val="none" w:sz="0" w:space="0" w:color="auto"/>
            <w:bottom w:val="none" w:sz="0" w:space="0" w:color="auto"/>
            <w:right w:val="none" w:sz="0" w:space="0" w:color="auto"/>
          </w:divBdr>
        </w:div>
        <w:div w:id="1070545252">
          <w:marLeft w:val="0"/>
          <w:marRight w:val="0"/>
          <w:marTop w:val="0"/>
          <w:marBottom w:val="0"/>
          <w:divBdr>
            <w:top w:val="none" w:sz="0" w:space="0" w:color="auto"/>
            <w:left w:val="none" w:sz="0" w:space="0" w:color="auto"/>
            <w:bottom w:val="none" w:sz="0" w:space="0" w:color="auto"/>
            <w:right w:val="none" w:sz="0" w:space="0" w:color="auto"/>
          </w:divBdr>
        </w:div>
        <w:div w:id="1295451537">
          <w:marLeft w:val="0"/>
          <w:marRight w:val="0"/>
          <w:marTop w:val="0"/>
          <w:marBottom w:val="0"/>
          <w:divBdr>
            <w:top w:val="none" w:sz="0" w:space="0" w:color="auto"/>
            <w:left w:val="none" w:sz="0" w:space="0" w:color="auto"/>
            <w:bottom w:val="none" w:sz="0" w:space="0" w:color="auto"/>
            <w:right w:val="none" w:sz="0" w:space="0" w:color="auto"/>
          </w:divBdr>
        </w:div>
        <w:div w:id="1518694983">
          <w:marLeft w:val="0"/>
          <w:marRight w:val="0"/>
          <w:marTop w:val="0"/>
          <w:marBottom w:val="0"/>
          <w:divBdr>
            <w:top w:val="none" w:sz="0" w:space="0" w:color="auto"/>
            <w:left w:val="none" w:sz="0" w:space="0" w:color="auto"/>
            <w:bottom w:val="none" w:sz="0" w:space="0" w:color="auto"/>
            <w:right w:val="none" w:sz="0" w:space="0" w:color="auto"/>
          </w:divBdr>
        </w:div>
        <w:div w:id="2089501352">
          <w:marLeft w:val="0"/>
          <w:marRight w:val="0"/>
          <w:marTop w:val="0"/>
          <w:marBottom w:val="0"/>
          <w:divBdr>
            <w:top w:val="none" w:sz="0" w:space="0" w:color="auto"/>
            <w:left w:val="none" w:sz="0" w:space="0" w:color="auto"/>
            <w:bottom w:val="none" w:sz="0" w:space="0" w:color="auto"/>
            <w:right w:val="none" w:sz="0" w:space="0" w:color="auto"/>
          </w:divBdr>
        </w:div>
      </w:divsChild>
    </w:div>
    <w:div w:id="590508568">
      <w:bodyDiv w:val="1"/>
      <w:marLeft w:val="0"/>
      <w:marRight w:val="0"/>
      <w:marTop w:val="0"/>
      <w:marBottom w:val="0"/>
      <w:divBdr>
        <w:top w:val="none" w:sz="0" w:space="0" w:color="auto"/>
        <w:left w:val="none" w:sz="0" w:space="0" w:color="auto"/>
        <w:bottom w:val="none" w:sz="0" w:space="0" w:color="auto"/>
        <w:right w:val="none" w:sz="0" w:space="0" w:color="auto"/>
      </w:divBdr>
    </w:div>
    <w:div w:id="662588537">
      <w:bodyDiv w:val="1"/>
      <w:marLeft w:val="0"/>
      <w:marRight w:val="0"/>
      <w:marTop w:val="0"/>
      <w:marBottom w:val="0"/>
      <w:divBdr>
        <w:top w:val="none" w:sz="0" w:space="0" w:color="auto"/>
        <w:left w:val="none" w:sz="0" w:space="0" w:color="auto"/>
        <w:bottom w:val="none" w:sz="0" w:space="0" w:color="auto"/>
        <w:right w:val="none" w:sz="0" w:space="0" w:color="auto"/>
      </w:divBdr>
    </w:div>
    <w:div w:id="883835451">
      <w:bodyDiv w:val="1"/>
      <w:marLeft w:val="0"/>
      <w:marRight w:val="0"/>
      <w:marTop w:val="0"/>
      <w:marBottom w:val="0"/>
      <w:divBdr>
        <w:top w:val="none" w:sz="0" w:space="0" w:color="auto"/>
        <w:left w:val="none" w:sz="0" w:space="0" w:color="auto"/>
        <w:bottom w:val="none" w:sz="0" w:space="0" w:color="auto"/>
        <w:right w:val="none" w:sz="0" w:space="0" w:color="auto"/>
      </w:divBdr>
    </w:div>
    <w:div w:id="990601401">
      <w:bodyDiv w:val="1"/>
      <w:marLeft w:val="0"/>
      <w:marRight w:val="0"/>
      <w:marTop w:val="0"/>
      <w:marBottom w:val="0"/>
      <w:divBdr>
        <w:top w:val="none" w:sz="0" w:space="0" w:color="auto"/>
        <w:left w:val="none" w:sz="0" w:space="0" w:color="auto"/>
        <w:bottom w:val="none" w:sz="0" w:space="0" w:color="auto"/>
        <w:right w:val="none" w:sz="0" w:space="0" w:color="auto"/>
      </w:divBdr>
    </w:div>
    <w:div w:id="1146505482">
      <w:bodyDiv w:val="1"/>
      <w:marLeft w:val="0"/>
      <w:marRight w:val="0"/>
      <w:marTop w:val="0"/>
      <w:marBottom w:val="0"/>
      <w:divBdr>
        <w:top w:val="none" w:sz="0" w:space="0" w:color="auto"/>
        <w:left w:val="none" w:sz="0" w:space="0" w:color="auto"/>
        <w:bottom w:val="none" w:sz="0" w:space="0" w:color="auto"/>
        <w:right w:val="none" w:sz="0" w:space="0" w:color="auto"/>
      </w:divBdr>
    </w:div>
    <w:div w:id="1258976101">
      <w:bodyDiv w:val="1"/>
      <w:marLeft w:val="0"/>
      <w:marRight w:val="0"/>
      <w:marTop w:val="0"/>
      <w:marBottom w:val="0"/>
      <w:divBdr>
        <w:top w:val="none" w:sz="0" w:space="0" w:color="auto"/>
        <w:left w:val="none" w:sz="0" w:space="0" w:color="auto"/>
        <w:bottom w:val="none" w:sz="0" w:space="0" w:color="auto"/>
        <w:right w:val="none" w:sz="0" w:space="0" w:color="auto"/>
      </w:divBdr>
    </w:div>
    <w:div w:id="1306740965">
      <w:bodyDiv w:val="1"/>
      <w:marLeft w:val="0"/>
      <w:marRight w:val="0"/>
      <w:marTop w:val="0"/>
      <w:marBottom w:val="0"/>
      <w:divBdr>
        <w:top w:val="none" w:sz="0" w:space="0" w:color="auto"/>
        <w:left w:val="none" w:sz="0" w:space="0" w:color="auto"/>
        <w:bottom w:val="none" w:sz="0" w:space="0" w:color="auto"/>
        <w:right w:val="none" w:sz="0" w:space="0" w:color="auto"/>
      </w:divBdr>
    </w:div>
    <w:div w:id="1373729138">
      <w:bodyDiv w:val="1"/>
      <w:marLeft w:val="0"/>
      <w:marRight w:val="0"/>
      <w:marTop w:val="0"/>
      <w:marBottom w:val="0"/>
      <w:divBdr>
        <w:top w:val="none" w:sz="0" w:space="0" w:color="auto"/>
        <w:left w:val="none" w:sz="0" w:space="0" w:color="auto"/>
        <w:bottom w:val="none" w:sz="0" w:space="0" w:color="auto"/>
        <w:right w:val="none" w:sz="0" w:space="0" w:color="auto"/>
      </w:divBdr>
    </w:div>
    <w:div w:id="1593857830">
      <w:bodyDiv w:val="1"/>
      <w:marLeft w:val="0"/>
      <w:marRight w:val="0"/>
      <w:marTop w:val="0"/>
      <w:marBottom w:val="0"/>
      <w:divBdr>
        <w:top w:val="none" w:sz="0" w:space="0" w:color="auto"/>
        <w:left w:val="none" w:sz="0" w:space="0" w:color="auto"/>
        <w:bottom w:val="none" w:sz="0" w:space="0" w:color="auto"/>
        <w:right w:val="none" w:sz="0" w:space="0" w:color="auto"/>
      </w:divBdr>
    </w:div>
    <w:div w:id="188798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www.kuleuven.be/mecenaat/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068B4-6FF6-459F-A412-AF24FDDC0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817</Words>
  <Characters>4912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VLAAMS PARLEMENT</vt:lpstr>
    </vt:vector>
  </TitlesOfParts>
  <Company>Vlaams Parlement</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Nathalie De Keyzer</cp:lastModifiedBy>
  <cp:revision>3</cp:revision>
  <cp:lastPrinted>2012-06-12T12:06:00Z</cp:lastPrinted>
  <dcterms:created xsi:type="dcterms:W3CDTF">2012-07-25T08:36:00Z</dcterms:created>
  <dcterms:modified xsi:type="dcterms:W3CDTF">2012-09-05T12:44:00Z</dcterms:modified>
</cp:coreProperties>
</file>