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D7" w:rsidRPr="00A8473D" w:rsidRDefault="003A32D7" w:rsidP="003A32D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3A32D7" w:rsidRDefault="003A32D7" w:rsidP="003A32D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3A32D7" w:rsidRDefault="003A32D7" w:rsidP="003A32D7">
      <w:pPr>
        <w:pBdr>
          <w:bottom w:val="single" w:sz="4" w:space="1" w:color="auto"/>
        </w:pBdr>
        <w:rPr>
          <w:sz w:val="22"/>
        </w:rPr>
      </w:pPr>
    </w:p>
    <w:p w:rsidR="003A32D7" w:rsidRDefault="003A32D7" w:rsidP="003A32D7">
      <w:pPr>
        <w:rPr>
          <w:sz w:val="22"/>
        </w:rPr>
      </w:pPr>
    </w:p>
    <w:p w:rsidR="003A32D7" w:rsidRPr="00EB78CA" w:rsidRDefault="003A32D7" w:rsidP="003A32D7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3A32D7" w:rsidRPr="00EB78CA" w:rsidRDefault="003A32D7" w:rsidP="003A32D7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  <w:szCs w:val="22"/>
        </w:rPr>
        <w:t>414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13 juni 2012</w:t>
      </w:r>
    </w:p>
    <w:p w:rsidR="003A32D7" w:rsidRDefault="003A32D7" w:rsidP="003A32D7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filip watteeuw</w:t>
      </w:r>
    </w:p>
    <w:p w:rsidR="003A32D7" w:rsidRDefault="003A32D7" w:rsidP="003A32D7">
      <w:pPr>
        <w:pBdr>
          <w:bottom w:val="single" w:sz="4" w:space="1" w:color="auto"/>
        </w:pBdr>
        <w:jc w:val="both"/>
        <w:rPr>
          <w:sz w:val="22"/>
        </w:rPr>
      </w:pPr>
    </w:p>
    <w:p w:rsidR="003A32D7" w:rsidRDefault="003A32D7" w:rsidP="009F5B1B">
      <w:pPr>
        <w:pStyle w:val="SVVlaamsParlement"/>
      </w:pPr>
    </w:p>
    <w:p w:rsidR="00217148" w:rsidRDefault="00217148" w:rsidP="00217148">
      <w:pPr>
        <w:pStyle w:val="StandaardSV"/>
      </w:pPr>
    </w:p>
    <w:p w:rsidR="009A7A9C" w:rsidRDefault="009A7A9C" w:rsidP="003A32D7">
      <w:pPr>
        <w:pStyle w:val="StandaardSV"/>
        <w:numPr>
          <w:ilvl w:val="0"/>
          <w:numId w:val="3"/>
        </w:numPr>
      </w:pPr>
      <w:r>
        <w:t xml:space="preserve">Aangezien het Europees Sociaal Fonds (ESF) </w:t>
      </w:r>
      <w:r w:rsidR="003A32D7">
        <w:t>niet tot mijn b</w:t>
      </w:r>
      <w:r>
        <w:t>evoegdhe</w:t>
      </w:r>
      <w:r w:rsidR="003A32D7">
        <w:t>den</w:t>
      </w:r>
      <w:r>
        <w:t xml:space="preserve"> </w:t>
      </w:r>
      <w:r w:rsidR="003A32D7">
        <w:t>behoort en het</w:t>
      </w:r>
      <w:r>
        <w:t xml:space="preserve"> beheer ervan </w:t>
      </w:r>
      <w:r w:rsidR="003A32D7">
        <w:t>ook niet</w:t>
      </w:r>
      <w:r>
        <w:t xml:space="preserve"> </w:t>
      </w:r>
      <w:r w:rsidR="003A32D7">
        <w:t xml:space="preserve">werd </w:t>
      </w:r>
      <w:r>
        <w:t xml:space="preserve">toevertrouwd aan het Agentschap Ondernemen, worden </w:t>
      </w:r>
      <w:r w:rsidR="003A32D7">
        <w:t xml:space="preserve">hierna </w:t>
      </w:r>
      <w:r>
        <w:t>enkel de geg</w:t>
      </w:r>
      <w:r>
        <w:t>e</w:t>
      </w:r>
      <w:r>
        <w:t>vens met betrekking tot het Europees Fonds voor Regionale Ontwikkeling (EFRO) in het an</w:t>
      </w:r>
      <w:r>
        <w:t>t</w:t>
      </w:r>
      <w:r>
        <w:t>woord opgenomen.</w:t>
      </w:r>
      <w:r w:rsidR="003A32D7">
        <w:t xml:space="preserve"> Voor het ESF verwijs ik naar mijn bevoegde collegaministers Muyters en Van den Bossche.</w:t>
      </w:r>
    </w:p>
    <w:p w:rsidR="003A32D7" w:rsidRDefault="003A32D7" w:rsidP="00217148">
      <w:pPr>
        <w:pStyle w:val="StandaardSV"/>
        <w:ind w:left="360"/>
      </w:pPr>
    </w:p>
    <w:p w:rsidR="00217148" w:rsidRDefault="00217148" w:rsidP="00217148">
      <w:pPr>
        <w:pStyle w:val="StandaardSV"/>
        <w:ind w:left="360"/>
      </w:pPr>
      <w:r>
        <w:t xml:space="preserve">In </w:t>
      </w:r>
      <w:r w:rsidR="003A32D7">
        <w:t xml:space="preserve">de tabel in </w:t>
      </w:r>
      <w:r w:rsidR="003A32D7" w:rsidRPr="003A32D7">
        <w:rPr>
          <w:u w:val="single"/>
        </w:rPr>
        <w:t>bijlage</w:t>
      </w:r>
      <w:r>
        <w:t xml:space="preserve"> worden de EFRO-projecten opgelijst waarvan </w:t>
      </w:r>
      <w:r w:rsidR="003A32D7">
        <w:t>UNIZO</w:t>
      </w:r>
      <w:r>
        <w:t>, Voka of één van hun gerelateerde organisaties de projectleiding in handen hebben. Dit zowel voor het Doelstelling 2-programma (binnen Vlaanderen</w:t>
      </w:r>
      <w:r w:rsidR="006714F5">
        <w:t xml:space="preserve"> beheer</w:t>
      </w:r>
      <w:r w:rsidR="007020E0">
        <w:t>d</w:t>
      </w:r>
      <w:r w:rsidR="006714F5">
        <w:t xml:space="preserve"> door het Agentschap Ondernemen</w:t>
      </w:r>
      <w:r>
        <w:t>) als voor de verschi</w:t>
      </w:r>
      <w:r>
        <w:t>l</w:t>
      </w:r>
      <w:r>
        <w:t>lende Doelstelling 3-programma</w:t>
      </w:r>
      <w:r w:rsidR="003A32D7">
        <w:t>’</w:t>
      </w:r>
      <w:r>
        <w:t>s waar</w:t>
      </w:r>
      <w:r w:rsidR="003A32D7">
        <w:t>in</w:t>
      </w:r>
      <w:r>
        <w:t xml:space="preserve"> Vlaanderen participeert (grensoverschrijdende, transn</w:t>
      </w:r>
      <w:r>
        <w:t>a</w:t>
      </w:r>
      <w:r>
        <w:t>tionale en interregionale EFRO-programma’s</w:t>
      </w:r>
      <w:r w:rsidR="006714F5">
        <w:t>). Voor elk van de</w:t>
      </w:r>
      <w:r>
        <w:t xml:space="preserve"> projecten wordt het programma, de projectnaam, </w:t>
      </w:r>
      <w:r w:rsidR="003A32D7">
        <w:t xml:space="preserve">de </w:t>
      </w:r>
      <w:r>
        <w:t>projectpromotor, eventuele copromotoren (organisaties die mee in de projec</w:t>
      </w:r>
      <w:r>
        <w:t>t</w:t>
      </w:r>
      <w:r>
        <w:t>organisatie zitten), het goedgekeurde maximale EFRO-bedrag, het goedgekeurde maximale bedrag aan Vlaamse cofinanciering vanuit het Fonds voor Flankerend Economisch Beleid (Hermes-fonds), de totale projectkost en de projectperiode</w:t>
      </w:r>
      <w:r w:rsidR="003A32D7">
        <w:t xml:space="preserve"> weergegeven</w:t>
      </w:r>
      <w:r>
        <w:t>. De toegekende bedragen hebben betrekking op het project in zijn geheel (volledig</w:t>
      </w:r>
      <w:r w:rsidR="001864C7">
        <w:t>e</w:t>
      </w:r>
      <w:r>
        <w:t xml:space="preserve"> looptijd van het project).</w:t>
      </w:r>
    </w:p>
    <w:p w:rsidR="001864C7" w:rsidRDefault="001864C7" w:rsidP="001864C7">
      <w:pPr>
        <w:pStyle w:val="StandaardSV"/>
        <w:keepNext/>
        <w:ind w:left="360"/>
      </w:pPr>
    </w:p>
    <w:p w:rsidR="0086129F" w:rsidRDefault="00AA2165" w:rsidP="00217148">
      <w:pPr>
        <w:pStyle w:val="StandaardSV"/>
        <w:ind w:left="360"/>
      </w:pPr>
      <w:r>
        <w:t xml:space="preserve">De totaalbedragen </w:t>
      </w:r>
      <w:r w:rsidR="0086129F">
        <w:t xml:space="preserve">voor deze werkgeversorganisaties </w:t>
      </w:r>
      <w:r w:rsidR="003A32D7">
        <w:t>zijn de volgende</w:t>
      </w:r>
      <w:r w:rsidR="0086129F">
        <w:t>:</w:t>
      </w:r>
    </w:p>
    <w:p w:rsidR="003A32D7" w:rsidRDefault="003A32D7" w:rsidP="00217148">
      <w:pPr>
        <w:pStyle w:val="StandaardSV"/>
        <w:ind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3942"/>
        <w:gridCol w:w="3751"/>
      </w:tblGrid>
      <w:tr w:rsidR="0086129F" w:rsidTr="003A32D7">
        <w:tc>
          <w:tcPr>
            <w:tcW w:w="1061" w:type="dxa"/>
            <w:shd w:val="clear" w:color="auto" w:fill="auto"/>
          </w:tcPr>
          <w:p w:rsidR="0086129F" w:rsidRPr="009C1612" w:rsidRDefault="0086129F" w:rsidP="00217148">
            <w:pPr>
              <w:pStyle w:val="StandaardSV"/>
              <w:rPr>
                <w:sz w:val="20"/>
              </w:rPr>
            </w:pPr>
          </w:p>
        </w:tc>
        <w:tc>
          <w:tcPr>
            <w:tcW w:w="3942" w:type="dxa"/>
            <w:shd w:val="clear" w:color="auto" w:fill="auto"/>
          </w:tcPr>
          <w:p w:rsidR="0086129F" w:rsidRPr="009C1612" w:rsidRDefault="0086129F" w:rsidP="003A32D7">
            <w:pPr>
              <w:pStyle w:val="StandaardSV"/>
              <w:rPr>
                <w:sz w:val="20"/>
              </w:rPr>
            </w:pPr>
            <w:r w:rsidRPr="009C1612">
              <w:rPr>
                <w:b/>
                <w:sz w:val="20"/>
              </w:rPr>
              <w:t>Aan U</w:t>
            </w:r>
            <w:r w:rsidR="003A32D7">
              <w:rPr>
                <w:b/>
                <w:sz w:val="20"/>
              </w:rPr>
              <w:t>NIZO</w:t>
            </w:r>
            <w:r w:rsidRPr="009C1612">
              <w:rPr>
                <w:b/>
                <w:sz w:val="20"/>
              </w:rPr>
              <w:t>/Voka toegekende EFRO-steun</w:t>
            </w:r>
            <w:r w:rsidRPr="009C1612">
              <w:rPr>
                <w:b/>
                <w:sz w:val="20"/>
              </w:rPr>
              <w:br/>
            </w:r>
            <w:r w:rsidRPr="009C1612">
              <w:rPr>
                <w:b/>
                <w:sz w:val="16"/>
                <w:szCs w:val="16"/>
              </w:rPr>
              <w:t>(volgens jaar van toezegging)</w:t>
            </w:r>
          </w:p>
        </w:tc>
        <w:tc>
          <w:tcPr>
            <w:tcW w:w="3751" w:type="dxa"/>
            <w:shd w:val="clear" w:color="auto" w:fill="auto"/>
          </w:tcPr>
          <w:p w:rsidR="0086129F" w:rsidRPr="009C1612" w:rsidRDefault="0086129F" w:rsidP="0086129F">
            <w:pPr>
              <w:pStyle w:val="StandaardSV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 xml:space="preserve">Aan </w:t>
            </w:r>
            <w:r w:rsidR="003A32D7">
              <w:rPr>
                <w:b/>
                <w:sz w:val="20"/>
              </w:rPr>
              <w:t>UNIZO</w:t>
            </w:r>
            <w:r w:rsidRPr="009C1612">
              <w:rPr>
                <w:b/>
                <w:sz w:val="20"/>
              </w:rPr>
              <w:t xml:space="preserve">/Voka toegekende Hermes-steun voor </w:t>
            </w:r>
            <w:r w:rsidR="00B87EDC">
              <w:rPr>
                <w:b/>
                <w:sz w:val="20"/>
              </w:rPr>
              <w:t xml:space="preserve">deze </w:t>
            </w:r>
            <w:r w:rsidRPr="009C1612">
              <w:rPr>
                <w:b/>
                <w:sz w:val="20"/>
              </w:rPr>
              <w:t>EFRO-projecten</w:t>
            </w:r>
            <w:r w:rsidR="00F27C9E" w:rsidRPr="009C1612">
              <w:rPr>
                <w:b/>
                <w:sz w:val="20"/>
              </w:rPr>
              <w:t xml:space="preserve"> </w:t>
            </w:r>
          </w:p>
          <w:p w:rsidR="0086129F" w:rsidRPr="009C1612" w:rsidRDefault="0086129F" w:rsidP="0086129F">
            <w:pPr>
              <w:pStyle w:val="StandaardSV"/>
              <w:rPr>
                <w:sz w:val="20"/>
              </w:rPr>
            </w:pPr>
            <w:r w:rsidRPr="009C1612">
              <w:rPr>
                <w:b/>
                <w:sz w:val="16"/>
                <w:szCs w:val="16"/>
              </w:rPr>
              <w:t>(volgens jaar van toezegging)</w:t>
            </w:r>
          </w:p>
        </w:tc>
      </w:tr>
      <w:tr w:rsidR="0086129F" w:rsidTr="003A32D7">
        <w:tc>
          <w:tcPr>
            <w:tcW w:w="106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2008</w:t>
            </w:r>
          </w:p>
        </w:tc>
        <w:tc>
          <w:tcPr>
            <w:tcW w:w="3942" w:type="dxa"/>
            <w:shd w:val="clear" w:color="auto" w:fill="auto"/>
          </w:tcPr>
          <w:p w:rsidR="0086129F" w:rsidRPr="009C1612" w:rsidRDefault="0086129F" w:rsidP="00217148">
            <w:pPr>
              <w:pStyle w:val="StandaardSV"/>
              <w:rPr>
                <w:sz w:val="20"/>
              </w:rPr>
            </w:pPr>
            <w:r w:rsidRPr="009C1612">
              <w:rPr>
                <w:sz w:val="20"/>
              </w:rPr>
              <w:t>4.499.151,23 EUR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sz w:val="20"/>
              </w:rPr>
            </w:pPr>
            <w:r w:rsidRPr="009C1612">
              <w:rPr>
                <w:sz w:val="20"/>
              </w:rPr>
              <w:t>3.976.216,89 EUR</w:t>
            </w:r>
          </w:p>
        </w:tc>
      </w:tr>
      <w:tr w:rsidR="0086129F" w:rsidTr="003A32D7">
        <w:tc>
          <w:tcPr>
            <w:tcW w:w="106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2009</w:t>
            </w:r>
          </w:p>
        </w:tc>
        <w:tc>
          <w:tcPr>
            <w:tcW w:w="3942" w:type="dxa"/>
            <w:shd w:val="clear" w:color="auto" w:fill="auto"/>
          </w:tcPr>
          <w:p w:rsidR="0086129F" w:rsidRPr="009C1612" w:rsidRDefault="0086129F" w:rsidP="00217148">
            <w:pPr>
              <w:pStyle w:val="StandaardSV"/>
              <w:rPr>
                <w:sz w:val="20"/>
              </w:rPr>
            </w:pPr>
            <w:r w:rsidRPr="009C1612">
              <w:rPr>
                <w:sz w:val="20"/>
              </w:rPr>
              <w:t>1.722.920,56 EUR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sz w:val="20"/>
              </w:rPr>
            </w:pPr>
            <w:r w:rsidRPr="009C1612">
              <w:rPr>
                <w:sz w:val="20"/>
              </w:rPr>
              <w:t>1.441.897,67 EUR</w:t>
            </w:r>
          </w:p>
        </w:tc>
      </w:tr>
      <w:tr w:rsidR="0086129F" w:rsidTr="003A32D7">
        <w:tc>
          <w:tcPr>
            <w:tcW w:w="106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2010</w:t>
            </w:r>
          </w:p>
        </w:tc>
        <w:tc>
          <w:tcPr>
            <w:tcW w:w="3942" w:type="dxa"/>
            <w:shd w:val="clear" w:color="auto" w:fill="auto"/>
          </w:tcPr>
          <w:p w:rsidR="0086129F" w:rsidRPr="009C1612" w:rsidRDefault="0086129F" w:rsidP="00217148">
            <w:pPr>
              <w:pStyle w:val="StandaardSV"/>
              <w:rPr>
                <w:sz w:val="20"/>
              </w:rPr>
            </w:pPr>
            <w:r w:rsidRPr="009C1612">
              <w:rPr>
                <w:sz w:val="20"/>
              </w:rPr>
              <w:t>4.761.067,28 EUR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sz w:val="20"/>
              </w:rPr>
            </w:pPr>
            <w:r w:rsidRPr="009C1612">
              <w:rPr>
                <w:sz w:val="20"/>
              </w:rPr>
              <w:t>4.364.839,08 EUR</w:t>
            </w:r>
          </w:p>
        </w:tc>
      </w:tr>
      <w:tr w:rsidR="0086129F" w:rsidTr="003A32D7">
        <w:tc>
          <w:tcPr>
            <w:tcW w:w="106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2011</w:t>
            </w:r>
          </w:p>
        </w:tc>
        <w:tc>
          <w:tcPr>
            <w:tcW w:w="3942" w:type="dxa"/>
            <w:shd w:val="clear" w:color="auto" w:fill="auto"/>
          </w:tcPr>
          <w:p w:rsidR="0086129F" w:rsidRPr="009C1612" w:rsidRDefault="0086129F" w:rsidP="00217148">
            <w:pPr>
              <w:pStyle w:val="StandaardSV"/>
              <w:rPr>
                <w:sz w:val="20"/>
              </w:rPr>
            </w:pPr>
            <w:r w:rsidRPr="009C1612">
              <w:rPr>
                <w:sz w:val="20"/>
              </w:rPr>
              <w:t>1.848.984,40 EUR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sz w:val="20"/>
              </w:rPr>
            </w:pPr>
            <w:r w:rsidRPr="009C1612">
              <w:rPr>
                <w:sz w:val="20"/>
              </w:rPr>
              <w:t>1.685.316,28 EUR</w:t>
            </w:r>
          </w:p>
        </w:tc>
      </w:tr>
      <w:tr w:rsidR="0086129F" w:rsidRPr="009C1612" w:rsidTr="003A32D7">
        <w:tc>
          <w:tcPr>
            <w:tcW w:w="106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TOTAAL</w:t>
            </w:r>
          </w:p>
        </w:tc>
        <w:tc>
          <w:tcPr>
            <w:tcW w:w="3942" w:type="dxa"/>
            <w:shd w:val="clear" w:color="auto" w:fill="auto"/>
          </w:tcPr>
          <w:p w:rsidR="0086129F" w:rsidRPr="009C1612" w:rsidRDefault="0086129F" w:rsidP="00217148">
            <w:pPr>
              <w:pStyle w:val="StandaardSV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12.832.123,47 EUR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6129F" w:rsidRPr="009C1612" w:rsidRDefault="0086129F" w:rsidP="009C1612">
            <w:pPr>
              <w:pStyle w:val="StandaardSV"/>
              <w:jc w:val="left"/>
              <w:rPr>
                <w:b/>
                <w:sz w:val="20"/>
              </w:rPr>
            </w:pPr>
            <w:r w:rsidRPr="009C1612">
              <w:rPr>
                <w:b/>
                <w:sz w:val="20"/>
              </w:rPr>
              <w:t>11.468.269,92 EUR</w:t>
            </w:r>
          </w:p>
        </w:tc>
      </w:tr>
    </w:tbl>
    <w:p w:rsidR="003A32D7" w:rsidRDefault="003A32D7" w:rsidP="003A32D7">
      <w:pPr>
        <w:pStyle w:val="StandaardSV"/>
        <w:ind w:left="360"/>
        <w:rPr>
          <w:b/>
        </w:rPr>
      </w:pPr>
    </w:p>
    <w:p w:rsidR="00AA2165" w:rsidRDefault="006C3892" w:rsidP="003A32D7">
      <w:pPr>
        <w:pStyle w:val="StandaardSV"/>
        <w:numPr>
          <w:ilvl w:val="0"/>
          <w:numId w:val="3"/>
        </w:numPr>
      </w:pPr>
      <w:r>
        <w:t xml:space="preserve">Deze bedragen zijn enkel </w:t>
      </w:r>
      <w:r w:rsidR="003A32D7">
        <w:t xml:space="preserve">beschikbaar </w:t>
      </w:r>
      <w:r>
        <w:t>voor het EFRO</w:t>
      </w:r>
      <w:r w:rsidR="003A32D7">
        <w:t>-</w:t>
      </w:r>
      <w:r>
        <w:t>Doels</w:t>
      </w:r>
      <w:r w:rsidR="006714F5">
        <w:t>telling 2-programma, het enige pr</w:t>
      </w:r>
      <w:r w:rsidR="006714F5">
        <w:t>o</w:t>
      </w:r>
      <w:r w:rsidR="006714F5">
        <w:t>gramma</w:t>
      </w:r>
      <w:r w:rsidR="005F2195">
        <w:t xml:space="preserve"> uit de Europese structuurfondsen</w:t>
      </w:r>
      <w:r w:rsidR="006714F5">
        <w:t xml:space="preserve"> dat door het Agentschap Ondernemen wordt beheerd.</w:t>
      </w:r>
    </w:p>
    <w:p w:rsidR="00D518C0" w:rsidRDefault="00D518C0" w:rsidP="00217148">
      <w:pPr>
        <w:pStyle w:val="StandaardSV"/>
        <w:ind w:left="360"/>
      </w:pPr>
    </w:p>
    <w:p w:rsidR="00D518C0" w:rsidRDefault="00D518C0" w:rsidP="00D518C0">
      <w:pPr>
        <w:pStyle w:val="StandaardSV"/>
        <w:ind w:left="360"/>
      </w:pPr>
      <w:r>
        <w:t>De vermelde werkgeversorganisaties hebben enkel projecten lopen of lopend gehad binnen de pr</w:t>
      </w:r>
      <w:r>
        <w:t>i</w:t>
      </w:r>
      <w:r>
        <w:t xml:space="preserve">oriteiten </w:t>
      </w:r>
      <w:r w:rsidR="003A32D7">
        <w:t>“</w:t>
      </w:r>
      <w:r>
        <w:t>Kenniseconomie en Innovatie</w:t>
      </w:r>
      <w:r w:rsidR="003A32D7">
        <w:t>”</w:t>
      </w:r>
      <w:r>
        <w:t xml:space="preserve"> en </w:t>
      </w:r>
      <w:r w:rsidR="003A32D7">
        <w:t>“</w:t>
      </w:r>
      <w:r>
        <w:t>Ondernemerschap</w:t>
      </w:r>
      <w:r w:rsidR="003A32D7">
        <w:t>”</w:t>
      </w:r>
      <w:r>
        <w:t>.</w:t>
      </w:r>
    </w:p>
    <w:p w:rsidR="00AA2165" w:rsidRDefault="00AA2165" w:rsidP="00217148">
      <w:pPr>
        <w:pStyle w:val="StandaardSV"/>
        <w:ind w:left="360"/>
      </w:pPr>
    </w:p>
    <w:p w:rsidR="003A32D7" w:rsidRDefault="00AA2165" w:rsidP="00217148">
      <w:pPr>
        <w:pStyle w:val="StandaardSV"/>
        <w:ind w:left="360"/>
      </w:pPr>
      <w:r>
        <w:t xml:space="preserve">De hieronder vermelde </w:t>
      </w:r>
      <w:r w:rsidR="005F2195">
        <w:t>totaal</w:t>
      </w:r>
      <w:r>
        <w:t>bedragen</w:t>
      </w:r>
      <w:r w:rsidR="005F2195">
        <w:t xml:space="preserve"> (</w:t>
      </w:r>
      <w:r w:rsidR="003A32D7">
        <w:t xml:space="preserve">de middelste </w:t>
      </w:r>
      <w:r w:rsidR="005F2195">
        <w:t>kolom</w:t>
      </w:r>
      <w:r w:rsidR="003A32D7">
        <w:t xml:space="preserve"> in de tabel</w:t>
      </w:r>
      <w:r w:rsidR="005F2195">
        <w:t>)</w:t>
      </w:r>
      <w:r>
        <w:t xml:space="preserve"> hebben betrekking op de prioriteiten 1 tot en met 4 zoals gedefinieerd in het Operationeel Programma 2007-2013. Deze pr</w:t>
      </w:r>
      <w:r>
        <w:t>i</w:t>
      </w:r>
      <w:r>
        <w:t xml:space="preserve">oriteiten zijn achtereenvolgens </w:t>
      </w:r>
      <w:r w:rsidR="003A32D7">
        <w:t>“</w:t>
      </w:r>
      <w:r>
        <w:t>Kenniseconomie en Innovatie</w:t>
      </w:r>
      <w:r w:rsidR="003A32D7">
        <w:t>”</w:t>
      </w:r>
      <w:r>
        <w:t xml:space="preserve">, </w:t>
      </w:r>
      <w:r w:rsidR="003A32D7">
        <w:t>“</w:t>
      </w:r>
      <w:r>
        <w:t>Ondernemerschap</w:t>
      </w:r>
      <w:r w:rsidR="003A32D7">
        <w:t>”</w:t>
      </w:r>
      <w:r>
        <w:t xml:space="preserve">, </w:t>
      </w:r>
      <w:r w:rsidR="003A32D7">
        <w:t>“</w:t>
      </w:r>
      <w:r>
        <w:t>Ruimtelijk-Economische Omgevings</w:t>
      </w:r>
      <w:r>
        <w:softHyphen/>
        <w:t>factoren</w:t>
      </w:r>
      <w:r w:rsidR="003A32D7">
        <w:t>”</w:t>
      </w:r>
      <w:r>
        <w:t xml:space="preserve"> en </w:t>
      </w:r>
      <w:r w:rsidR="003A32D7">
        <w:t>“</w:t>
      </w:r>
      <w:r>
        <w:t>Stedelijke Ontwikkeling</w:t>
      </w:r>
      <w:r w:rsidR="003A32D7">
        <w:t>”</w:t>
      </w:r>
      <w:r>
        <w:t>.</w:t>
      </w:r>
    </w:p>
    <w:p w:rsidR="003A32D7" w:rsidRDefault="003A32D7">
      <w:pPr>
        <w:rPr>
          <w:sz w:val="22"/>
        </w:rPr>
      </w:pPr>
      <w:r>
        <w:br w:type="page"/>
      </w:r>
    </w:p>
    <w:tbl>
      <w:tblPr>
        <w:tblW w:w="8679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009"/>
        <w:gridCol w:w="3094"/>
      </w:tblGrid>
      <w:tr w:rsidR="00825FDB" w:rsidRPr="00D21767" w:rsidTr="00E317AA">
        <w:trPr>
          <w:trHeight w:val="729"/>
        </w:trPr>
        <w:tc>
          <w:tcPr>
            <w:tcW w:w="2576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lastRenderedPageBreak/>
              <w:t>EFRO DOELSTELLING 2 VLAANDEREN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25FDB" w:rsidRPr="00D21767" w:rsidRDefault="00825FDB" w:rsidP="005F2195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t xml:space="preserve">Bedrag totaal toegekende </w:t>
            </w:r>
            <w:r w:rsidR="00E317AA">
              <w:rPr>
                <w:b/>
                <w:sz w:val="20"/>
              </w:rPr>
              <w:t>EFRO-</w:t>
            </w:r>
            <w:r w:rsidRPr="00D21767">
              <w:rPr>
                <w:b/>
                <w:sz w:val="20"/>
              </w:rPr>
              <w:t>steun</w:t>
            </w:r>
          </w:p>
        </w:tc>
        <w:tc>
          <w:tcPr>
            <w:tcW w:w="3094" w:type="dxa"/>
            <w:vAlign w:val="center"/>
          </w:tcPr>
          <w:p w:rsidR="00825FDB" w:rsidRPr="00D21767" w:rsidRDefault="00825FDB" w:rsidP="003A32D7">
            <w:pPr>
              <w:pStyle w:val="StandaardS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Aan </w:t>
            </w:r>
            <w:r w:rsidR="003A32D7">
              <w:rPr>
                <w:b/>
                <w:sz w:val="20"/>
              </w:rPr>
              <w:t>UNIZO</w:t>
            </w:r>
            <w:r>
              <w:rPr>
                <w:b/>
                <w:sz w:val="20"/>
              </w:rPr>
              <w:t>/Voka toegekende EFRO-steun</w:t>
            </w:r>
            <w:r w:rsidR="00E317AA">
              <w:rPr>
                <w:b/>
                <w:sz w:val="20"/>
              </w:rPr>
              <w:br/>
            </w:r>
            <w:r w:rsidRPr="00825FDB">
              <w:rPr>
                <w:b/>
                <w:sz w:val="16"/>
                <w:szCs w:val="16"/>
              </w:rPr>
              <w:t xml:space="preserve">(volgens jaar van </w:t>
            </w:r>
            <w:r w:rsidR="00E317AA">
              <w:rPr>
                <w:b/>
                <w:sz w:val="16"/>
                <w:szCs w:val="16"/>
              </w:rPr>
              <w:t>toezegging</w:t>
            </w:r>
            <w:r w:rsidRPr="00825FDB">
              <w:rPr>
                <w:b/>
                <w:sz w:val="16"/>
                <w:szCs w:val="16"/>
              </w:rPr>
              <w:t>)</w:t>
            </w:r>
          </w:p>
        </w:tc>
      </w:tr>
      <w:tr w:rsidR="00825FDB" w:rsidRPr="00D21767" w:rsidTr="00E317AA">
        <w:tc>
          <w:tcPr>
            <w:tcW w:w="2576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t>2008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25FDB" w:rsidRPr="00D21767" w:rsidRDefault="00825FDB" w:rsidP="00565774">
            <w:pPr>
              <w:pStyle w:val="StandaardSV"/>
              <w:jc w:val="left"/>
              <w:rPr>
                <w:sz w:val="20"/>
              </w:rPr>
            </w:pPr>
            <w:r>
              <w:rPr>
                <w:sz w:val="20"/>
              </w:rPr>
              <w:t>78.113.131,54</w:t>
            </w:r>
            <w:r w:rsidRPr="00D21767">
              <w:rPr>
                <w:sz w:val="20"/>
              </w:rPr>
              <w:t xml:space="preserve"> EUR</w:t>
            </w:r>
          </w:p>
        </w:tc>
        <w:tc>
          <w:tcPr>
            <w:tcW w:w="3094" w:type="dxa"/>
            <w:vAlign w:val="center"/>
          </w:tcPr>
          <w:p w:rsidR="00825FDB" w:rsidRDefault="00E317AA" w:rsidP="00E317AA">
            <w:pPr>
              <w:pStyle w:val="StandaardSV"/>
              <w:jc w:val="left"/>
              <w:rPr>
                <w:sz w:val="20"/>
              </w:rPr>
            </w:pPr>
            <w:r w:rsidRPr="00E317AA">
              <w:rPr>
                <w:sz w:val="20"/>
              </w:rPr>
              <w:t>3.080.387,52</w:t>
            </w:r>
            <w:r>
              <w:rPr>
                <w:sz w:val="20"/>
              </w:rPr>
              <w:t xml:space="preserve"> EUR</w:t>
            </w:r>
          </w:p>
        </w:tc>
      </w:tr>
      <w:tr w:rsidR="00825FDB" w:rsidRPr="00D21767" w:rsidTr="00E317AA">
        <w:tc>
          <w:tcPr>
            <w:tcW w:w="2576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t>2009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sz w:val="20"/>
              </w:rPr>
            </w:pPr>
            <w:r w:rsidRPr="00D21767">
              <w:rPr>
                <w:sz w:val="20"/>
              </w:rPr>
              <w:t>31.156.215,99 EUR</w:t>
            </w:r>
          </w:p>
        </w:tc>
        <w:tc>
          <w:tcPr>
            <w:tcW w:w="3094" w:type="dxa"/>
            <w:vAlign w:val="center"/>
          </w:tcPr>
          <w:p w:rsidR="00825FDB" w:rsidRPr="00D21767" w:rsidRDefault="00E317AA" w:rsidP="00E317AA">
            <w:pPr>
              <w:pStyle w:val="StandaardSV"/>
              <w:jc w:val="left"/>
              <w:rPr>
                <w:sz w:val="20"/>
              </w:rPr>
            </w:pPr>
            <w:r w:rsidRPr="00E317AA">
              <w:rPr>
                <w:sz w:val="20"/>
              </w:rPr>
              <w:t>1.256.251,81</w:t>
            </w:r>
            <w:r>
              <w:rPr>
                <w:sz w:val="20"/>
              </w:rPr>
              <w:t xml:space="preserve"> EUR</w:t>
            </w:r>
          </w:p>
        </w:tc>
      </w:tr>
      <w:tr w:rsidR="00825FDB" w:rsidRPr="00D21767" w:rsidTr="00E317AA">
        <w:tc>
          <w:tcPr>
            <w:tcW w:w="2576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t>2010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sz w:val="20"/>
              </w:rPr>
            </w:pPr>
            <w:r w:rsidRPr="00D21767">
              <w:rPr>
                <w:sz w:val="20"/>
              </w:rPr>
              <w:t>53.590.599,50 EUR</w:t>
            </w:r>
          </w:p>
        </w:tc>
        <w:tc>
          <w:tcPr>
            <w:tcW w:w="3094" w:type="dxa"/>
            <w:vAlign w:val="center"/>
          </w:tcPr>
          <w:p w:rsidR="00825FDB" w:rsidRPr="00D21767" w:rsidRDefault="00E317AA" w:rsidP="00E317AA">
            <w:pPr>
              <w:pStyle w:val="StandaardSV"/>
              <w:jc w:val="left"/>
              <w:rPr>
                <w:sz w:val="20"/>
              </w:rPr>
            </w:pPr>
            <w:r w:rsidRPr="00E317AA">
              <w:rPr>
                <w:sz w:val="20"/>
              </w:rPr>
              <w:t>3.887.358,11</w:t>
            </w:r>
            <w:r>
              <w:rPr>
                <w:sz w:val="20"/>
              </w:rPr>
              <w:t xml:space="preserve"> EUR</w:t>
            </w:r>
          </w:p>
        </w:tc>
      </w:tr>
      <w:tr w:rsidR="00825FDB" w:rsidRPr="00D21767" w:rsidTr="00E317AA">
        <w:tc>
          <w:tcPr>
            <w:tcW w:w="2576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t>2011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sz w:val="20"/>
              </w:rPr>
            </w:pPr>
            <w:r w:rsidRPr="00D21767">
              <w:rPr>
                <w:sz w:val="20"/>
              </w:rPr>
              <w:t>14.941.009,27 EUR</w:t>
            </w:r>
          </w:p>
        </w:tc>
        <w:tc>
          <w:tcPr>
            <w:tcW w:w="3094" w:type="dxa"/>
            <w:vAlign w:val="center"/>
          </w:tcPr>
          <w:p w:rsidR="00825FDB" w:rsidRPr="00D21767" w:rsidRDefault="00E317AA" w:rsidP="00E317AA">
            <w:pPr>
              <w:pStyle w:val="StandaardSV"/>
              <w:jc w:val="left"/>
              <w:rPr>
                <w:sz w:val="20"/>
              </w:rPr>
            </w:pPr>
            <w:r w:rsidRPr="00E317AA">
              <w:rPr>
                <w:sz w:val="20"/>
              </w:rPr>
              <w:t>1.543.702,14</w:t>
            </w:r>
            <w:r>
              <w:rPr>
                <w:sz w:val="20"/>
              </w:rPr>
              <w:t xml:space="preserve"> EUR</w:t>
            </w:r>
          </w:p>
        </w:tc>
      </w:tr>
      <w:tr w:rsidR="00825FDB" w:rsidRPr="00D21767" w:rsidTr="00E317AA">
        <w:trPr>
          <w:trHeight w:val="306"/>
        </w:trPr>
        <w:tc>
          <w:tcPr>
            <w:tcW w:w="2576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 w:rsidRPr="00D21767">
              <w:rPr>
                <w:b/>
                <w:sz w:val="20"/>
              </w:rPr>
              <w:t>TOTAAL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25FDB" w:rsidRPr="00D21767" w:rsidRDefault="00825FDB" w:rsidP="00D21767">
            <w:pPr>
              <w:pStyle w:val="StandaardSV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177.800.956</w:t>
            </w:r>
            <w:r w:rsidRPr="00D21767">
              <w:rPr>
                <w:b/>
                <w:sz w:val="20"/>
              </w:rPr>
              <w:t>,30 EUR</w:t>
            </w:r>
          </w:p>
        </w:tc>
        <w:tc>
          <w:tcPr>
            <w:tcW w:w="3094" w:type="dxa"/>
            <w:vAlign w:val="center"/>
          </w:tcPr>
          <w:p w:rsidR="00825FDB" w:rsidRDefault="00E317AA" w:rsidP="00E317AA">
            <w:pPr>
              <w:pStyle w:val="StandaardSV"/>
              <w:jc w:val="left"/>
              <w:rPr>
                <w:b/>
                <w:sz w:val="20"/>
              </w:rPr>
            </w:pPr>
            <w:r w:rsidRPr="00E317AA">
              <w:rPr>
                <w:b/>
                <w:sz w:val="20"/>
              </w:rPr>
              <w:t>12.832.123,47</w:t>
            </w:r>
            <w:r>
              <w:rPr>
                <w:b/>
                <w:sz w:val="20"/>
              </w:rPr>
              <w:t xml:space="preserve"> EUR</w:t>
            </w:r>
          </w:p>
        </w:tc>
      </w:tr>
    </w:tbl>
    <w:p w:rsidR="006714F5" w:rsidRDefault="006714F5" w:rsidP="00217148">
      <w:pPr>
        <w:pStyle w:val="StandaardSV"/>
        <w:ind w:left="360"/>
      </w:pPr>
    </w:p>
    <w:p w:rsidR="00217148" w:rsidRDefault="00321249" w:rsidP="003A32D7">
      <w:pPr>
        <w:pStyle w:val="StandaardSV"/>
        <w:numPr>
          <w:ilvl w:val="0"/>
          <w:numId w:val="3"/>
        </w:numPr>
      </w:pPr>
      <w:r>
        <w:t xml:space="preserve">De projectresultaten van de </w:t>
      </w:r>
      <w:r w:rsidR="003A32D7">
        <w:t>al</w:t>
      </w:r>
      <w:r>
        <w:t xml:space="preserve"> afgelopen projecten voldeden aan de verwachtingen en aan de init</w:t>
      </w:r>
      <w:r>
        <w:t>i</w:t>
      </w:r>
      <w:r>
        <w:t>eel geformuleerde streefwaarden.</w:t>
      </w:r>
    </w:p>
    <w:p w:rsidR="003A32D7" w:rsidRDefault="003A32D7" w:rsidP="00217148">
      <w:pPr>
        <w:pStyle w:val="StandaardSV"/>
        <w:ind w:left="360"/>
      </w:pPr>
    </w:p>
    <w:p w:rsidR="00321249" w:rsidRDefault="005F2195" w:rsidP="00217148">
      <w:pPr>
        <w:pStyle w:val="StandaardSV"/>
        <w:ind w:left="360"/>
      </w:pPr>
      <w:r>
        <w:t>D</w:t>
      </w:r>
      <w:r w:rsidR="00321249">
        <w:t>e eindevaluatie van het EFRO</w:t>
      </w:r>
      <w:r w:rsidR="003A32D7">
        <w:t>-</w:t>
      </w:r>
      <w:r w:rsidR="00321249">
        <w:t xml:space="preserve">Doelstelling 2-programma Vlaanderen 2007-2013 </w:t>
      </w:r>
      <w:r>
        <w:t xml:space="preserve">kan eveneens </w:t>
      </w:r>
      <w:r w:rsidR="00321249">
        <w:t>ruimte bieden voor een verdere evaluatie van deze projecten in hun totaliteit en de toegekende steun aan deze werkgeversorganisaties.</w:t>
      </w:r>
    </w:p>
    <w:p w:rsidR="00AD34E2" w:rsidRDefault="00AD34E2" w:rsidP="00AD34E2">
      <w:pPr>
        <w:pStyle w:val="StandaardSV"/>
      </w:pPr>
    </w:p>
    <w:p w:rsidR="00F03995" w:rsidRDefault="00F03995" w:rsidP="00AD34E2">
      <w:pPr>
        <w:pStyle w:val="StandaardSV"/>
      </w:pPr>
      <w:bookmarkStart w:id="0" w:name="_GoBack"/>
      <w:bookmarkEnd w:id="0"/>
    </w:p>
    <w:p w:rsidR="00AD34E2" w:rsidRPr="00F03995" w:rsidRDefault="00AD34E2" w:rsidP="00AD34E2">
      <w:pPr>
        <w:pStyle w:val="StandaardSV"/>
      </w:pPr>
      <w:r w:rsidRPr="00F03995">
        <w:rPr>
          <w:b/>
          <w:bCs/>
          <w:smallCaps/>
          <w:color w:val="FF0000"/>
          <w:szCs w:val="22"/>
        </w:rPr>
        <w:t>bijlage</w:t>
      </w:r>
    </w:p>
    <w:p w:rsidR="00AD34E2" w:rsidRDefault="00AD34E2" w:rsidP="00AD34E2">
      <w:pPr>
        <w:pStyle w:val="StandaardSV"/>
      </w:pPr>
    </w:p>
    <w:p w:rsidR="00AD34E2" w:rsidRDefault="007020E0" w:rsidP="00AD34E2">
      <w:pPr>
        <w:pStyle w:val="StandaardSV"/>
      </w:pPr>
      <w:r>
        <w:t xml:space="preserve">Oplijsting van </w:t>
      </w:r>
      <w:r w:rsidRPr="007020E0">
        <w:t xml:space="preserve">EFRO-projecten </w:t>
      </w:r>
      <w:r>
        <w:t>met</w:t>
      </w:r>
      <w:r w:rsidRPr="007020E0">
        <w:t xml:space="preserve"> </w:t>
      </w:r>
      <w:r>
        <w:t>UNIZO</w:t>
      </w:r>
      <w:r w:rsidRPr="007020E0">
        <w:t xml:space="preserve">, Voka of één van hun gerelateerde organisaties </w:t>
      </w:r>
      <w:r>
        <w:t>als</w:t>
      </w:r>
      <w:r w:rsidRPr="007020E0">
        <w:t xml:space="preserve"> pr</w:t>
      </w:r>
      <w:r w:rsidRPr="007020E0">
        <w:t>o</w:t>
      </w:r>
      <w:r w:rsidRPr="007020E0">
        <w:t>jectleid</w:t>
      </w:r>
      <w:r>
        <w:t>er.</w:t>
      </w:r>
    </w:p>
    <w:sectPr w:rsidR="00AD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76" w:rsidRDefault="00200E76" w:rsidP="00565774">
      <w:r>
        <w:separator/>
      </w:r>
    </w:p>
  </w:endnote>
  <w:endnote w:type="continuationSeparator" w:id="0">
    <w:p w:rsidR="00200E76" w:rsidRDefault="00200E76" w:rsidP="005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76" w:rsidRDefault="00200E76" w:rsidP="00565774">
      <w:r>
        <w:separator/>
      </w:r>
    </w:p>
  </w:footnote>
  <w:footnote w:type="continuationSeparator" w:id="0">
    <w:p w:rsidR="00200E76" w:rsidRDefault="00200E76" w:rsidP="005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F94"/>
    <w:multiLevelType w:val="hybridMultilevel"/>
    <w:tmpl w:val="E618E8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631BD0"/>
    <w:multiLevelType w:val="hybridMultilevel"/>
    <w:tmpl w:val="C59A56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F67AF1"/>
    <w:multiLevelType w:val="hybridMultilevel"/>
    <w:tmpl w:val="17B24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1B"/>
    <w:rsid w:val="00024F53"/>
    <w:rsid w:val="001706F7"/>
    <w:rsid w:val="001864C7"/>
    <w:rsid w:val="00200E76"/>
    <w:rsid w:val="00217148"/>
    <w:rsid w:val="002F5FD6"/>
    <w:rsid w:val="00321249"/>
    <w:rsid w:val="00344ADC"/>
    <w:rsid w:val="003A32D7"/>
    <w:rsid w:val="004102D8"/>
    <w:rsid w:val="00430FDF"/>
    <w:rsid w:val="00565774"/>
    <w:rsid w:val="00587747"/>
    <w:rsid w:val="005C438D"/>
    <w:rsid w:val="005F2195"/>
    <w:rsid w:val="00601E8F"/>
    <w:rsid w:val="006219EF"/>
    <w:rsid w:val="006714F5"/>
    <w:rsid w:val="006C3892"/>
    <w:rsid w:val="007020E0"/>
    <w:rsid w:val="00802DA1"/>
    <w:rsid w:val="00825FDB"/>
    <w:rsid w:val="0086129F"/>
    <w:rsid w:val="009A7A9C"/>
    <w:rsid w:val="009C1612"/>
    <w:rsid w:val="009F5B1B"/>
    <w:rsid w:val="00A239AD"/>
    <w:rsid w:val="00AA2165"/>
    <w:rsid w:val="00AD34E2"/>
    <w:rsid w:val="00B87EDC"/>
    <w:rsid w:val="00D21767"/>
    <w:rsid w:val="00D518C0"/>
    <w:rsid w:val="00E317AA"/>
    <w:rsid w:val="00E641D1"/>
    <w:rsid w:val="00E75A47"/>
    <w:rsid w:val="00F03995"/>
    <w:rsid w:val="00F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5B1B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F5B1B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F5B1B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F5B1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17148"/>
    <w:pPr>
      <w:ind w:left="708"/>
    </w:pPr>
  </w:style>
  <w:style w:type="table" w:styleId="Tabelraster">
    <w:name w:val="Table Grid"/>
    <w:basedOn w:val="Standaardtabel"/>
    <w:rsid w:val="0067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565774"/>
    <w:rPr>
      <w:sz w:val="20"/>
    </w:rPr>
  </w:style>
  <w:style w:type="character" w:customStyle="1" w:styleId="VoetnoottekstChar">
    <w:name w:val="Voetnoottekst Char"/>
    <w:link w:val="Voetnoottekst"/>
    <w:rsid w:val="00565774"/>
    <w:rPr>
      <w:lang w:val="nl-NL" w:eastAsia="nl-NL"/>
    </w:rPr>
  </w:style>
  <w:style w:type="character" w:styleId="Voetnootmarkering">
    <w:name w:val="footnote reference"/>
    <w:rsid w:val="00565774"/>
    <w:rPr>
      <w:vertAlign w:val="superscript"/>
    </w:rPr>
  </w:style>
  <w:style w:type="paragraph" w:styleId="Koptekst">
    <w:name w:val="header"/>
    <w:basedOn w:val="Standaard"/>
    <w:link w:val="KoptekstChar"/>
    <w:rsid w:val="005657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65774"/>
    <w:rPr>
      <w:sz w:val="24"/>
      <w:lang w:val="nl-NL" w:eastAsia="nl-NL"/>
    </w:rPr>
  </w:style>
  <w:style w:type="paragraph" w:styleId="Voettekst">
    <w:name w:val="footer"/>
    <w:basedOn w:val="Standaard"/>
    <w:link w:val="VoettekstChar"/>
    <w:rsid w:val="005657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65774"/>
    <w:rPr>
      <w:sz w:val="24"/>
      <w:lang w:val="nl-NL" w:eastAsia="nl-NL"/>
    </w:rPr>
  </w:style>
  <w:style w:type="character" w:styleId="Hyperlink">
    <w:name w:val="Hyperlink"/>
    <w:rsid w:val="001864C7"/>
    <w:rPr>
      <w:color w:val="0000FF"/>
      <w:u w:val="single"/>
    </w:rPr>
  </w:style>
  <w:style w:type="paragraph" w:styleId="Bijschrift">
    <w:name w:val="caption"/>
    <w:basedOn w:val="Standaard"/>
    <w:next w:val="Standaard"/>
    <w:unhideWhenUsed/>
    <w:qFormat/>
    <w:rsid w:val="001864C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5B1B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F5B1B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F5B1B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F5B1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17148"/>
    <w:pPr>
      <w:ind w:left="708"/>
    </w:pPr>
  </w:style>
  <w:style w:type="table" w:styleId="Tabelraster">
    <w:name w:val="Table Grid"/>
    <w:basedOn w:val="Standaardtabel"/>
    <w:rsid w:val="0067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565774"/>
    <w:rPr>
      <w:sz w:val="20"/>
    </w:rPr>
  </w:style>
  <w:style w:type="character" w:customStyle="1" w:styleId="VoetnoottekstChar">
    <w:name w:val="Voetnoottekst Char"/>
    <w:link w:val="Voetnoottekst"/>
    <w:rsid w:val="00565774"/>
    <w:rPr>
      <w:lang w:val="nl-NL" w:eastAsia="nl-NL"/>
    </w:rPr>
  </w:style>
  <w:style w:type="character" w:styleId="Voetnootmarkering">
    <w:name w:val="footnote reference"/>
    <w:rsid w:val="00565774"/>
    <w:rPr>
      <w:vertAlign w:val="superscript"/>
    </w:rPr>
  </w:style>
  <w:style w:type="paragraph" w:styleId="Koptekst">
    <w:name w:val="header"/>
    <w:basedOn w:val="Standaard"/>
    <w:link w:val="KoptekstChar"/>
    <w:rsid w:val="005657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65774"/>
    <w:rPr>
      <w:sz w:val="24"/>
      <w:lang w:val="nl-NL" w:eastAsia="nl-NL"/>
    </w:rPr>
  </w:style>
  <w:style w:type="paragraph" w:styleId="Voettekst">
    <w:name w:val="footer"/>
    <w:basedOn w:val="Standaard"/>
    <w:link w:val="VoettekstChar"/>
    <w:rsid w:val="005657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65774"/>
    <w:rPr>
      <w:sz w:val="24"/>
      <w:lang w:val="nl-NL" w:eastAsia="nl-NL"/>
    </w:rPr>
  </w:style>
  <w:style w:type="character" w:styleId="Hyperlink">
    <w:name w:val="Hyperlink"/>
    <w:rsid w:val="001864C7"/>
    <w:rPr>
      <w:color w:val="0000FF"/>
      <w:u w:val="single"/>
    </w:rPr>
  </w:style>
  <w:style w:type="paragraph" w:styleId="Bijschrift">
    <w:name w:val="caption"/>
    <w:basedOn w:val="Standaard"/>
    <w:next w:val="Standaard"/>
    <w:unhideWhenUsed/>
    <w:qFormat/>
    <w:rsid w:val="001864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81FA-C24B-41BE-8EB9-6528C12D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antoneil</dc:creator>
  <cp:lastModifiedBy>Nathalie De Keyzer</cp:lastModifiedBy>
  <cp:revision>3</cp:revision>
  <dcterms:created xsi:type="dcterms:W3CDTF">2012-07-16T09:40:00Z</dcterms:created>
  <dcterms:modified xsi:type="dcterms:W3CDTF">2012-09-04T11:34:00Z</dcterms:modified>
</cp:coreProperties>
</file>