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E02DEB"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E02DEB"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E02DEB"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E02DEB" w:rsidRPr="00326A58">
        <w:rPr>
          <w:b w:val="0"/>
        </w:rPr>
      </w:r>
      <w:r w:rsidR="00E02DEB" w:rsidRPr="00326A58">
        <w:rPr>
          <w:b w:val="0"/>
        </w:rPr>
        <w:fldChar w:fldCharType="separate"/>
      </w:r>
      <w:r w:rsidR="00037191">
        <w:rPr>
          <w:b w:val="0"/>
        </w:rPr>
        <w:t>3</w:t>
      </w:r>
      <w:r w:rsidR="0045657C">
        <w:rPr>
          <w:b w:val="0"/>
        </w:rPr>
        <w:t>91</w:t>
      </w:r>
      <w:r w:rsidR="00E02DEB"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E02DEB">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E02DEB">
        <w:rPr>
          <w:b w:val="0"/>
        </w:rPr>
      </w:r>
      <w:r w:rsidR="00E02DEB">
        <w:rPr>
          <w:b w:val="0"/>
        </w:rPr>
        <w:fldChar w:fldCharType="separate"/>
      </w:r>
      <w:r w:rsidR="0045657C">
        <w:rPr>
          <w:b w:val="0"/>
        </w:rPr>
        <w:t>3</w:t>
      </w:r>
      <w:r w:rsidR="006509F2">
        <w:rPr>
          <w:b w:val="0"/>
        </w:rPr>
        <w:t>0</w:t>
      </w:r>
      <w:r w:rsidR="00E02DEB">
        <w:rPr>
          <w:b w:val="0"/>
        </w:rPr>
        <w:fldChar w:fldCharType="end"/>
      </w:r>
      <w:bookmarkEnd w:id="3"/>
      <w:r w:rsidRPr="00326A58">
        <w:rPr>
          <w:b w:val="0"/>
        </w:rPr>
        <w:t xml:space="preserve"> </w:t>
      </w:r>
      <w:bookmarkStart w:id="4" w:name="Dropdown2"/>
      <w:r w:rsidR="00E02DEB">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E02DEB">
        <w:rPr>
          <w:b w:val="0"/>
        </w:rPr>
      </w:r>
      <w:r w:rsidR="00E02DEB">
        <w:rPr>
          <w:b w:val="0"/>
        </w:rPr>
        <w:fldChar w:fldCharType="end"/>
      </w:r>
      <w:bookmarkEnd w:id="4"/>
      <w:r w:rsidRPr="00326A58">
        <w:rPr>
          <w:b w:val="0"/>
        </w:rPr>
        <w:t xml:space="preserve"> </w:t>
      </w:r>
      <w:bookmarkStart w:id="5" w:name="Dropdown3"/>
      <w:r w:rsidR="00E02DEB">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E02DEB">
        <w:rPr>
          <w:b w:val="0"/>
        </w:rPr>
      </w:r>
      <w:r w:rsidR="00E02DEB">
        <w:rPr>
          <w:b w:val="0"/>
        </w:rPr>
        <w:fldChar w:fldCharType="end"/>
      </w:r>
      <w:bookmarkEnd w:id="5"/>
    </w:p>
    <w:p w:rsidR="000976E9" w:rsidRDefault="000976E9" w:rsidP="000976E9">
      <w:pPr>
        <w:rPr>
          <w:szCs w:val="22"/>
        </w:rPr>
      </w:pPr>
      <w:r>
        <w:rPr>
          <w:szCs w:val="22"/>
        </w:rPr>
        <w:t xml:space="preserve">van </w:t>
      </w:r>
      <w:r w:rsidR="00E02DEB"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E02DEB" w:rsidRPr="009D7043">
        <w:rPr>
          <w:rStyle w:val="AntwoordNaamMinisterChar"/>
        </w:rPr>
      </w:r>
      <w:r w:rsidR="00E02DEB" w:rsidRPr="009D7043">
        <w:rPr>
          <w:rStyle w:val="AntwoordNaamMinisterChar"/>
        </w:rPr>
        <w:fldChar w:fldCharType="separate"/>
      </w:r>
      <w:r w:rsidR="00440E7E">
        <w:rPr>
          <w:rStyle w:val="AntwoordNaamMinisterChar"/>
        </w:rPr>
        <w:t>jo</w:t>
      </w:r>
      <w:r w:rsidR="0045657C">
        <w:rPr>
          <w:rStyle w:val="AntwoordNaamMinisterChar"/>
        </w:rPr>
        <w:t>ris van hauthem</w:t>
      </w:r>
      <w:r w:rsidR="00E02DEB"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676142" w:rsidRDefault="0045657C" w:rsidP="0045657C">
      <w:pPr>
        <w:jc w:val="both"/>
      </w:pPr>
      <w:r>
        <w:lastRenderedPageBreak/>
        <w:t xml:space="preserve">In de gedragscode die geldt voor de leden van de Europese Commissie wordt bepaald dat gewezen commissieleden gedurende 18 maanden na afloop van hun mandaat verplicht zijn de commissie te informeren </w:t>
      </w:r>
      <w:r w:rsidR="00A373D1">
        <w:t xml:space="preserve">wanneer </w:t>
      </w:r>
      <w:r>
        <w:t>ze professionele activiteiten willen uitoefenen</w:t>
      </w:r>
      <w:r w:rsidR="00F662FE">
        <w:t>.</w:t>
      </w:r>
      <w:r w:rsidR="00676142">
        <w:t xml:space="preserve"> </w:t>
      </w:r>
      <w:r w:rsidR="00F662FE">
        <w:t>A</w:t>
      </w:r>
      <w:r>
        <w:t>ls er een verband is met hun vroegere bevoegdheidsportefeuille</w:t>
      </w:r>
      <w:r w:rsidR="00A373D1">
        <w:t xml:space="preserve"> - </w:t>
      </w:r>
      <w:r w:rsidR="00FD1194">
        <w:t xml:space="preserve">en voor </w:t>
      </w:r>
      <w:r w:rsidR="00A373D1">
        <w:t xml:space="preserve">zover </w:t>
      </w:r>
      <w:r w:rsidR="00FD1194">
        <w:t xml:space="preserve">het niet gaat om een </w:t>
      </w:r>
      <w:r w:rsidR="00482EFE">
        <w:t>mandaat of activiteit in de publieke sector</w:t>
      </w:r>
      <w:r w:rsidR="00A373D1">
        <w:t xml:space="preserve"> (waarvoor de regeling niet van toepassing is) - </w:t>
      </w:r>
      <w:r>
        <w:t xml:space="preserve">onderzoekt een ad hoc commissie of de activiteit strijdig is met artikel 245 van het </w:t>
      </w:r>
      <w:r w:rsidR="00676142">
        <w:t>V</w:t>
      </w:r>
      <w:r>
        <w:t>erdrag</w:t>
      </w:r>
      <w:r w:rsidR="00453A87">
        <w:t xml:space="preserve"> betreffende de werking van de Europese Unie</w:t>
      </w:r>
      <w:r>
        <w:t>.</w:t>
      </w:r>
    </w:p>
    <w:p w:rsidR="00482EFE" w:rsidRDefault="00482EFE" w:rsidP="0045657C">
      <w:pPr>
        <w:jc w:val="both"/>
      </w:pPr>
    </w:p>
    <w:p w:rsidR="00482EFE" w:rsidRPr="00482EFE" w:rsidRDefault="00482EFE" w:rsidP="0045657C">
      <w:pPr>
        <w:jc w:val="both"/>
      </w:pPr>
      <w:r>
        <w:t xml:space="preserve">Artikel 245 </w:t>
      </w:r>
      <w:r w:rsidRPr="00482EFE">
        <w:t>bepaalt</w:t>
      </w:r>
      <w:bookmarkStart w:id="6" w:name="_GoBack"/>
      <w:bookmarkEnd w:id="6"/>
      <w:r w:rsidRPr="00482EFE">
        <w:t xml:space="preserve">: </w:t>
      </w:r>
      <w:r w:rsidRPr="00FB38C1">
        <w:rPr>
          <w:i/>
        </w:rPr>
        <w:t>"</w:t>
      </w:r>
      <w:r w:rsidRPr="00482EFE">
        <w:rPr>
          <w:i/>
          <w:iCs/>
        </w:rPr>
        <w:t>De leden van de Commissie onthouden zich van iedere handeling welke onverenigbaar is met het karakter van hun ambt. De lidstaten eerbiedigen hun onafhankelijkheid en trachten niet hen te beïnvloeden bij de uitvoering van hun taak.</w:t>
      </w:r>
      <w:r>
        <w:rPr>
          <w:i/>
          <w:iCs/>
        </w:rPr>
        <w:t xml:space="preserve"> </w:t>
      </w:r>
      <w:r w:rsidRPr="00482EFE">
        <w:rPr>
          <w:i/>
          <w:iCs/>
        </w:rPr>
        <w:t>De leden van de Commissie mogen gedurende hun ambtsperiode geen andere beroepswerkzaamheden, al dan niet tegen beloning, verrichten. Bij hun ambtsaanvaarding verbinden zij zich plechtig om gedurende hun ambtsperiode en na afloop daarvan de uit hun taak voortvloeiende verplichtingen na te komen, in het bijzonder eerlijkheid en kiesheid te betrachten in het aanvaarden van bepaalde functies of voordelen na afloop van die ambtsperiode. Ingeval deze verplichtingen niet worden nagekomen, kan de Raad met gewone meerderheid of de Commissie zich wenden tot het Hof van Justitie, dat, al naar gelang van het geval, ontslag ambtshalve volgens artikel 247 of verval van het recht op pensioen of van andere, daarvoor in de plaats tredende voordelen kan uitspreken</w:t>
      </w:r>
      <w:r>
        <w:rPr>
          <w:i/>
          <w:iCs/>
        </w:rPr>
        <w:t>."</w:t>
      </w:r>
    </w:p>
    <w:p w:rsidR="00482EFE" w:rsidRPr="00482EFE" w:rsidRDefault="00482EFE" w:rsidP="0045657C">
      <w:pPr>
        <w:jc w:val="both"/>
      </w:pPr>
    </w:p>
    <w:p w:rsidR="0045657C" w:rsidRDefault="00482EFE" w:rsidP="0045657C">
      <w:pPr>
        <w:jc w:val="both"/>
      </w:pPr>
      <w:r>
        <w:t>E</w:t>
      </w:r>
      <w:r w:rsidR="00676142">
        <w:t xml:space="preserve">r is dus </w:t>
      </w:r>
      <w:r w:rsidR="0045657C">
        <w:t xml:space="preserve">geen a priori verbodsbepaling voor het uitoefenen van professionele activiteiten in de termijn van 18 maanden na afloop </w:t>
      </w:r>
      <w:r w:rsidR="00676142">
        <w:t xml:space="preserve">van het </w:t>
      </w:r>
      <w:r w:rsidR="0045657C">
        <w:t xml:space="preserve">mandaat, </w:t>
      </w:r>
      <w:r w:rsidR="00676142">
        <w:t xml:space="preserve">wel </w:t>
      </w:r>
      <w:r w:rsidR="0045657C">
        <w:t>een meldingsplicht en een mogelijkheid tot toetsing aan het verdrag</w:t>
      </w:r>
      <w:r>
        <w:t xml:space="preserve"> op basis van ethische en deontologische </w:t>
      </w:r>
      <w:r w:rsidR="00252756">
        <w:t>regels</w:t>
      </w:r>
      <w:r w:rsidR="0045657C">
        <w:t>.</w:t>
      </w:r>
    </w:p>
    <w:p w:rsidR="004347DD" w:rsidRDefault="004347DD" w:rsidP="0045657C">
      <w:pPr>
        <w:jc w:val="both"/>
      </w:pPr>
    </w:p>
    <w:p w:rsidR="00A373D1" w:rsidRPr="00A373D1" w:rsidRDefault="00A3527A" w:rsidP="00A3527A">
      <w:pPr>
        <w:jc w:val="both"/>
        <w:rPr>
          <w:i/>
          <w:iCs/>
        </w:rPr>
      </w:pPr>
      <w:r w:rsidRPr="00A3527A">
        <w:t>Het opstellen van algemeen geldende beperkingen aan de professionele activiteiten van gewezen ministers die alle mogelijke toekomstige wanpraktijken zouden kunnen uitsluiten, lijkt mij niet haalbaar. Er bestaan wel specifieke beperkingen</w:t>
      </w:r>
      <w:r>
        <w:t>. Ar</w:t>
      </w:r>
      <w:r w:rsidR="00482EFE" w:rsidRPr="00A373D1">
        <w:t>tikel 23 van de Bijzondere Wet 8/8/1980 tot hervorming der instellingen</w:t>
      </w:r>
      <w:r w:rsidR="00A373D1" w:rsidRPr="00A373D1">
        <w:t xml:space="preserve"> </w:t>
      </w:r>
      <w:r>
        <w:t xml:space="preserve">bepaalt immers: </w:t>
      </w:r>
      <w:r w:rsidR="00FB38C1" w:rsidRPr="00FB38C1">
        <w:rPr>
          <w:i/>
          <w:iCs/>
        </w:rPr>
        <w:t>"</w:t>
      </w:r>
      <w:r w:rsidR="00A373D1" w:rsidRPr="00A373D1">
        <w:rPr>
          <w:i/>
          <w:iCs/>
        </w:rPr>
        <w:t>De onverenigbaarheden en ontzeggingen betreffende de Ministers, gewezen Ministers en Ministers van Staat, alsmede de leden en de gewezen leden van de Wetgevende Kamers, bepaald bij de wet, zijn van overeenkomstige toepassing op de Gemeenschaps- en Gewestministers, alsook op de leden en gewezen leden van de Parlementen, wat betreft de ambten die van de Gemeenschap of het Gewest afhangen.</w:t>
      </w:r>
      <w:r w:rsidR="00FB38C1">
        <w:rPr>
          <w:i/>
          <w:iCs/>
        </w:rPr>
        <w:t>"</w:t>
      </w:r>
    </w:p>
    <w:p w:rsidR="00A373D1" w:rsidRPr="00A373D1" w:rsidRDefault="00A373D1" w:rsidP="00A373D1">
      <w:pPr>
        <w:jc w:val="both"/>
      </w:pPr>
      <w:r w:rsidRPr="00A373D1">
        <w:t xml:space="preserve">Als dusdanig is ook artikel 4 van de wet </w:t>
      </w:r>
      <w:r w:rsidRPr="00A373D1">
        <w:rPr>
          <w:lang w:eastAsia="en-US"/>
        </w:rPr>
        <w:t>van 6 augustus 1931</w:t>
      </w:r>
      <w:r w:rsidRPr="00A373D1">
        <w:rPr>
          <w:i/>
          <w:lang w:eastAsia="en-US"/>
        </w:rPr>
        <w:t xml:space="preserve"> houdende vaststelling van de onverenigbaarheden en ontzeggingen betreffende de ministers, gewezen ministers en ministers van Staat, alsmede de leden en gewezen leden van de Wetgevende </w:t>
      </w:r>
      <w:r w:rsidRPr="004347DD">
        <w:rPr>
          <w:lang w:eastAsia="en-US"/>
        </w:rPr>
        <w:t>Kamers van toepassing op (o.a.) de gewezen Vlaamse ministers. Dat artikel 4 bepaalt</w:t>
      </w:r>
      <w:r w:rsidRPr="00A373D1">
        <w:rPr>
          <w:lang w:eastAsia="en-US"/>
        </w:rPr>
        <w:t>:</w:t>
      </w:r>
      <w:r>
        <w:rPr>
          <w:lang w:eastAsia="en-US"/>
        </w:rPr>
        <w:t xml:space="preserve"> </w:t>
      </w:r>
      <w:r w:rsidR="00FB38C1">
        <w:rPr>
          <w:i/>
          <w:iCs/>
        </w:rPr>
        <w:t>"</w:t>
      </w:r>
      <w:r w:rsidRPr="00A373D1">
        <w:rPr>
          <w:i/>
          <w:iCs/>
        </w:rPr>
        <w:t>Geen enkel gewezen minister mag, eender in welke hoedanigheid, aan het beheer van of aan het toezicht over een vennootschap die door zijn tussenkomst concessiehoudster van de Staat werd verklaard tijdens zijn ministerschap, verbonden worden, tenzij vijf jaar na uit zijn ambt te zijn getreden. Elke overtreding van dit verbod wordt gestraft met een geldboete van 1 000 frank tot 10 000 frank.</w:t>
      </w:r>
      <w:r w:rsidR="00FB38C1">
        <w:rPr>
          <w:i/>
          <w:iCs/>
        </w:rPr>
        <w:t>"</w:t>
      </w:r>
    </w:p>
    <w:p w:rsidR="00A373D1" w:rsidRDefault="00A373D1" w:rsidP="00A373D1">
      <w:pPr>
        <w:jc w:val="both"/>
      </w:pPr>
    </w:p>
    <w:p w:rsidR="00A3527A" w:rsidRPr="00A3527A" w:rsidRDefault="00A3527A" w:rsidP="00A3527A">
      <w:pPr>
        <w:jc w:val="both"/>
      </w:pPr>
      <w:r w:rsidRPr="00A3527A">
        <w:t xml:space="preserve">Als het uitbreiden van de bestaande beperkingen zou overwogen worden, zou dat alleen bij wet of </w:t>
      </w:r>
      <w:r>
        <w:t xml:space="preserve">bij </w:t>
      </w:r>
      <w:r w:rsidRPr="00A3527A">
        <w:t xml:space="preserve">decreet kunnen. De Vlaamse Regering kan zichzelf en haar personeelsleden wel gedragsregels opleggen bij omzendbrief, maar kan die gedragsregels alleen afdwingen ten aanzien van ministers of </w:t>
      </w:r>
      <w:r w:rsidRPr="00A3527A">
        <w:lastRenderedPageBreak/>
        <w:t>personeelsleden zolang die in functie zijn. Interne gedragsregels binden gewezen ministers of personeelsleden hoogstens moreel maar niet juridisch.</w:t>
      </w:r>
    </w:p>
    <w:p w:rsidR="00A3527A" w:rsidRDefault="00A3527A" w:rsidP="00383836">
      <w:pPr>
        <w:jc w:val="both"/>
      </w:pPr>
    </w:p>
    <w:p w:rsidR="00FB38C1" w:rsidRDefault="00A3527A" w:rsidP="00383836">
      <w:pPr>
        <w:jc w:val="both"/>
      </w:pPr>
      <w:r>
        <w:t>D</w:t>
      </w:r>
      <w:r w:rsidR="00FB38C1" w:rsidRPr="00FB38C1">
        <w:t xml:space="preserve">e regeling tot </w:t>
      </w:r>
      <w:r w:rsidR="00F90269">
        <w:t xml:space="preserve">het </w:t>
      </w:r>
      <w:r w:rsidR="00FB38C1" w:rsidRPr="00FB38C1">
        <w:t>vermijden van draaid</w:t>
      </w:r>
      <w:r w:rsidR="00FB38C1">
        <w:t>eu</w:t>
      </w:r>
      <w:r w:rsidR="00FB38C1" w:rsidRPr="00FB38C1">
        <w:t>rconstructies, zoals die is ingesteld voor het personeel van de Vlaamse overheid, strekt</w:t>
      </w:r>
      <w:r w:rsidR="00B95C8A">
        <w:t xml:space="preserve"> er </w:t>
      </w:r>
      <w:r w:rsidR="00DD7462">
        <w:t>niet</w:t>
      </w:r>
      <w:r w:rsidR="00B95C8A">
        <w:t xml:space="preserve"> toe</w:t>
      </w:r>
      <w:r w:rsidR="00FB38C1" w:rsidRPr="00FB38C1">
        <w:t xml:space="preserve"> een verbod op te leggen aan gewezen ambtenaren om een beroepsact</w:t>
      </w:r>
      <w:r w:rsidR="009F515D">
        <w:t>i</w:t>
      </w:r>
      <w:r w:rsidR="00FB38C1" w:rsidRPr="00FB38C1">
        <w:t xml:space="preserve">viteit uit te oefenen bij een bedrijf dat in dezelfde sector actief is </w:t>
      </w:r>
      <w:r w:rsidR="00FB38C1">
        <w:t xml:space="preserve">als degene </w:t>
      </w:r>
      <w:r w:rsidR="00FB38C1" w:rsidRPr="00FB38C1">
        <w:t>waarin de ambtenaar voorheen werkzaam was.</w:t>
      </w:r>
    </w:p>
    <w:p w:rsidR="00FB38C1" w:rsidRPr="00FB38C1" w:rsidRDefault="00FB38C1" w:rsidP="00383836">
      <w:pPr>
        <w:jc w:val="both"/>
      </w:pPr>
      <w:r w:rsidRPr="00FB38C1">
        <w:t>In de d</w:t>
      </w:r>
      <w:r>
        <w:t>es</w:t>
      </w:r>
      <w:r w:rsidRPr="00FB38C1">
        <w:t>betreffende omzendbrief wordt wel het volgende gesteld:</w:t>
      </w:r>
      <w:r w:rsidRPr="00FB38C1">
        <w:rPr>
          <w:i/>
          <w:iCs/>
        </w:rPr>
        <w:t xml:space="preserve"> </w:t>
      </w:r>
      <w:r>
        <w:rPr>
          <w:i/>
          <w:iCs/>
        </w:rPr>
        <w:t>"</w:t>
      </w:r>
      <w:r w:rsidRPr="00FB38C1">
        <w:rPr>
          <w:i/>
          <w:iCs/>
        </w:rPr>
        <w:t>Het management van de entiteiten van de Vlaamse overheid wordt verzocht om, voor het uitvoeren van opdrachten, een personeelslid, dat tewerkgesteld was op hun eigen entiteit, gedurende een periode van minstens twee jaar na zijn vertrek uit de entiteit niet als externe rechtstreeks of onrechtstreeks in te huren, op eender welke manier. Voor het inhuren van een bureau of onderneming waaraan een voormalig personeelslid na zijn ontslag is tewerkgesteld, betekent dit d</w:t>
      </w:r>
      <w:r>
        <w:rPr>
          <w:i/>
          <w:iCs/>
        </w:rPr>
        <w:t>at d</w:t>
      </w:r>
      <w:r w:rsidRPr="00FB38C1">
        <w:rPr>
          <w:i/>
          <w:iCs/>
        </w:rPr>
        <w:t>eze persoon niet bij de uitvoering van de opdracht wordt betrokken</w:t>
      </w:r>
      <w:r>
        <w:rPr>
          <w:i/>
          <w:iCs/>
        </w:rPr>
        <w:t>."</w:t>
      </w:r>
    </w:p>
    <w:sectPr w:rsidR="00FB38C1" w:rsidRPr="00FB38C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75FC"/>
    <w:multiLevelType w:val="hybridMultilevel"/>
    <w:tmpl w:val="54860B22"/>
    <w:lvl w:ilvl="0" w:tplc="08130001">
      <w:start w:val="1"/>
      <w:numFmt w:val="bullet"/>
      <w:lvlText w:val=""/>
      <w:lvlJc w:val="left"/>
      <w:pPr>
        <w:ind w:left="305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19B0"/>
    <w:rsid w:val="00002E44"/>
    <w:rsid w:val="00037191"/>
    <w:rsid w:val="00076D92"/>
    <w:rsid w:val="00080603"/>
    <w:rsid w:val="00082C59"/>
    <w:rsid w:val="000865DB"/>
    <w:rsid w:val="000976E9"/>
    <w:rsid w:val="000A3286"/>
    <w:rsid w:val="000C3B08"/>
    <w:rsid w:val="000C4E8C"/>
    <w:rsid w:val="000F2B34"/>
    <w:rsid w:val="000F3532"/>
    <w:rsid w:val="000F4AE6"/>
    <w:rsid w:val="00121151"/>
    <w:rsid w:val="00134D41"/>
    <w:rsid w:val="00183975"/>
    <w:rsid w:val="00184C7C"/>
    <w:rsid w:val="001A7264"/>
    <w:rsid w:val="001B2C71"/>
    <w:rsid w:val="001B6E48"/>
    <w:rsid w:val="001C7367"/>
    <w:rsid w:val="001E14D5"/>
    <w:rsid w:val="001F7390"/>
    <w:rsid w:val="00210C07"/>
    <w:rsid w:val="00252756"/>
    <w:rsid w:val="0026590E"/>
    <w:rsid w:val="00266E3B"/>
    <w:rsid w:val="002C377F"/>
    <w:rsid w:val="002C7A6C"/>
    <w:rsid w:val="002E7CFF"/>
    <w:rsid w:val="00326A58"/>
    <w:rsid w:val="00383836"/>
    <w:rsid w:val="00397E2B"/>
    <w:rsid w:val="003A1152"/>
    <w:rsid w:val="00407570"/>
    <w:rsid w:val="00410C45"/>
    <w:rsid w:val="0041623A"/>
    <w:rsid w:val="00432982"/>
    <w:rsid w:val="004347DD"/>
    <w:rsid w:val="00440E7E"/>
    <w:rsid w:val="00453A87"/>
    <w:rsid w:val="004557FD"/>
    <w:rsid w:val="0045657C"/>
    <w:rsid w:val="00482EFE"/>
    <w:rsid w:val="004C4790"/>
    <w:rsid w:val="004D7F7C"/>
    <w:rsid w:val="004E2833"/>
    <w:rsid w:val="004E68A0"/>
    <w:rsid w:val="005266DB"/>
    <w:rsid w:val="00566C53"/>
    <w:rsid w:val="00571D9C"/>
    <w:rsid w:val="005832A0"/>
    <w:rsid w:val="005900AD"/>
    <w:rsid w:val="005B5BC5"/>
    <w:rsid w:val="005E38CA"/>
    <w:rsid w:val="006151B1"/>
    <w:rsid w:val="0063138E"/>
    <w:rsid w:val="006406D2"/>
    <w:rsid w:val="006509F2"/>
    <w:rsid w:val="006548DD"/>
    <w:rsid w:val="00676142"/>
    <w:rsid w:val="006F2F9A"/>
    <w:rsid w:val="0070656A"/>
    <w:rsid w:val="0071248C"/>
    <w:rsid w:val="007252C7"/>
    <w:rsid w:val="007304D7"/>
    <w:rsid w:val="00741C55"/>
    <w:rsid w:val="007474BA"/>
    <w:rsid w:val="00754BCB"/>
    <w:rsid w:val="0075511D"/>
    <w:rsid w:val="007829B0"/>
    <w:rsid w:val="00785A0D"/>
    <w:rsid w:val="007B177C"/>
    <w:rsid w:val="007F60A8"/>
    <w:rsid w:val="00803108"/>
    <w:rsid w:val="008346AE"/>
    <w:rsid w:val="00847469"/>
    <w:rsid w:val="00894185"/>
    <w:rsid w:val="008A713D"/>
    <w:rsid w:val="008D5DB4"/>
    <w:rsid w:val="0090296F"/>
    <w:rsid w:val="009347E0"/>
    <w:rsid w:val="00983321"/>
    <w:rsid w:val="009D0315"/>
    <w:rsid w:val="009D7043"/>
    <w:rsid w:val="009E4959"/>
    <w:rsid w:val="009E613C"/>
    <w:rsid w:val="009F39F3"/>
    <w:rsid w:val="009F515D"/>
    <w:rsid w:val="00A058D2"/>
    <w:rsid w:val="00A3106D"/>
    <w:rsid w:val="00A3527A"/>
    <w:rsid w:val="00A373D1"/>
    <w:rsid w:val="00A42280"/>
    <w:rsid w:val="00A45417"/>
    <w:rsid w:val="00A76EC9"/>
    <w:rsid w:val="00A804C0"/>
    <w:rsid w:val="00AA5C57"/>
    <w:rsid w:val="00AE3954"/>
    <w:rsid w:val="00B02503"/>
    <w:rsid w:val="00B05220"/>
    <w:rsid w:val="00B45EB2"/>
    <w:rsid w:val="00B60F0E"/>
    <w:rsid w:val="00B95C8A"/>
    <w:rsid w:val="00BB4976"/>
    <w:rsid w:val="00BD207C"/>
    <w:rsid w:val="00BE425A"/>
    <w:rsid w:val="00C0707D"/>
    <w:rsid w:val="00C11363"/>
    <w:rsid w:val="00CE006E"/>
    <w:rsid w:val="00CF46AA"/>
    <w:rsid w:val="00D03519"/>
    <w:rsid w:val="00D43063"/>
    <w:rsid w:val="00D71D99"/>
    <w:rsid w:val="00D754F2"/>
    <w:rsid w:val="00D92587"/>
    <w:rsid w:val="00DA5DF3"/>
    <w:rsid w:val="00DB41C0"/>
    <w:rsid w:val="00DC4DB6"/>
    <w:rsid w:val="00DD19EF"/>
    <w:rsid w:val="00DD7462"/>
    <w:rsid w:val="00E02DEB"/>
    <w:rsid w:val="00E12C5D"/>
    <w:rsid w:val="00E34C08"/>
    <w:rsid w:val="00E55200"/>
    <w:rsid w:val="00E75830"/>
    <w:rsid w:val="00F369E3"/>
    <w:rsid w:val="00F662FE"/>
    <w:rsid w:val="00F8586F"/>
    <w:rsid w:val="00F90269"/>
    <w:rsid w:val="00FA29D6"/>
    <w:rsid w:val="00FB38C1"/>
    <w:rsid w:val="00FB3D24"/>
    <w:rsid w:val="00FB5887"/>
    <w:rsid w:val="00FB7171"/>
    <w:rsid w:val="00FC4261"/>
    <w:rsid w:val="00FD119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A373D1"/>
    <w:pPr>
      <w:ind w:left="720"/>
    </w:pPr>
    <w:rPr>
      <w:rFonts w:ascii="Calibri" w:eastAsiaTheme="minorHAnsi" w:hAnsi="Calibri"/>
      <w:szCs w:val="22"/>
      <w:lang w:val="nl-BE" w:eastAsia="nl-BE"/>
    </w:rPr>
  </w:style>
  <w:style w:type="paragraph" w:styleId="Ballontekst">
    <w:name w:val="Balloon Text"/>
    <w:basedOn w:val="Standaard"/>
    <w:link w:val="BallontekstChar"/>
    <w:rsid w:val="00DD7462"/>
    <w:rPr>
      <w:rFonts w:ascii="Tahoma" w:hAnsi="Tahoma" w:cs="Tahoma"/>
      <w:sz w:val="16"/>
      <w:szCs w:val="16"/>
    </w:rPr>
  </w:style>
  <w:style w:type="character" w:customStyle="1" w:styleId="BallontekstChar">
    <w:name w:val="Ballontekst Char"/>
    <w:basedOn w:val="Standaardalinea-lettertype"/>
    <w:link w:val="Ballontekst"/>
    <w:rsid w:val="00DD746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A373D1"/>
    <w:pPr>
      <w:ind w:left="720"/>
    </w:pPr>
    <w:rPr>
      <w:rFonts w:ascii="Calibri" w:eastAsiaTheme="minorHAnsi" w:hAnsi="Calibri"/>
      <w:szCs w:val="22"/>
      <w:lang w:val="nl-BE" w:eastAsia="nl-BE"/>
    </w:rPr>
  </w:style>
  <w:style w:type="paragraph" w:styleId="Ballontekst">
    <w:name w:val="Balloon Text"/>
    <w:basedOn w:val="Standaard"/>
    <w:link w:val="BallontekstChar"/>
    <w:rsid w:val="00DD7462"/>
    <w:rPr>
      <w:rFonts w:ascii="Tahoma" w:hAnsi="Tahoma" w:cs="Tahoma"/>
      <w:sz w:val="16"/>
      <w:szCs w:val="16"/>
    </w:rPr>
  </w:style>
  <w:style w:type="character" w:customStyle="1" w:styleId="BallontekstChar">
    <w:name w:val="Ballontekst Char"/>
    <w:basedOn w:val="Standaardalinea-lettertype"/>
    <w:link w:val="Ballontekst"/>
    <w:rsid w:val="00DD746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16342">
      <w:bodyDiv w:val="1"/>
      <w:marLeft w:val="0"/>
      <w:marRight w:val="0"/>
      <w:marTop w:val="0"/>
      <w:marBottom w:val="0"/>
      <w:divBdr>
        <w:top w:val="none" w:sz="0" w:space="0" w:color="auto"/>
        <w:left w:val="none" w:sz="0" w:space="0" w:color="auto"/>
        <w:bottom w:val="none" w:sz="0" w:space="0" w:color="auto"/>
        <w:right w:val="none" w:sz="0" w:space="0" w:color="auto"/>
      </w:divBdr>
    </w:div>
    <w:div w:id="12220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740</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2012-06-26T12:02:00Z</cp:lastPrinted>
  <dcterms:created xsi:type="dcterms:W3CDTF">2012-06-26T09:47:00Z</dcterms:created>
  <dcterms:modified xsi:type="dcterms:W3CDTF">2012-06-29T06:23:00Z</dcterms:modified>
</cp:coreProperties>
</file>