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01" w:rsidRPr="005F6D01" w:rsidRDefault="00246501" w:rsidP="00246501">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r w:rsidRPr="005F6D01">
        <w:rPr>
          <w:rFonts w:ascii="Times New Roman Vet" w:hAnsi="Times New Roman Vet"/>
          <w:smallCaps/>
          <w:sz w:val="22"/>
          <w:szCs w:val="22"/>
          <w:lang w:val="nl-BE"/>
        </w:rPr>
        <w:t xml:space="preserve"> </w:t>
      </w:r>
    </w:p>
    <w:p w:rsidR="00246501" w:rsidRPr="005F6D01" w:rsidRDefault="00246501" w:rsidP="00246501">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246501" w:rsidRPr="006E7BC2" w:rsidRDefault="00246501" w:rsidP="00246501">
      <w:pPr>
        <w:pStyle w:val="StandaardSV"/>
        <w:pBdr>
          <w:bottom w:val="single" w:sz="4" w:space="1" w:color="auto"/>
        </w:pBdr>
        <w:rPr>
          <w:lang w:val="nl-BE"/>
        </w:rPr>
      </w:pPr>
    </w:p>
    <w:p w:rsidR="00246501" w:rsidRDefault="00246501" w:rsidP="00246501">
      <w:pPr>
        <w:jc w:val="both"/>
        <w:rPr>
          <w:sz w:val="22"/>
        </w:rPr>
      </w:pPr>
    </w:p>
    <w:p w:rsidR="00653357" w:rsidRPr="00653357" w:rsidRDefault="00653357" w:rsidP="00653357">
      <w:pPr>
        <w:jc w:val="both"/>
        <w:rPr>
          <w:b/>
          <w:sz w:val="20"/>
        </w:rPr>
      </w:pPr>
      <w:r w:rsidRPr="00653357">
        <w:rPr>
          <w:b/>
          <w:sz w:val="20"/>
        </w:rPr>
        <w:t>ANTWOORD</w:t>
      </w:r>
    </w:p>
    <w:p w:rsidR="00653357" w:rsidRPr="00653357" w:rsidRDefault="00653357" w:rsidP="00653357">
      <w:pPr>
        <w:jc w:val="both"/>
        <w:rPr>
          <w:sz w:val="22"/>
          <w:szCs w:val="22"/>
        </w:rPr>
      </w:pPr>
      <w:r w:rsidRPr="00653357">
        <w:rPr>
          <w:sz w:val="22"/>
          <w:szCs w:val="22"/>
        </w:rPr>
        <w:t>op vraag nr. 659 van 31 mei 2012</w:t>
      </w:r>
    </w:p>
    <w:p w:rsidR="00246501" w:rsidRPr="00653357" w:rsidRDefault="00246501" w:rsidP="00246501">
      <w:pPr>
        <w:jc w:val="both"/>
        <w:rPr>
          <w:b/>
          <w:sz w:val="22"/>
          <w:szCs w:val="22"/>
        </w:rPr>
      </w:pPr>
      <w:r w:rsidRPr="00653357">
        <w:rPr>
          <w:sz w:val="22"/>
          <w:szCs w:val="22"/>
        </w:rPr>
        <w:t xml:space="preserve">van </w:t>
      </w:r>
      <w:proofErr w:type="spellStart"/>
      <w:r w:rsidRPr="00653357">
        <w:rPr>
          <w:b/>
          <w:smallCaps/>
          <w:sz w:val="22"/>
          <w:szCs w:val="22"/>
        </w:rPr>
        <w:t>güler</w:t>
      </w:r>
      <w:proofErr w:type="spellEnd"/>
      <w:r w:rsidRPr="00653357">
        <w:rPr>
          <w:b/>
          <w:smallCaps/>
          <w:sz w:val="22"/>
          <w:szCs w:val="22"/>
        </w:rPr>
        <w:t xml:space="preserve"> </w:t>
      </w:r>
      <w:proofErr w:type="spellStart"/>
      <w:r w:rsidRPr="00653357">
        <w:rPr>
          <w:b/>
          <w:smallCaps/>
          <w:sz w:val="22"/>
          <w:szCs w:val="22"/>
        </w:rPr>
        <w:t>turan</w:t>
      </w:r>
      <w:proofErr w:type="spellEnd"/>
    </w:p>
    <w:p w:rsidR="00246501" w:rsidRDefault="00246501" w:rsidP="00246501">
      <w:pPr>
        <w:pBdr>
          <w:bottom w:val="single" w:sz="4" w:space="1" w:color="auto"/>
        </w:pBdr>
        <w:jc w:val="both"/>
        <w:rPr>
          <w:sz w:val="22"/>
        </w:rPr>
      </w:pPr>
    </w:p>
    <w:p w:rsidR="00246501" w:rsidRDefault="00246501" w:rsidP="00246501">
      <w:pPr>
        <w:pStyle w:val="StandaardSV"/>
      </w:pPr>
    </w:p>
    <w:p w:rsidR="00246501" w:rsidRDefault="00246501" w:rsidP="00246501">
      <w:pPr>
        <w:pStyle w:val="StandaardSV"/>
      </w:pPr>
    </w:p>
    <w:p w:rsidR="00312941" w:rsidRDefault="00B70029" w:rsidP="00443061">
      <w:pPr>
        <w:pStyle w:val="StandaardSV"/>
        <w:numPr>
          <w:ilvl w:val="0"/>
          <w:numId w:val="4"/>
        </w:numPr>
        <w:rPr>
          <w:lang w:eastAsia="nl-BE"/>
        </w:rPr>
      </w:pPr>
      <w:r>
        <w:rPr>
          <w:lang w:eastAsia="nl-BE"/>
        </w:rPr>
        <w:t xml:space="preserve">In 2009 ontving Inspectie Werk en Sociale Economie 9 klachten met betrekking tot uitzendarbeid, hieromtrent voerde Inspectie WSE dan ook 9 controles uit naar aanleiding van deze klachten. </w:t>
      </w:r>
      <w:r w:rsidR="00312941">
        <w:rPr>
          <w:lang w:eastAsia="nl-BE"/>
        </w:rPr>
        <w:t>In</w:t>
      </w:r>
      <w:r>
        <w:rPr>
          <w:lang w:eastAsia="nl-BE"/>
        </w:rPr>
        <w:t xml:space="preserve"> totaal</w:t>
      </w:r>
      <w:r w:rsidR="00396929">
        <w:rPr>
          <w:lang w:eastAsia="nl-BE"/>
        </w:rPr>
        <w:t xml:space="preserve"> </w:t>
      </w:r>
      <w:r w:rsidR="00312941">
        <w:rPr>
          <w:lang w:eastAsia="nl-BE"/>
        </w:rPr>
        <w:t>voerde</w:t>
      </w:r>
      <w:r w:rsidR="00312941" w:rsidRPr="005F1E20">
        <w:rPr>
          <w:lang w:eastAsia="nl-BE"/>
        </w:rPr>
        <w:t xml:space="preserve"> Inspectie Werk en Sociale Economie </w:t>
      </w:r>
      <w:r>
        <w:rPr>
          <w:lang w:eastAsia="nl-BE"/>
        </w:rPr>
        <w:t xml:space="preserve">in 2009 </w:t>
      </w:r>
      <w:r w:rsidR="00312941" w:rsidRPr="005F1E20">
        <w:rPr>
          <w:lang w:eastAsia="nl-BE"/>
        </w:rPr>
        <w:t>95 controles</w:t>
      </w:r>
      <w:r w:rsidR="00312941">
        <w:rPr>
          <w:lang w:eastAsia="nl-BE"/>
        </w:rPr>
        <w:t xml:space="preserve"> uit</w:t>
      </w:r>
      <w:r w:rsidR="00312941" w:rsidRPr="005F1E20">
        <w:rPr>
          <w:lang w:eastAsia="nl-BE"/>
        </w:rPr>
        <w:t xml:space="preserve"> in de uitzendsector. In kader van deze controles werden </w:t>
      </w:r>
      <w:r w:rsidR="00325FC9">
        <w:rPr>
          <w:lang w:eastAsia="nl-BE"/>
        </w:rPr>
        <w:t>60</w:t>
      </w:r>
      <w:r w:rsidR="00312941" w:rsidRPr="005F1E20">
        <w:rPr>
          <w:lang w:eastAsia="nl-BE"/>
        </w:rPr>
        <w:t xml:space="preserve"> inbreuken vastgesteld. </w:t>
      </w:r>
    </w:p>
    <w:p w:rsidR="00B70029" w:rsidRPr="005F1E20" w:rsidRDefault="00B70029" w:rsidP="00312941">
      <w:pPr>
        <w:pStyle w:val="StandaardSV"/>
        <w:rPr>
          <w:lang w:eastAsia="nl-BE"/>
        </w:rPr>
      </w:pPr>
    </w:p>
    <w:p w:rsidR="00312941" w:rsidRPr="005F1E20" w:rsidRDefault="00396929" w:rsidP="00443061">
      <w:pPr>
        <w:pStyle w:val="StandaardSV"/>
        <w:ind w:left="360"/>
        <w:rPr>
          <w:lang w:eastAsia="nl-BE"/>
        </w:rPr>
      </w:pPr>
      <w:r>
        <w:rPr>
          <w:lang w:eastAsia="nl-BE"/>
        </w:rPr>
        <w:t xml:space="preserve">In 2010 ontving Inspectie Werk en Sociale Economie </w:t>
      </w:r>
      <w:r w:rsidR="00D60545">
        <w:rPr>
          <w:lang w:eastAsia="nl-BE"/>
        </w:rPr>
        <w:t xml:space="preserve">slechts </w:t>
      </w:r>
      <w:r>
        <w:rPr>
          <w:lang w:eastAsia="nl-BE"/>
        </w:rPr>
        <w:t xml:space="preserve">1 klacht met betrekking tot uitzendarbeid, hieromtrent voerde Inspectie WSE dan ook 1 controle uit.  In totaal voerde Inspectie Werk en Sociale Economie in 2010 </w:t>
      </w:r>
      <w:r w:rsidR="00312941" w:rsidRPr="005F1E20">
        <w:rPr>
          <w:lang w:eastAsia="nl-BE"/>
        </w:rPr>
        <w:t xml:space="preserve">81 controles </w:t>
      </w:r>
      <w:r w:rsidR="00164AC4">
        <w:rPr>
          <w:lang w:eastAsia="nl-BE"/>
        </w:rPr>
        <w:t>ui</w:t>
      </w:r>
      <w:r w:rsidR="00D60545">
        <w:rPr>
          <w:lang w:eastAsia="nl-BE"/>
        </w:rPr>
        <w:t>t</w:t>
      </w:r>
      <w:r w:rsidR="00164AC4">
        <w:rPr>
          <w:lang w:eastAsia="nl-BE"/>
        </w:rPr>
        <w:t xml:space="preserve"> </w:t>
      </w:r>
      <w:r w:rsidR="00312941" w:rsidRPr="005F1E20">
        <w:rPr>
          <w:lang w:eastAsia="nl-BE"/>
        </w:rPr>
        <w:t>in de uitzendsector</w:t>
      </w:r>
      <w:r w:rsidR="00066694">
        <w:rPr>
          <w:lang w:eastAsia="nl-BE"/>
        </w:rPr>
        <w:t>,</w:t>
      </w:r>
      <w:r w:rsidR="00312941" w:rsidRPr="005F1E20">
        <w:rPr>
          <w:lang w:eastAsia="nl-BE"/>
        </w:rPr>
        <w:t xml:space="preserve"> waarbij 70 inbre</w:t>
      </w:r>
      <w:r w:rsidR="00164AC4">
        <w:rPr>
          <w:lang w:eastAsia="nl-BE"/>
        </w:rPr>
        <w:t>uken werden vastgesteld.</w:t>
      </w:r>
    </w:p>
    <w:p w:rsidR="00312941" w:rsidRPr="005F1E20" w:rsidRDefault="00312941" w:rsidP="00443061">
      <w:pPr>
        <w:pStyle w:val="StandaardSV"/>
        <w:ind w:left="360"/>
        <w:rPr>
          <w:lang w:eastAsia="nl-BE"/>
        </w:rPr>
      </w:pPr>
    </w:p>
    <w:p w:rsidR="00164AC4" w:rsidRDefault="00164AC4" w:rsidP="00443061">
      <w:pPr>
        <w:pStyle w:val="StandaardSV"/>
        <w:ind w:left="360"/>
        <w:rPr>
          <w:lang w:eastAsia="nl-BE"/>
        </w:rPr>
      </w:pPr>
      <w:r>
        <w:rPr>
          <w:lang w:eastAsia="nl-BE"/>
        </w:rPr>
        <w:t>In 2011 ontving Inspectie Werk en Sociale Economie 7 klachten met betrekking tot uitzendarbeid, hieromtrent voerde Inspectie WSE dan ook 7 controles uit naar aanleiding van deze klachten. In totaal voerde</w:t>
      </w:r>
      <w:r w:rsidRPr="005F1E20">
        <w:rPr>
          <w:lang w:eastAsia="nl-BE"/>
        </w:rPr>
        <w:t xml:space="preserve"> Inspectie Werk en Sociale Economie </w:t>
      </w:r>
      <w:r>
        <w:rPr>
          <w:lang w:eastAsia="nl-BE"/>
        </w:rPr>
        <w:t>in 2011 92</w:t>
      </w:r>
      <w:r w:rsidRPr="005F1E20">
        <w:rPr>
          <w:lang w:eastAsia="nl-BE"/>
        </w:rPr>
        <w:t xml:space="preserve"> controles</w:t>
      </w:r>
      <w:r>
        <w:rPr>
          <w:lang w:eastAsia="nl-BE"/>
        </w:rPr>
        <w:t xml:space="preserve"> uit</w:t>
      </w:r>
      <w:r w:rsidRPr="005F1E20">
        <w:rPr>
          <w:lang w:eastAsia="nl-BE"/>
        </w:rPr>
        <w:t xml:space="preserve"> in de uitzendsector. In kader van deze controles werden </w:t>
      </w:r>
      <w:r>
        <w:rPr>
          <w:lang w:eastAsia="nl-BE"/>
        </w:rPr>
        <w:t>71</w:t>
      </w:r>
      <w:r w:rsidRPr="005F1E20">
        <w:rPr>
          <w:lang w:eastAsia="nl-BE"/>
        </w:rPr>
        <w:t xml:space="preserve"> inbreuken vastgesteld. </w:t>
      </w:r>
    </w:p>
    <w:p w:rsidR="00B65390" w:rsidRDefault="00B65390" w:rsidP="00312941">
      <w:pPr>
        <w:pStyle w:val="StandaardSV"/>
        <w:rPr>
          <w:lang w:eastAsia="nl-BE"/>
        </w:rPr>
      </w:pPr>
    </w:p>
    <w:tbl>
      <w:tblPr>
        <w:tblStyle w:val="Tabelraster"/>
        <w:tblW w:w="0" w:type="auto"/>
        <w:tblInd w:w="858" w:type="dxa"/>
        <w:tblLook w:val="04A0" w:firstRow="1" w:lastRow="0" w:firstColumn="1" w:lastColumn="0" w:noHBand="0" w:noVBand="1"/>
      </w:tblPr>
      <w:tblGrid>
        <w:gridCol w:w="1842"/>
        <w:gridCol w:w="1842"/>
        <w:gridCol w:w="1842"/>
        <w:gridCol w:w="1843"/>
      </w:tblGrid>
      <w:tr w:rsidR="00312941" w:rsidRPr="00680DB7" w:rsidTr="00680DB7">
        <w:tc>
          <w:tcPr>
            <w:tcW w:w="1842" w:type="dxa"/>
            <w:shd w:val="clear" w:color="auto" w:fill="95B3D7" w:themeFill="accent1" w:themeFillTint="99"/>
          </w:tcPr>
          <w:p w:rsidR="00312941" w:rsidRPr="00680DB7" w:rsidRDefault="00312941" w:rsidP="00312941">
            <w:pPr>
              <w:pStyle w:val="StandaardSV"/>
              <w:rPr>
                <w:b/>
                <w:lang w:eastAsia="nl-BE"/>
              </w:rPr>
            </w:pPr>
          </w:p>
        </w:tc>
        <w:tc>
          <w:tcPr>
            <w:tcW w:w="1842" w:type="dxa"/>
            <w:shd w:val="clear" w:color="auto" w:fill="95B3D7" w:themeFill="accent1" w:themeFillTint="99"/>
          </w:tcPr>
          <w:p w:rsidR="00312941" w:rsidRPr="00680DB7" w:rsidRDefault="00312941" w:rsidP="00312941">
            <w:pPr>
              <w:pStyle w:val="StandaardSV"/>
              <w:rPr>
                <w:b/>
                <w:lang w:eastAsia="nl-BE"/>
              </w:rPr>
            </w:pPr>
            <w:r w:rsidRPr="00680DB7">
              <w:rPr>
                <w:b/>
                <w:lang w:eastAsia="nl-BE"/>
              </w:rPr>
              <w:t>2009</w:t>
            </w:r>
          </w:p>
        </w:tc>
        <w:tc>
          <w:tcPr>
            <w:tcW w:w="1842" w:type="dxa"/>
            <w:shd w:val="clear" w:color="auto" w:fill="95B3D7" w:themeFill="accent1" w:themeFillTint="99"/>
          </w:tcPr>
          <w:p w:rsidR="00312941" w:rsidRPr="00680DB7" w:rsidRDefault="00312941" w:rsidP="00312941">
            <w:pPr>
              <w:pStyle w:val="StandaardSV"/>
              <w:rPr>
                <w:b/>
                <w:lang w:eastAsia="nl-BE"/>
              </w:rPr>
            </w:pPr>
            <w:r w:rsidRPr="00680DB7">
              <w:rPr>
                <w:b/>
                <w:lang w:eastAsia="nl-BE"/>
              </w:rPr>
              <w:t>2010</w:t>
            </w:r>
          </w:p>
        </w:tc>
        <w:tc>
          <w:tcPr>
            <w:tcW w:w="1843" w:type="dxa"/>
            <w:shd w:val="clear" w:color="auto" w:fill="95B3D7" w:themeFill="accent1" w:themeFillTint="99"/>
          </w:tcPr>
          <w:p w:rsidR="00312941" w:rsidRPr="00680DB7" w:rsidRDefault="00312941" w:rsidP="00312941">
            <w:pPr>
              <w:pStyle w:val="StandaardSV"/>
              <w:rPr>
                <w:b/>
                <w:lang w:eastAsia="nl-BE"/>
              </w:rPr>
            </w:pPr>
            <w:r w:rsidRPr="00680DB7">
              <w:rPr>
                <w:b/>
                <w:lang w:eastAsia="nl-BE"/>
              </w:rPr>
              <w:t>2011</w:t>
            </w:r>
          </w:p>
        </w:tc>
      </w:tr>
      <w:tr w:rsidR="00312941" w:rsidRPr="00312941" w:rsidTr="00312941">
        <w:tc>
          <w:tcPr>
            <w:tcW w:w="1842" w:type="dxa"/>
          </w:tcPr>
          <w:p w:rsidR="00312941" w:rsidRPr="00312941" w:rsidRDefault="00312941" w:rsidP="00312941">
            <w:pPr>
              <w:pStyle w:val="StandaardSV"/>
              <w:rPr>
                <w:lang w:eastAsia="nl-BE"/>
              </w:rPr>
            </w:pPr>
            <w:r w:rsidRPr="00312941">
              <w:rPr>
                <w:lang w:eastAsia="nl-BE"/>
              </w:rPr>
              <w:t>Controles uitzend</w:t>
            </w:r>
          </w:p>
        </w:tc>
        <w:tc>
          <w:tcPr>
            <w:tcW w:w="1842" w:type="dxa"/>
          </w:tcPr>
          <w:p w:rsidR="00312941" w:rsidRPr="00312941" w:rsidRDefault="00312941" w:rsidP="00312941">
            <w:pPr>
              <w:pStyle w:val="StandaardSV"/>
              <w:rPr>
                <w:lang w:eastAsia="nl-BE"/>
              </w:rPr>
            </w:pPr>
            <w:r w:rsidRPr="00312941">
              <w:rPr>
                <w:lang w:eastAsia="nl-BE"/>
              </w:rPr>
              <w:t>95</w:t>
            </w:r>
          </w:p>
        </w:tc>
        <w:tc>
          <w:tcPr>
            <w:tcW w:w="1842" w:type="dxa"/>
          </w:tcPr>
          <w:p w:rsidR="00312941" w:rsidRPr="00312941" w:rsidRDefault="00312941" w:rsidP="00312941">
            <w:pPr>
              <w:pStyle w:val="StandaardSV"/>
              <w:rPr>
                <w:lang w:eastAsia="nl-BE"/>
              </w:rPr>
            </w:pPr>
            <w:r w:rsidRPr="00312941">
              <w:rPr>
                <w:lang w:eastAsia="nl-BE"/>
              </w:rPr>
              <w:t>81</w:t>
            </w:r>
          </w:p>
        </w:tc>
        <w:tc>
          <w:tcPr>
            <w:tcW w:w="1843" w:type="dxa"/>
          </w:tcPr>
          <w:p w:rsidR="00312941" w:rsidRPr="00312941" w:rsidRDefault="00312941" w:rsidP="00312941">
            <w:pPr>
              <w:pStyle w:val="StandaardSV"/>
              <w:rPr>
                <w:lang w:eastAsia="nl-BE"/>
              </w:rPr>
            </w:pPr>
            <w:r w:rsidRPr="00312941">
              <w:rPr>
                <w:lang w:eastAsia="nl-BE"/>
              </w:rPr>
              <w:t>92</w:t>
            </w:r>
          </w:p>
        </w:tc>
      </w:tr>
      <w:tr w:rsidR="00312941" w:rsidRPr="00312941" w:rsidTr="00312941">
        <w:tc>
          <w:tcPr>
            <w:tcW w:w="1842" w:type="dxa"/>
          </w:tcPr>
          <w:p w:rsidR="00312941" w:rsidRPr="00312941" w:rsidRDefault="00312941" w:rsidP="00312941">
            <w:pPr>
              <w:pStyle w:val="StandaardSV"/>
              <w:rPr>
                <w:lang w:eastAsia="nl-BE"/>
              </w:rPr>
            </w:pPr>
            <w:r w:rsidRPr="00312941">
              <w:rPr>
                <w:lang w:eastAsia="nl-BE"/>
              </w:rPr>
              <w:t>Inbreuken</w:t>
            </w:r>
          </w:p>
        </w:tc>
        <w:tc>
          <w:tcPr>
            <w:tcW w:w="1842" w:type="dxa"/>
          </w:tcPr>
          <w:p w:rsidR="00312941" w:rsidRPr="00312941" w:rsidRDefault="00325FC9" w:rsidP="00312941">
            <w:pPr>
              <w:pStyle w:val="StandaardSV"/>
              <w:rPr>
                <w:lang w:eastAsia="nl-BE"/>
              </w:rPr>
            </w:pPr>
            <w:r>
              <w:rPr>
                <w:lang w:eastAsia="nl-BE"/>
              </w:rPr>
              <w:t>60</w:t>
            </w:r>
          </w:p>
        </w:tc>
        <w:tc>
          <w:tcPr>
            <w:tcW w:w="1842" w:type="dxa"/>
          </w:tcPr>
          <w:p w:rsidR="00312941" w:rsidRPr="00312941" w:rsidRDefault="00312941" w:rsidP="00312941">
            <w:pPr>
              <w:pStyle w:val="StandaardSV"/>
              <w:rPr>
                <w:lang w:eastAsia="nl-BE"/>
              </w:rPr>
            </w:pPr>
            <w:r w:rsidRPr="00312941">
              <w:rPr>
                <w:lang w:eastAsia="nl-BE"/>
              </w:rPr>
              <w:t>70</w:t>
            </w:r>
          </w:p>
        </w:tc>
        <w:tc>
          <w:tcPr>
            <w:tcW w:w="1843" w:type="dxa"/>
          </w:tcPr>
          <w:p w:rsidR="00312941" w:rsidRPr="00312941" w:rsidRDefault="00312941" w:rsidP="00312941">
            <w:pPr>
              <w:pStyle w:val="StandaardSV"/>
              <w:rPr>
                <w:lang w:eastAsia="nl-BE"/>
              </w:rPr>
            </w:pPr>
            <w:r w:rsidRPr="00312941">
              <w:rPr>
                <w:lang w:eastAsia="nl-BE"/>
              </w:rPr>
              <w:t>71</w:t>
            </w:r>
          </w:p>
        </w:tc>
      </w:tr>
      <w:tr w:rsidR="00312941" w:rsidRPr="00312941" w:rsidTr="00312941">
        <w:tc>
          <w:tcPr>
            <w:tcW w:w="1842" w:type="dxa"/>
          </w:tcPr>
          <w:p w:rsidR="00312941" w:rsidRPr="00312941" w:rsidRDefault="00312941" w:rsidP="00312941">
            <w:pPr>
              <w:pStyle w:val="StandaardSV"/>
              <w:rPr>
                <w:lang w:eastAsia="nl-BE"/>
              </w:rPr>
            </w:pPr>
            <w:r w:rsidRPr="00312941">
              <w:rPr>
                <w:lang w:eastAsia="nl-BE"/>
              </w:rPr>
              <w:t>Klachten</w:t>
            </w:r>
          </w:p>
        </w:tc>
        <w:tc>
          <w:tcPr>
            <w:tcW w:w="1842" w:type="dxa"/>
          </w:tcPr>
          <w:p w:rsidR="00312941" w:rsidRPr="00312941" w:rsidRDefault="00312941" w:rsidP="00312941">
            <w:pPr>
              <w:pStyle w:val="StandaardSV"/>
              <w:rPr>
                <w:lang w:eastAsia="nl-BE"/>
              </w:rPr>
            </w:pPr>
            <w:r w:rsidRPr="00312941">
              <w:rPr>
                <w:lang w:eastAsia="nl-BE"/>
              </w:rPr>
              <w:t>9</w:t>
            </w:r>
          </w:p>
        </w:tc>
        <w:tc>
          <w:tcPr>
            <w:tcW w:w="1842" w:type="dxa"/>
          </w:tcPr>
          <w:p w:rsidR="00312941" w:rsidRPr="00312941" w:rsidRDefault="00312941" w:rsidP="00312941">
            <w:pPr>
              <w:pStyle w:val="StandaardSV"/>
              <w:rPr>
                <w:lang w:eastAsia="nl-BE"/>
              </w:rPr>
            </w:pPr>
            <w:r w:rsidRPr="00312941">
              <w:rPr>
                <w:lang w:eastAsia="nl-BE"/>
              </w:rPr>
              <w:t>1</w:t>
            </w:r>
          </w:p>
        </w:tc>
        <w:tc>
          <w:tcPr>
            <w:tcW w:w="1843" w:type="dxa"/>
          </w:tcPr>
          <w:p w:rsidR="00312941" w:rsidRPr="00312941" w:rsidRDefault="00312941" w:rsidP="00312941">
            <w:pPr>
              <w:pStyle w:val="StandaardSV"/>
              <w:rPr>
                <w:lang w:eastAsia="nl-BE"/>
              </w:rPr>
            </w:pPr>
            <w:r w:rsidRPr="00312941">
              <w:rPr>
                <w:lang w:eastAsia="nl-BE"/>
              </w:rPr>
              <w:t>7</w:t>
            </w:r>
          </w:p>
        </w:tc>
      </w:tr>
    </w:tbl>
    <w:p w:rsidR="00B65390" w:rsidRDefault="00B65390" w:rsidP="00B65390">
      <w:pPr>
        <w:pStyle w:val="StandaardSV"/>
        <w:rPr>
          <w:lang w:eastAsia="nl-BE"/>
        </w:rPr>
      </w:pPr>
    </w:p>
    <w:p w:rsidR="00680DB7" w:rsidRDefault="00B65390" w:rsidP="00443061">
      <w:pPr>
        <w:pStyle w:val="StandaardSV"/>
        <w:ind w:left="360"/>
        <w:rPr>
          <w:lang w:eastAsia="nl-BE"/>
        </w:rPr>
      </w:pPr>
      <w:r>
        <w:rPr>
          <w:lang w:eastAsia="nl-BE"/>
        </w:rPr>
        <w:t>Deze klachten behelzen alle aspecten van uitzendarbeid waarvoor Inspectie WSE bevoegd is.</w:t>
      </w:r>
      <w:r w:rsidR="00680DB7">
        <w:rPr>
          <w:lang w:eastAsia="nl-BE"/>
        </w:rPr>
        <w:t xml:space="preserve"> Daarbij wordt wel de opsplitsing gemaakt naar inbreukartikel binnen het geldende bemiddelingsdecreet (zie deelantwoord 2), maar niet naar concrete inhoud van elke individuele klacht (zoals b.v. het aspect jongeren). In de nieuwe applicatie “elektronisch inspectiedossier”, waarbinnen voortaan alle inspectiedossiers volledig digitaal worden geregistreerd, zal in de toekomst ook specifieker op geografische spreiding gerapporteerd kunnen worden. </w:t>
      </w:r>
    </w:p>
    <w:p w:rsidR="00B65390" w:rsidRDefault="00B65390" w:rsidP="00312941">
      <w:pPr>
        <w:pStyle w:val="StandaardSV"/>
        <w:rPr>
          <w:lang w:eastAsia="nl-BE"/>
        </w:rPr>
      </w:pPr>
    </w:p>
    <w:p w:rsidR="00066694" w:rsidRPr="00066694" w:rsidRDefault="00066694" w:rsidP="00443061">
      <w:pPr>
        <w:pStyle w:val="StandaardSV"/>
        <w:numPr>
          <w:ilvl w:val="0"/>
          <w:numId w:val="4"/>
        </w:numPr>
        <w:rPr>
          <w:lang w:val="nl-BE" w:eastAsia="nl-BE"/>
        </w:rPr>
      </w:pPr>
      <w:r>
        <w:rPr>
          <w:lang w:val="nl-BE" w:eastAsia="nl-BE"/>
        </w:rPr>
        <w:t xml:space="preserve">In onderstaande tabel wordt onderaan voor elk jaar aangegeven hoeveel </w:t>
      </w:r>
      <w:r w:rsidRPr="00066694">
        <w:rPr>
          <w:lang w:val="nl-BE" w:eastAsia="nl-BE"/>
        </w:rPr>
        <w:t xml:space="preserve">inbreuken </w:t>
      </w:r>
      <w:r>
        <w:rPr>
          <w:lang w:val="nl-BE" w:eastAsia="nl-BE"/>
        </w:rPr>
        <w:t xml:space="preserve">werden vastgesteld. </w:t>
      </w:r>
      <w:r w:rsidRPr="00066694">
        <w:rPr>
          <w:lang w:eastAsia="nl-BE"/>
        </w:rPr>
        <w:t xml:space="preserve">Deze </w:t>
      </w:r>
      <w:r>
        <w:rPr>
          <w:lang w:eastAsia="nl-BE"/>
        </w:rPr>
        <w:t>inbreuken</w:t>
      </w:r>
      <w:r w:rsidRPr="00066694">
        <w:rPr>
          <w:lang w:eastAsia="nl-BE"/>
        </w:rPr>
        <w:t xml:space="preserve"> behelzen </w:t>
      </w:r>
      <w:r w:rsidR="00B65390">
        <w:rPr>
          <w:lang w:eastAsia="nl-BE"/>
        </w:rPr>
        <w:t xml:space="preserve">opnieuw </w:t>
      </w:r>
      <w:r w:rsidRPr="00066694">
        <w:rPr>
          <w:lang w:eastAsia="nl-BE"/>
        </w:rPr>
        <w:t>alle aspecten van uitzendarbeid waarvoor Inspectie WSE bevoegd is.</w:t>
      </w:r>
      <w:r>
        <w:rPr>
          <w:lang w:eastAsia="nl-BE"/>
        </w:rPr>
        <w:t xml:space="preserve"> </w:t>
      </w:r>
      <w:r>
        <w:rPr>
          <w:lang w:val="nl-BE" w:eastAsia="nl-BE"/>
        </w:rPr>
        <w:t xml:space="preserve">Wij tonen evenwel enkele inbreukomschrijvingen die van toepassing </w:t>
      </w:r>
      <w:r w:rsidR="00B65390">
        <w:rPr>
          <w:lang w:val="nl-BE" w:eastAsia="nl-BE"/>
        </w:rPr>
        <w:t xml:space="preserve">kunnen </w:t>
      </w:r>
      <w:r>
        <w:rPr>
          <w:lang w:val="nl-BE" w:eastAsia="nl-BE"/>
        </w:rPr>
        <w:t>zijn op uw vraag</w:t>
      </w:r>
      <w:r w:rsidR="00325FC9">
        <w:rPr>
          <w:lang w:val="nl-BE" w:eastAsia="nl-BE"/>
        </w:rPr>
        <w:t>.</w:t>
      </w:r>
    </w:p>
    <w:p w:rsidR="00066694" w:rsidRPr="00066694" w:rsidRDefault="00066694" w:rsidP="00066694">
      <w:pPr>
        <w:pStyle w:val="StandaardSV"/>
        <w:rPr>
          <w:lang w:val="nl-BE" w:eastAsia="nl-BE"/>
        </w:rPr>
      </w:pPr>
    </w:p>
    <w:tbl>
      <w:tblPr>
        <w:tblW w:w="9226" w:type="dxa"/>
        <w:tblInd w:w="58" w:type="dxa"/>
        <w:tblBorders>
          <w:top w:val="single" w:sz="4" w:space="0" w:color="auto"/>
          <w:left w:val="single" w:sz="4" w:space="0" w:color="auto"/>
          <w:bottom w:val="single" w:sz="4" w:space="0" w:color="auto"/>
          <w:right w:val="single" w:sz="4" w:space="0" w:color="auto"/>
          <w:insideH w:val="dotted" w:sz="4" w:space="0" w:color="auto"/>
          <w:insideV w:val="single" w:sz="8" w:space="0" w:color="979991"/>
        </w:tblBorders>
        <w:tblCellMar>
          <w:left w:w="70" w:type="dxa"/>
          <w:right w:w="70" w:type="dxa"/>
        </w:tblCellMar>
        <w:tblLook w:val="04A0" w:firstRow="1" w:lastRow="0" w:firstColumn="1" w:lastColumn="0" w:noHBand="0" w:noVBand="1"/>
      </w:tblPr>
      <w:tblGrid>
        <w:gridCol w:w="6422"/>
        <w:gridCol w:w="961"/>
        <w:gridCol w:w="851"/>
        <w:gridCol w:w="992"/>
      </w:tblGrid>
      <w:tr w:rsidR="00066694" w:rsidRPr="00066694" w:rsidTr="00066694">
        <w:trPr>
          <w:trHeight w:val="216"/>
        </w:trPr>
        <w:tc>
          <w:tcPr>
            <w:tcW w:w="6422" w:type="dxa"/>
            <w:shd w:val="clear" w:color="auto" w:fill="95B3D7" w:themeFill="accent1" w:themeFillTint="99"/>
            <w:vAlign w:val="bottom"/>
            <w:hideMark/>
          </w:tcPr>
          <w:p w:rsidR="00066694" w:rsidRPr="00066694" w:rsidRDefault="00066694" w:rsidP="00066694">
            <w:pPr>
              <w:pStyle w:val="StandaardSV"/>
              <w:rPr>
                <w:b/>
                <w:lang w:val="nl-BE" w:eastAsia="nl-BE"/>
              </w:rPr>
            </w:pPr>
            <w:r w:rsidRPr="00066694">
              <w:rPr>
                <w:b/>
                <w:lang w:val="nl-BE" w:eastAsia="nl-BE"/>
              </w:rPr>
              <w:t>Inbreuk Omschrijving</w:t>
            </w:r>
          </w:p>
        </w:tc>
        <w:tc>
          <w:tcPr>
            <w:tcW w:w="961" w:type="dxa"/>
            <w:shd w:val="clear" w:color="auto" w:fill="95B3D7" w:themeFill="accent1" w:themeFillTint="99"/>
            <w:vAlign w:val="bottom"/>
            <w:hideMark/>
          </w:tcPr>
          <w:p w:rsidR="00066694" w:rsidRPr="00066694" w:rsidRDefault="00066694" w:rsidP="00066694">
            <w:pPr>
              <w:pStyle w:val="StandaardSV"/>
              <w:rPr>
                <w:b/>
                <w:lang w:val="nl-BE" w:eastAsia="nl-BE"/>
              </w:rPr>
            </w:pPr>
            <w:r w:rsidRPr="00066694">
              <w:rPr>
                <w:b/>
                <w:lang w:val="nl-BE" w:eastAsia="nl-BE"/>
              </w:rPr>
              <w:t>2009</w:t>
            </w:r>
          </w:p>
        </w:tc>
        <w:tc>
          <w:tcPr>
            <w:tcW w:w="851" w:type="dxa"/>
            <w:shd w:val="clear" w:color="auto" w:fill="95B3D7" w:themeFill="accent1" w:themeFillTint="99"/>
          </w:tcPr>
          <w:p w:rsidR="00066694" w:rsidRPr="00066694" w:rsidRDefault="00066694" w:rsidP="00066694">
            <w:pPr>
              <w:pStyle w:val="StandaardSV"/>
              <w:rPr>
                <w:b/>
                <w:lang w:val="nl-BE" w:eastAsia="nl-BE"/>
              </w:rPr>
            </w:pPr>
            <w:r w:rsidRPr="00066694">
              <w:rPr>
                <w:b/>
                <w:lang w:val="nl-BE" w:eastAsia="nl-BE"/>
              </w:rPr>
              <w:t>2010</w:t>
            </w:r>
          </w:p>
        </w:tc>
        <w:tc>
          <w:tcPr>
            <w:tcW w:w="992" w:type="dxa"/>
            <w:shd w:val="clear" w:color="auto" w:fill="95B3D7" w:themeFill="accent1" w:themeFillTint="99"/>
            <w:vAlign w:val="bottom"/>
            <w:hideMark/>
          </w:tcPr>
          <w:p w:rsidR="00066694" w:rsidRPr="00066694" w:rsidRDefault="00066694" w:rsidP="00066694">
            <w:pPr>
              <w:pStyle w:val="StandaardSV"/>
              <w:rPr>
                <w:b/>
                <w:lang w:val="nl-BE" w:eastAsia="nl-BE"/>
              </w:rPr>
            </w:pPr>
            <w:r w:rsidRPr="00066694">
              <w:rPr>
                <w:b/>
                <w:lang w:val="nl-BE" w:eastAsia="nl-BE"/>
              </w:rPr>
              <w:t>2011</w:t>
            </w:r>
          </w:p>
        </w:tc>
      </w:tr>
      <w:tr w:rsidR="00066694" w:rsidRPr="00066694" w:rsidTr="00066694">
        <w:trPr>
          <w:trHeight w:val="348"/>
        </w:trPr>
        <w:tc>
          <w:tcPr>
            <w:tcW w:w="6422" w:type="dxa"/>
            <w:shd w:val="clear" w:color="000000" w:fill="FFFFFF"/>
            <w:hideMark/>
          </w:tcPr>
          <w:p w:rsidR="00066694" w:rsidRPr="00066694" w:rsidRDefault="00066694" w:rsidP="00066694">
            <w:pPr>
              <w:pStyle w:val="StandaardSV"/>
              <w:rPr>
                <w:lang w:val="nl-BE" w:eastAsia="nl-BE"/>
              </w:rPr>
            </w:pPr>
            <w:r w:rsidRPr="00066694">
              <w:rPr>
                <w:lang w:val="nl-BE" w:eastAsia="nl-BE"/>
              </w:rPr>
              <w:t>het bureau is ertoe gehouden een document waarin de rechten en verplichtingen van de werknemer en de werkgever worden bepaald, te overhandigen aan de gegadigden of in extenso aan te plakken in de voor het publiek toegankelijke lokalen van het bureau op de plaats waar hij het best kan worden gelezen. De inhoud van die tekst wordt bepaald door de Vlaamse Regering, na het advies van de SERV.</w:t>
            </w:r>
          </w:p>
        </w:tc>
        <w:tc>
          <w:tcPr>
            <w:tcW w:w="961" w:type="dxa"/>
            <w:shd w:val="clear" w:color="auto" w:fill="DBE5F1" w:themeFill="accent1" w:themeFillTint="33"/>
            <w:hideMark/>
          </w:tcPr>
          <w:p w:rsidR="00066694" w:rsidRPr="00066694" w:rsidRDefault="00066694" w:rsidP="00066694">
            <w:pPr>
              <w:pStyle w:val="StandaardSV"/>
              <w:rPr>
                <w:b/>
                <w:lang w:val="en-US" w:eastAsia="nl-BE"/>
              </w:rPr>
            </w:pPr>
            <w:r w:rsidRPr="00066694">
              <w:rPr>
                <w:b/>
                <w:lang w:val="en-US" w:eastAsia="nl-BE"/>
              </w:rPr>
              <w:t>9</w:t>
            </w:r>
          </w:p>
        </w:tc>
        <w:tc>
          <w:tcPr>
            <w:tcW w:w="851" w:type="dxa"/>
            <w:shd w:val="clear" w:color="auto" w:fill="DBE5F1" w:themeFill="accent1" w:themeFillTint="33"/>
          </w:tcPr>
          <w:p w:rsidR="00066694" w:rsidRPr="00066694" w:rsidRDefault="00066694" w:rsidP="00066694">
            <w:pPr>
              <w:pStyle w:val="StandaardSV"/>
              <w:rPr>
                <w:b/>
                <w:lang w:val="nl-BE" w:eastAsia="nl-BE"/>
              </w:rPr>
            </w:pPr>
            <w:r w:rsidRPr="00066694">
              <w:rPr>
                <w:b/>
                <w:lang w:val="nl-BE" w:eastAsia="nl-BE"/>
              </w:rPr>
              <w:t>7</w:t>
            </w:r>
          </w:p>
        </w:tc>
        <w:tc>
          <w:tcPr>
            <w:tcW w:w="992" w:type="dxa"/>
            <w:shd w:val="clear" w:color="auto" w:fill="DBE5F1" w:themeFill="accent1" w:themeFillTint="33"/>
            <w:hideMark/>
          </w:tcPr>
          <w:p w:rsidR="00066694" w:rsidRPr="00066694" w:rsidRDefault="00066694" w:rsidP="00066694">
            <w:pPr>
              <w:pStyle w:val="StandaardSV"/>
              <w:rPr>
                <w:b/>
                <w:lang w:val="nl-BE" w:eastAsia="nl-BE"/>
              </w:rPr>
            </w:pPr>
            <w:r w:rsidRPr="00066694">
              <w:rPr>
                <w:b/>
                <w:lang w:val="nl-BE" w:eastAsia="nl-BE"/>
              </w:rPr>
              <w:t>8</w:t>
            </w:r>
          </w:p>
        </w:tc>
      </w:tr>
      <w:tr w:rsidR="00066694" w:rsidRPr="00066694" w:rsidTr="00066694">
        <w:trPr>
          <w:trHeight w:val="483"/>
        </w:trPr>
        <w:tc>
          <w:tcPr>
            <w:tcW w:w="6422" w:type="dxa"/>
            <w:shd w:val="clear" w:color="000000" w:fill="FFFFFF"/>
            <w:hideMark/>
          </w:tcPr>
          <w:p w:rsidR="00066694" w:rsidRPr="00066694" w:rsidRDefault="00066694" w:rsidP="00066694">
            <w:pPr>
              <w:pStyle w:val="StandaardSV"/>
              <w:rPr>
                <w:lang w:val="nl-BE" w:eastAsia="nl-BE"/>
              </w:rPr>
            </w:pPr>
            <w:r w:rsidRPr="00066694">
              <w:rPr>
                <w:lang w:val="nl-BE" w:eastAsia="nl-BE"/>
              </w:rPr>
              <w:t>het bureau behandelt de werknemer op een objectieve, respectvolle en niet-discriminerende wijze.</w:t>
            </w:r>
          </w:p>
        </w:tc>
        <w:tc>
          <w:tcPr>
            <w:tcW w:w="961" w:type="dxa"/>
            <w:shd w:val="clear" w:color="auto" w:fill="DBE5F1" w:themeFill="accent1" w:themeFillTint="33"/>
            <w:hideMark/>
          </w:tcPr>
          <w:p w:rsidR="00066694" w:rsidRPr="00066694" w:rsidRDefault="00066694" w:rsidP="00066694">
            <w:pPr>
              <w:pStyle w:val="StandaardSV"/>
              <w:rPr>
                <w:b/>
                <w:lang w:val="nl-BE" w:eastAsia="nl-BE"/>
              </w:rPr>
            </w:pPr>
          </w:p>
        </w:tc>
        <w:tc>
          <w:tcPr>
            <w:tcW w:w="851" w:type="dxa"/>
            <w:shd w:val="clear" w:color="auto" w:fill="DBE5F1" w:themeFill="accent1" w:themeFillTint="33"/>
          </w:tcPr>
          <w:p w:rsidR="00066694" w:rsidRPr="00066694" w:rsidRDefault="00066694" w:rsidP="00066694">
            <w:pPr>
              <w:pStyle w:val="StandaardSV"/>
              <w:rPr>
                <w:b/>
                <w:lang w:val="nl-BE" w:eastAsia="nl-BE"/>
              </w:rPr>
            </w:pPr>
            <w:r w:rsidRPr="00066694">
              <w:rPr>
                <w:b/>
                <w:lang w:val="nl-BE" w:eastAsia="nl-BE"/>
              </w:rPr>
              <w:t>1</w:t>
            </w:r>
          </w:p>
        </w:tc>
        <w:tc>
          <w:tcPr>
            <w:tcW w:w="992" w:type="dxa"/>
            <w:shd w:val="clear" w:color="auto" w:fill="DBE5F1" w:themeFill="accent1" w:themeFillTint="33"/>
            <w:hideMark/>
          </w:tcPr>
          <w:p w:rsidR="00066694" w:rsidRPr="00066694" w:rsidRDefault="00066694" w:rsidP="00066694">
            <w:pPr>
              <w:pStyle w:val="StandaardSV"/>
              <w:rPr>
                <w:b/>
                <w:lang w:val="nl-BE" w:eastAsia="nl-BE"/>
              </w:rPr>
            </w:pPr>
            <w:r w:rsidRPr="00066694">
              <w:rPr>
                <w:b/>
                <w:lang w:val="nl-BE" w:eastAsia="nl-BE"/>
              </w:rPr>
              <w:t>4</w:t>
            </w:r>
          </w:p>
        </w:tc>
      </w:tr>
      <w:tr w:rsidR="00066694" w:rsidRPr="00066694" w:rsidTr="00B65390">
        <w:trPr>
          <w:trHeight w:val="283"/>
        </w:trPr>
        <w:tc>
          <w:tcPr>
            <w:tcW w:w="6422" w:type="dxa"/>
            <w:shd w:val="clear" w:color="000000" w:fill="FFFFFF"/>
            <w:hideMark/>
          </w:tcPr>
          <w:p w:rsidR="00066694" w:rsidRPr="00066694" w:rsidRDefault="00066694" w:rsidP="00066694">
            <w:pPr>
              <w:pStyle w:val="StandaardSV"/>
              <w:rPr>
                <w:lang w:val="nl-BE" w:eastAsia="nl-BE"/>
              </w:rPr>
            </w:pPr>
            <w:r w:rsidRPr="00066694">
              <w:rPr>
                <w:lang w:val="nl-BE" w:eastAsia="nl-BE"/>
              </w:rPr>
              <w:t>het bureau eerbiedigt de persoonlijke levenssfeer van de werknemer en van de werkgever en verwerkt hun persoonsgegevens overeenkomstig de regelgeving inzake de bescherming van de persoonlijke levenssfeer.</w:t>
            </w:r>
          </w:p>
        </w:tc>
        <w:tc>
          <w:tcPr>
            <w:tcW w:w="961" w:type="dxa"/>
            <w:shd w:val="clear" w:color="auto" w:fill="DBE5F1" w:themeFill="accent1" w:themeFillTint="33"/>
            <w:hideMark/>
          </w:tcPr>
          <w:p w:rsidR="00066694" w:rsidRPr="00066694" w:rsidRDefault="00066694" w:rsidP="00066694">
            <w:pPr>
              <w:pStyle w:val="StandaardSV"/>
              <w:rPr>
                <w:b/>
                <w:lang w:val="nl-BE" w:eastAsia="nl-BE"/>
              </w:rPr>
            </w:pPr>
          </w:p>
        </w:tc>
        <w:tc>
          <w:tcPr>
            <w:tcW w:w="851" w:type="dxa"/>
            <w:shd w:val="clear" w:color="auto" w:fill="DBE5F1" w:themeFill="accent1" w:themeFillTint="33"/>
          </w:tcPr>
          <w:p w:rsidR="00066694" w:rsidRPr="00066694" w:rsidRDefault="00066694" w:rsidP="00066694">
            <w:pPr>
              <w:pStyle w:val="StandaardSV"/>
              <w:rPr>
                <w:b/>
                <w:lang w:val="nl-BE" w:eastAsia="nl-BE"/>
              </w:rPr>
            </w:pPr>
            <w:r w:rsidRPr="00066694">
              <w:rPr>
                <w:b/>
                <w:lang w:val="nl-BE" w:eastAsia="nl-BE"/>
              </w:rPr>
              <w:t>3</w:t>
            </w:r>
          </w:p>
        </w:tc>
        <w:tc>
          <w:tcPr>
            <w:tcW w:w="992" w:type="dxa"/>
            <w:shd w:val="clear" w:color="auto" w:fill="DBE5F1" w:themeFill="accent1" w:themeFillTint="33"/>
            <w:hideMark/>
          </w:tcPr>
          <w:p w:rsidR="00066694" w:rsidRPr="00066694" w:rsidRDefault="00066694" w:rsidP="00066694">
            <w:pPr>
              <w:pStyle w:val="StandaardSV"/>
              <w:rPr>
                <w:b/>
                <w:lang w:val="nl-BE" w:eastAsia="nl-BE"/>
              </w:rPr>
            </w:pPr>
            <w:r w:rsidRPr="00066694">
              <w:rPr>
                <w:b/>
                <w:lang w:val="nl-BE" w:eastAsia="nl-BE"/>
              </w:rPr>
              <w:t>4</w:t>
            </w:r>
          </w:p>
        </w:tc>
      </w:tr>
      <w:tr w:rsidR="00066694" w:rsidRPr="00066694" w:rsidTr="00066694">
        <w:trPr>
          <w:trHeight w:val="684"/>
        </w:trPr>
        <w:tc>
          <w:tcPr>
            <w:tcW w:w="6422" w:type="dxa"/>
            <w:shd w:val="clear" w:color="000000" w:fill="FFFFFF"/>
            <w:hideMark/>
          </w:tcPr>
          <w:p w:rsidR="00066694" w:rsidRPr="00066694" w:rsidRDefault="00066694" w:rsidP="00066694">
            <w:pPr>
              <w:pStyle w:val="StandaardSV"/>
              <w:rPr>
                <w:lang w:val="nl-BE" w:eastAsia="nl-BE"/>
              </w:rPr>
            </w:pPr>
            <w:r w:rsidRPr="00066694">
              <w:rPr>
                <w:lang w:val="nl-BE" w:eastAsia="nl-BE"/>
              </w:rPr>
              <w:lastRenderedPageBreak/>
              <w:t>het bureau oefent geen diensten uit waarvan het weet of behoorde te weten dat die leiden tot een tewerkstelling die strijdig is met de openbare orde of die een inbreuk inhouden op de sociale en fiscale wetgeving.</w:t>
            </w:r>
          </w:p>
        </w:tc>
        <w:tc>
          <w:tcPr>
            <w:tcW w:w="961" w:type="dxa"/>
            <w:shd w:val="clear" w:color="auto" w:fill="DBE5F1" w:themeFill="accent1" w:themeFillTint="33"/>
            <w:hideMark/>
          </w:tcPr>
          <w:p w:rsidR="00066694" w:rsidRPr="00066694" w:rsidRDefault="00066694" w:rsidP="00066694">
            <w:pPr>
              <w:pStyle w:val="StandaardSV"/>
              <w:rPr>
                <w:b/>
                <w:lang w:val="en-US" w:eastAsia="nl-BE"/>
              </w:rPr>
            </w:pPr>
            <w:r w:rsidRPr="00066694">
              <w:rPr>
                <w:b/>
                <w:lang w:val="en-US" w:eastAsia="nl-BE"/>
              </w:rPr>
              <w:t>1</w:t>
            </w:r>
          </w:p>
        </w:tc>
        <w:tc>
          <w:tcPr>
            <w:tcW w:w="851" w:type="dxa"/>
            <w:shd w:val="clear" w:color="auto" w:fill="DBE5F1" w:themeFill="accent1" w:themeFillTint="33"/>
          </w:tcPr>
          <w:p w:rsidR="00066694" w:rsidRPr="00066694" w:rsidRDefault="00066694" w:rsidP="00066694">
            <w:pPr>
              <w:pStyle w:val="StandaardSV"/>
              <w:rPr>
                <w:b/>
                <w:lang w:val="nl-BE" w:eastAsia="nl-BE"/>
              </w:rPr>
            </w:pPr>
            <w:r w:rsidRPr="00066694">
              <w:rPr>
                <w:b/>
                <w:lang w:val="nl-BE" w:eastAsia="nl-BE"/>
              </w:rPr>
              <w:t>16</w:t>
            </w:r>
          </w:p>
        </w:tc>
        <w:tc>
          <w:tcPr>
            <w:tcW w:w="992" w:type="dxa"/>
            <w:shd w:val="clear" w:color="auto" w:fill="DBE5F1" w:themeFill="accent1" w:themeFillTint="33"/>
            <w:hideMark/>
          </w:tcPr>
          <w:p w:rsidR="00066694" w:rsidRPr="00066694" w:rsidRDefault="00066694" w:rsidP="00066694">
            <w:pPr>
              <w:pStyle w:val="StandaardSV"/>
              <w:rPr>
                <w:b/>
                <w:lang w:val="nl-BE" w:eastAsia="nl-BE"/>
              </w:rPr>
            </w:pPr>
            <w:r w:rsidRPr="00066694">
              <w:rPr>
                <w:b/>
                <w:lang w:val="nl-BE" w:eastAsia="nl-BE"/>
              </w:rPr>
              <w:t>3</w:t>
            </w:r>
          </w:p>
        </w:tc>
      </w:tr>
      <w:tr w:rsidR="00066694" w:rsidRPr="00066694" w:rsidTr="00066694">
        <w:trPr>
          <w:trHeight w:val="516"/>
        </w:trPr>
        <w:tc>
          <w:tcPr>
            <w:tcW w:w="6422" w:type="dxa"/>
            <w:shd w:val="clear" w:color="000000" w:fill="FFFFFF"/>
          </w:tcPr>
          <w:p w:rsidR="00066694" w:rsidRPr="00066694" w:rsidRDefault="00066694" w:rsidP="00066694">
            <w:pPr>
              <w:pStyle w:val="StandaardSV"/>
              <w:rPr>
                <w:lang w:val="nl-BE" w:eastAsia="nl-BE"/>
              </w:rPr>
            </w:pPr>
            <w:r w:rsidRPr="00066694">
              <w:rPr>
                <w:lang w:val="nl-BE" w:eastAsia="nl-BE"/>
              </w:rPr>
              <w:t xml:space="preserve">het bureau oefent geen bemiddelingsdiensten uit voor vacatures waar geen </w:t>
            </w:r>
            <w:r w:rsidR="00B65390">
              <w:rPr>
                <w:lang w:val="nl-BE" w:eastAsia="nl-BE"/>
              </w:rPr>
              <w:t xml:space="preserve">reëel </w:t>
            </w:r>
            <w:proofErr w:type="spellStart"/>
            <w:r w:rsidR="00B65390">
              <w:rPr>
                <w:lang w:val="nl-BE" w:eastAsia="nl-BE"/>
              </w:rPr>
              <w:t>jobaanbod</w:t>
            </w:r>
            <w:proofErr w:type="spellEnd"/>
            <w:r w:rsidR="00B65390">
              <w:rPr>
                <w:lang w:val="nl-BE" w:eastAsia="nl-BE"/>
              </w:rPr>
              <w:t xml:space="preserve"> tegenover staat</w:t>
            </w:r>
          </w:p>
        </w:tc>
        <w:tc>
          <w:tcPr>
            <w:tcW w:w="961" w:type="dxa"/>
            <w:shd w:val="clear" w:color="auto" w:fill="DBE5F1" w:themeFill="accent1" w:themeFillTint="33"/>
          </w:tcPr>
          <w:p w:rsidR="00066694" w:rsidRPr="00066694" w:rsidRDefault="00066694" w:rsidP="00066694">
            <w:pPr>
              <w:pStyle w:val="StandaardSV"/>
              <w:rPr>
                <w:b/>
                <w:lang w:val="en-US" w:eastAsia="nl-BE"/>
              </w:rPr>
            </w:pPr>
            <w:r w:rsidRPr="00066694">
              <w:rPr>
                <w:b/>
                <w:lang w:val="en-US" w:eastAsia="nl-BE"/>
              </w:rPr>
              <w:t>2</w:t>
            </w:r>
          </w:p>
        </w:tc>
        <w:tc>
          <w:tcPr>
            <w:tcW w:w="851" w:type="dxa"/>
            <w:shd w:val="clear" w:color="auto" w:fill="DBE5F1" w:themeFill="accent1" w:themeFillTint="33"/>
          </w:tcPr>
          <w:p w:rsidR="00066694" w:rsidRPr="00066694" w:rsidRDefault="00066694" w:rsidP="00066694">
            <w:pPr>
              <w:pStyle w:val="StandaardSV"/>
              <w:rPr>
                <w:b/>
                <w:lang w:val="nl-BE" w:eastAsia="nl-BE"/>
              </w:rPr>
            </w:pPr>
            <w:r w:rsidRPr="00066694">
              <w:rPr>
                <w:b/>
                <w:lang w:val="nl-BE" w:eastAsia="nl-BE"/>
              </w:rPr>
              <w:t>4</w:t>
            </w:r>
          </w:p>
        </w:tc>
        <w:tc>
          <w:tcPr>
            <w:tcW w:w="992" w:type="dxa"/>
            <w:shd w:val="clear" w:color="auto" w:fill="DBE5F1" w:themeFill="accent1" w:themeFillTint="33"/>
          </w:tcPr>
          <w:p w:rsidR="00066694" w:rsidRPr="00066694" w:rsidRDefault="00066694" w:rsidP="00066694">
            <w:pPr>
              <w:pStyle w:val="StandaardSV"/>
              <w:rPr>
                <w:b/>
                <w:lang w:val="nl-BE" w:eastAsia="nl-BE"/>
              </w:rPr>
            </w:pPr>
          </w:p>
        </w:tc>
      </w:tr>
      <w:tr w:rsidR="00066694" w:rsidRPr="00066694" w:rsidTr="00066694">
        <w:trPr>
          <w:trHeight w:val="516"/>
        </w:trPr>
        <w:tc>
          <w:tcPr>
            <w:tcW w:w="6422" w:type="dxa"/>
            <w:tcBorders>
              <w:bottom w:val="single" w:sz="4" w:space="0" w:color="auto"/>
            </w:tcBorders>
            <w:shd w:val="clear" w:color="000000" w:fill="FFFFFF"/>
          </w:tcPr>
          <w:p w:rsidR="00066694" w:rsidRPr="00066694" w:rsidRDefault="00325FC9" w:rsidP="00066694">
            <w:pPr>
              <w:pStyle w:val="StandaardSV"/>
              <w:rPr>
                <w:lang w:val="nl-BE" w:eastAsia="nl-BE"/>
              </w:rPr>
            </w:pPr>
            <w:r>
              <w:rPr>
                <w:lang w:val="nl-BE" w:eastAsia="nl-BE"/>
              </w:rPr>
              <w:t>…</w:t>
            </w:r>
          </w:p>
        </w:tc>
        <w:tc>
          <w:tcPr>
            <w:tcW w:w="961" w:type="dxa"/>
            <w:tcBorders>
              <w:bottom w:val="single" w:sz="4" w:space="0" w:color="auto"/>
            </w:tcBorders>
            <w:shd w:val="clear" w:color="auto" w:fill="DBE5F1" w:themeFill="accent1" w:themeFillTint="33"/>
          </w:tcPr>
          <w:p w:rsidR="00066694" w:rsidRPr="00066694" w:rsidRDefault="00325FC9" w:rsidP="00066694">
            <w:pPr>
              <w:pStyle w:val="StandaardSV"/>
              <w:rPr>
                <w:b/>
                <w:lang w:val="en-US" w:eastAsia="nl-BE"/>
              </w:rPr>
            </w:pPr>
            <w:r>
              <w:rPr>
                <w:b/>
                <w:lang w:val="en-US" w:eastAsia="nl-BE"/>
              </w:rPr>
              <w:t>…</w:t>
            </w:r>
          </w:p>
        </w:tc>
        <w:tc>
          <w:tcPr>
            <w:tcW w:w="851" w:type="dxa"/>
            <w:tcBorders>
              <w:bottom w:val="single" w:sz="4" w:space="0" w:color="auto"/>
            </w:tcBorders>
            <w:shd w:val="clear" w:color="auto" w:fill="DBE5F1" w:themeFill="accent1" w:themeFillTint="33"/>
          </w:tcPr>
          <w:p w:rsidR="00066694" w:rsidRPr="00066694" w:rsidRDefault="00325FC9" w:rsidP="00066694">
            <w:pPr>
              <w:pStyle w:val="StandaardSV"/>
              <w:rPr>
                <w:b/>
                <w:lang w:val="nl-BE" w:eastAsia="nl-BE"/>
              </w:rPr>
            </w:pPr>
            <w:r>
              <w:rPr>
                <w:b/>
                <w:lang w:val="nl-BE" w:eastAsia="nl-BE"/>
              </w:rPr>
              <w:t>…</w:t>
            </w:r>
          </w:p>
        </w:tc>
        <w:tc>
          <w:tcPr>
            <w:tcW w:w="992" w:type="dxa"/>
            <w:tcBorders>
              <w:bottom w:val="single" w:sz="4" w:space="0" w:color="auto"/>
            </w:tcBorders>
            <w:shd w:val="clear" w:color="auto" w:fill="DBE5F1" w:themeFill="accent1" w:themeFillTint="33"/>
          </w:tcPr>
          <w:p w:rsidR="00066694" w:rsidRPr="00066694" w:rsidRDefault="00325FC9" w:rsidP="00066694">
            <w:pPr>
              <w:pStyle w:val="StandaardSV"/>
              <w:rPr>
                <w:b/>
                <w:lang w:val="nl-BE" w:eastAsia="nl-BE"/>
              </w:rPr>
            </w:pPr>
            <w:r>
              <w:rPr>
                <w:b/>
                <w:lang w:val="nl-BE" w:eastAsia="nl-BE"/>
              </w:rPr>
              <w:t>…</w:t>
            </w:r>
          </w:p>
        </w:tc>
      </w:tr>
      <w:tr w:rsidR="00066694" w:rsidRPr="00066694" w:rsidTr="00066694">
        <w:trPr>
          <w:trHeight w:val="516"/>
        </w:trPr>
        <w:tc>
          <w:tcPr>
            <w:tcW w:w="6422" w:type="dxa"/>
            <w:tcBorders>
              <w:top w:val="single" w:sz="4" w:space="0" w:color="auto"/>
            </w:tcBorders>
            <w:shd w:val="clear" w:color="auto" w:fill="B8CCE4" w:themeFill="accent1" w:themeFillTint="66"/>
          </w:tcPr>
          <w:p w:rsidR="00066694" w:rsidRPr="00066694" w:rsidRDefault="00066694" w:rsidP="00066694">
            <w:pPr>
              <w:pStyle w:val="StandaardSV"/>
              <w:rPr>
                <w:b/>
                <w:lang w:val="nl-BE" w:eastAsia="nl-BE"/>
              </w:rPr>
            </w:pPr>
            <w:r w:rsidRPr="00066694">
              <w:rPr>
                <w:b/>
                <w:lang w:val="nl-BE" w:eastAsia="nl-BE"/>
              </w:rPr>
              <w:t>Totaal</w:t>
            </w:r>
          </w:p>
        </w:tc>
        <w:tc>
          <w:tcPr>
            <w:tcW w:w="961" w:type="dxa"/>
            <w:tcBorders>
              <w:top w:val="single" w:sz="4" w:space="0" w:color="auto"/>
            </w:tcBorders>
            <w:shd w:val="clear" w:color="auto" w:fill="B8CCE4" w:themeFill="accent1" w:themeFillTint="66"/>
          </w:tcPr>
          <w:p w:rsidR="00066694" w:rsidRPr="00066694" w:rsidRDefault="00066694" w:rsidP="00066694">
            <w:pPr>
              <w:pStyle w:val="StandaardSV"/>
              <w:rPr>
                <w:b/>
                <w:lang w:val="en-US" w:eastAsia="nl-BE"/>
              </w:rPr>
            </w:pPr>
            <w:r w:rsidRPr="00066694">
              <w:rPr>
                <w:b/>
                <w:lang w:val="en-US" w:eastAsia="nl-BE"/>
              </w:rPr>
              <w:t>60</w:t>
            </w:r>
          </w:p>
        </w:tc>
        <w:tc>
          <w:tcPr>
            <w:tcW w:w="851" w:type="dxa"/>
            <w:tcBorders>
              <w:top w:val="single" w:sz="4" w:space="0" w:color="auto"/>
            </w:tcBorders>
            <w:shd w:val="clear" w:color="auto" w:fill="B8CCE4" w:themeFill="accent1" w:themeFillTint="66"/>
          </w:tcPr>
          <w:p w:rsidR="00066694" w:rsidRPr="00066694" w:rsidRDefault="00066694" w:rsidP="00066694">
            <w:pPr>
              <w:pStyle w:val="StandaardSV"/>
              <w:rPr>
                <w:b/>
                <w:lang w:val="nl-BE" w:eastAsia="nl-BE"/>
              </w:rPr>
            </w:pPr>
            <w:r w:rsidRPr="00066694">
              <w:rPr>
                <w:b/>
                <w:lang w:val="nl-BE" w:eastAsia="nl-BE"/>
              </w:rPr>
              <w:t>70</w:t>
            </w:r>
          </w:p>
        </w:tc>
        <w:tc>
          <w:tcPr>
            <w:tcW w:w="992" w:type="dxa"/>
            <w:tcBorders>
              <w:top w:val="single" w:sz="4" w:space="0" w:color="auto"/>
            </w:tcBorders>
            <w:shd w:val="clear" w:color="auto" w:fill="B8CCE4" w:themeFill="accent1" w:themeFillTint="66"/>
          </w:tcPr>
          <w:p w:rsidR="00066694" w:rsidRPr="00066694" w:rsidRDefault="00066694" w:rsidP="00066694">
            <w:pPr>
              <w:pStyle w:val="StandaardSV"/>
              <w:rPr>
                <w:b/>
                <w:lang w:val="nl-BE" w:eastAsia="nl-BE"/>
              </w:rPr>
            </w:pPr>
            <w:r w:rsidRPr="00066694">
              <w:rPr>
                <w:b/>
                <w:lang w:val="nl-BE" w:eastAsia="nl-BE"/>
              </w:rPr>
              <w:t>71</w:t>
            </w:r>
          </w:p>
        </w:tc>
      </w:tr>
    </w:tbl>
    <w:p w:rsidR="00325FC9" w:rsidRPr="00931CB2" w:rsidRDefault="00325FC9" w:rsidP="00246501">
      <w:pPr>
        <w:pStyle w:val="StandaardSV"/>
        <w:rPr>
          <w:lang w:val="nl-BE" w:eastAsia="nl-BE"/>
        </w:rPr>
      </w:pPr>
    </w:p>
    <w:p w:rsidR="006C4C77" w:rsidRDefault="00164AC4" w:rsidP="00443061">
      <w:pPr>
        <w:pStyle w:val="StandaardSV"/>
        <w:numPr>
          <w:ilvl w:val="0"/>
          <w:numId w:val="4"/>
        </w:numPr>
        <w:rPr>
          <w:lang w:val="nl-BE" w:eastAsia="nl-BE"/>
        </w:rPr>
      </w:pPr>
      <w:r>
        <w:rPr>
          <w:lang w:val="nl-BE" w:eastAsia="nl-BE"/>
        </w:rPr>
        <w:t xml:space="preserve">Zoals terug te vinden in het Jaarverslag </w:t>
      </w:r>
      <w:r w:rsidR="006C4C77" w:rsidRPr="006C4C77">
        <w:rPr>
          <w:lang w:val="nl-BE" w:eastAsia="nl-BE"/>
        </w:rPr>
        <w:t xml:space="preserve">Inspectie Werk en Sociale Economie </w:t>
      </w:r>
      <w:r>
        <w:rPr>
          <w:lang w:val="nl-BE" w:eastAsia="nl-BE"/>
        </w:rPr>
        <w:t xml:space="preserve">2011 (www.werk.be/inspectie), </w:t>
      </w:r>
      <w:r w:rsidR="006C4C77" w:rsidRPr="006C4C77">
        <w:rPr>
          <w:lang w:val="nl-BE" w:eastAsia="nl-BE"/>
        </w:rPr>
        <w:t>is</w:t>
      </w:r>
      <w:r>
        <w:rPr>
          <w:lang w:val="nl-BE" w:eastAsia="nl-BE"/>
        </w:rPr>
        <w:t xml:space="preserve"> de Inspectie WSE</w:t>
      </w:r>
      <w:r w:rsidR="006C4C77" w:rsidRPr="006C4C77">
        <w:rPr>
          <w:lang w:val="nl-BE" w:eastAsia="nl-BE"/>
        </w:rPr>
        <w:t xml:space="preserve"> als volgt georganiseerd:</w:t>
      </w:r>
    </w:p>
    <w:p w:rsidR="006C4C77" w:rsidRPr="006C4C77" w:rsidRDefault="006C4C77" w:rsidP="006C4C77">
      <w:pPr>
        <w:pStyle w:val="StandaardSV"/>
        <w:rPr>
          <w:lang w:val="nl-BE" w:eastAsia="nl-BE"/>
        </w:rPr>
      </w:pPr>
    </w:p>
    <w:p w:rsidR="006C4C77" w:rsidRPr="006C4C77" w:rsidRDefault="006C4C77" w:rsidP="006C4C77">
      <w:pPr>
        <w:pStyle w:val="StandaardSV"/>
        <w:numPr>
          <w:ilvl w:val="0"/>
          <w:numId w:val="2"/>
        </w:numPr>
        <w:rPr>
          <w:lang w:val="nl-BE" w:eastAsia="nl-BE"/>
        </w:rPr>
      </w:pPr>
      <w:r w:rsidRPr="006C4C77">
        <w:rPr>
          <w:lang w:val="nl-BE" w:eastAsia="nl-BE"/>
        </w:rPr>
        <w:t xml:space="preserve">een hoofdbestuur met zetel in Brussel </w:t>
      </w:r>
    </w:p>
    <w:p w:rsidR="006C4C77" w:rsidRDefault="006C4C77" w:rsidP="006C4C77">
      <w:pPr>
        <w:pStyle w:val="StandaardSV"/>
        <w:numPr>
          <w:ilvl w:val="0"/>
          <w:numId w:val="2"/>
        </w:numPr>
        <w:rPr>
          <w:lang w:val="nl-BE" w:eastAsia="nl-BE"/>
        </w:rPr>
      </w:pPr>
      <w:r w:rsidRPr="006C4C77">
        <w:rPr>
          <w:lang w:val="nl-BE" w:eastAsia="nl-BE"/>
        </w:rPr>
        <w:t xml:space="preserve">vijf provinciale teams gevestigd in Leuven (Vlaams-Brabant), Gent (Oost- Vlaanderen), Brugge (West-Vlaanderen), Antwerpen (Antwerpen) en Hasselt (Limburg). </w:t>
      </w:r>
    </w:p>
    <w:p w:rsidR="006C4C77" w:rsidRPr="006C4C77" w:rsidRDefault="006C4C77" w:rsidP="00B65390">
      <w:pPr>
        <w:pStyle w:val="StandaardSV"/>
        <w:ind w:left="708"/>
        <w:rPr>
          <w:lang w:val="nl-BE" w:eastAsia="nl-BE"/>
        </w:rPr>
      </w:pPr>
    </w:p>
    <w:p w:rsidR="006C4C77" w:rsidRDefault="006C4C77" w:rsidP="00443061">
      <w:pPr>
        <w:pStyle w:val="StandaardSV"/>
        <w:ind w:left="360"/>
        <w:rPr>
          <w:lang w:val="nl-BE" w:eastAsia="nl-BE"/>
        </w:rPr>
      </w:pPr>
      <w:r w:rsidRPr="006C4C77">
        <w:rPr>
          <w:lang w:val="nl-BE" w:eastAsia="nl-BE"/>
        </w:rPr>
        <w:t xml:space="preserve">De personeelsbezetting </w:t>
      </w:r>
      <w:r w:rsidR="001E36A3">
        <w:rPr>
          <w:lang w:val="nl-BE" w:eastAsia="nl-BE"/>
        </w:rPr>
        <w:t xml:space="preserve">van </w:t>
      </w:r>
      <w:r w:rsidR="001E36A3" w:rsidRPr="006C4C77">
        <w:rPr>
          <w:lang w:val="nl-BE" w:eastAsia="nl-BE"/>
        </w:rPr>
        <w:t xml:space="preserve">Inspectie Werk en Sociale Economie </w:t>
      </w:r>
      <w:r w:rsidR="001E36A3">
        <w:rPr>
          <w:lang w:val="nl-BE" w:eastAsia="nl-BE"/>
        </w:rPr>
        <w:t>zag</w:t>
      </w:r>
      <w:r w:rsidRPr="006C4C77">
        <w:rPr>
          <w:lang w:val="nl-BE" w:eastAsia="nl-BE"/>
        </w:rPr>
        <w:t xml:space="preserve"> er als volgt uit</w:t>
      </w:r>
      <w:r w:rsidR="001E36A3" w:rsidRPr="001E36A3">
        <w:rPr>
          <w:lang w:val="nl-BE" w:eastAsia="nl-BE"/>
        </w:rPr>
        <w:t xml:space="preserve"> </w:t>
      </w:r>
      <w:r w:rsidR="001E36A3" w:rsidRPr="006C4C77">
        <w:rPr>
          <w:lang w:val="nl-BE" w:eastAsia="nl-BE"/>
        </w:rPr>
        <w:t>op 31.12.2011</w:t>
      </w:r>
      <w:r w:rsidR="00443061">
        <w:rPr>
          <w:lang w:val="nl-BE" w:eastAsia="nl-BE"/>
        </w:rPr>
        <w:t>:</w:t>
      </w:r>
    </w:p>
    <w:p w:rsidR="003551F3" w:rsidRPr="006C4C77" w:rsidRDefault="003551F3" w:rsidP="006C4C77">
      <w:pPr>
        <w:pStyle w:val="StandaardSV"/>
        <w:rPr>
          <w:lang w:val="nl-BE" w:eastAsia="nl-BE"/>
        </w:rPr>
      </w:pPr>
      <w:bookmarkStart w:id="0" w:name="_Toc226163988"/>
      <w:bookmarkStart w:id="1" w:name="_Toc227981555"/>
    </w:p>
    <w:tbl>
      <w:tblPr>
        <w:tblW w:w="3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047"/>
        <w:gridCol w:w="1634"/>
        <w:gridCol w:w="1493"/>
        <w:gridCol w:w="1218"/>
      </w:tblGrid>
      <w:tr w:rsidR="006C4C77" w:rsidRPr="006C4C77" w:rsidTr="006C4C77">
        <w:trPr>
          <w:jc w:val="center"/>
        </w:trPr>
        <w:tc>
          <w:tcPr>
            <w:tcW w:w="889" w:type="pct"/>
            <w:shd w:val="clear" w:color="auto" w:fill="auto"/>
          </w:tcPr>
          <w:bookmarkEnd w:id="0"/>
          <w:bookmarkEnd w:id="1"/>
          <w:p w:rsidR="006C4C77" w:rsidRPr="006C4C77" w:rsidRDefault="006C4C77" w:rsidP="006C4C77">
            <w:pPr>
              <w:pStyle w:val="StandaardSV"/>
              <w:rPr>
                <w:lang w:val="nl-BE" w:eastAsia="nl-BE"/>
              </w:rPr>
            </w:pPr>
            <w:r w:rsidRPr="006C4C77">
              <w:rPr>
                <w:lang w:val="nl-BE" w:eastAsia="nl-BE"/>
              </w:rPr>
              <w:t>Afdelingshoofd</w:t>
            </w:r>
          </w:p>
        </w:tc>
        <w:tc>
          <w:tcPr>
            <w:tcW w:w="616" w:type="pct"/>
            <w:shd w:val="clear" w:color="auto" w:fill="auto"/>
          </w:tcPr>
          <w:p w:rsidR="006C4C77" w:rsidRPr="006C4C77" w:rsidRDefault="006C4C77" w:rsidP="006C4C77">
            <w:pPr>
              <w:pStyle w:val="StandaardSV"/>
              <w:rPr>
                <w:lang w:val="nl-BE" w:eastAsia="nl-BE"/>
              </w:rPr>
            </w:pPr>
            <w:r w:rsidRPr="006C4C77">
              <w:rPr>
                <w:lang w:val="nl-BE" w:eastAsia="nl-BE"/>
              </w:rPr>
              <w:t>Stafleden</w:t>
            </w:r>
          </w:p>
        </w:tc>
        <w:tc>
          <w:tcPr>
            <w:tcW w:w="1280" w:type="pct"/>
            <w:shd w:val="clear" w:color="auto" w:fill="auto"/>
          </w:tcPr>
          <w:p w:rsidR="006C4C77" w:rsidRPr="006C4C77" w:rsidRDefault="006C4C77" w:rsidP="006C4C77">
            <w:pPr>
              <w:pStyle w:val="StandaardSV"/>
              <w:rPr>
                <w:lang w:val="nl-BE" w:eastAsia="nl-BE"/>
              </w:rPr>
            </w:pPr>
            <w:r w:rsidRPr="006C4C77">
              <w:rPr>
                <w:lang w:val="nl-BE" w:eastAsia="nl-BE"/>
              </w:rPr>
              <w:t>Team Secretariaat &amp; Administratieve Ondersteuning</w:t>
            </w:r>
          </w:p>
        </w:tc>
        <w:tc>
          <w:tcPr>
            <w:tcW w:w="1208" w:type="pct"/>
            <w:shd w:val="clear" w:color="auto" w:fill="auto"/>
          </w:tcPr>
          <w:p w:rsidR="006C4C77" w:rsidRPr="006C4C77" w:rsidRDefault="006C4C77" w:rsidP="006C4C77">
            <w:pPr>
              <w:pStyle w:val="StandaardSV"/>
              <w:rPr>
                <w:lang w:val="nl-BE" w:eastAsia="nl-BE"/>
              </w:rPr>
            </w:pPr>
            <w:r w:rsidRPr="006C4C77">
              <w:rPr>
                <w:lang w:val="nl-BE" w:eastAsia="nl-BE"/>
              </w:rPr>
              <w:t>Team-coördinatoren, tevens inspecteur</w:t>
            </w:r>
          </w:p>
        </w:tc>
        <w:tc>
          <w:tcPr>
            <w:tcW w:w="1007" w:type="pct"/>
            <w:shd w:val="clear" w:color="auto" w:fill="auto"/>
          </w:tcPr>
          <w:p w:rsidR="006C4C77" w:rsidRPr="006C4C77" w:rsidRDefault="006C4C77" w:rsidP="006C4C77">
            <w:pPr>
              <w:pStyle w:val="StandaardSV"/>
              <w:rPr>
                <w:lang w:val="nl-BE" w:eastAsia="nl-BE"/>
              </w:rPr>
            </w:pPr>
            <w:r w:rsidRPr="006C4C77">
              <w:rPr>
                <w:lang w:val="nl-BE" w:eastAsia="nl-BE"/>
              </w:rPr>
              <w:t>Inspecteurs</w:t>
            </w:r>
          </w:p>
        </w:tc>
      </w:tr>
      <w:tr w:rsidR="006C4C77" w:rsidRPr="006C4C77" w:rsidTr="006C4C77">
        <w:trPr>
          <w:jc w:val="center"/>
        </w:trPr>
        <w:tc>
          <w:tcPr>
            <w:tcW w:w="889" w:type="pct"/>
            <w:shd w:val="clear" w:color="auto" w:fill="auto"/>
          </w:tcPr>
          <w:p w:rsidR="006C4C77" w:rsidRPr="006C4C77" w:rsidRDefault="006C4C77" w:rsidP="006C4C77">
            <w:pPr>
              <w:pStyle w:val="StandaardSV"/>
              <w:rPr>
                <w:lang w:val="nl-BE" w:eastAsia="nl-BE"/>
              </w:rPr>
            </w:pPr>
            <w:r w:rsidRPr="006C4C77">
              <w:rPr>
                <w:lang w:val="nl-BE" w:eastAsia="nl-BE"/>
              </w:rPr>
              <w:t>1</w:t>
            </w:r>
          </w:p>
        </w:tc>
        <w:tc>
          <w:tcPr>
            <w:tcW w:w="616" w:type="pct"/>
            <w:shd w:val="clear" w:color="auto" w:fill="auto"/>
          </w:tcPr>
          <w:p w:rsidR="006C4C77" w:rsidRPr="006C4C77" w:rsidRDefault="006C4C77" w:rsidP="006C4C77">
            <w:pPr>
              <w:pStyle w:val="StandaardSV"/>
              <w:rPr>
                <w:lang w:val="nl-BE" w:eastAsia="nl-BE"/>
              </w:rPr>
            </w:pPr>
            <w:r w:rsidRPr="006C4C77">
              <w:rPr>
                <w:lang w:val="nl-BE" w:eastAsia="nl-BE"/>
              </w:rPr>
              <w:t>2</w:t>
            </w:r>
          </w:p>
        </w:tc>
        <w:tc>
          <w:tcPr>
            <w:tcW w:w="1280" w:type="pct"/>
            <w:shd w:val="clear" w:color="auto" w:fill="auto"/>
          </w:tcPr>
          <w:p w:rsidR="006C4C77" w:rsidRPr="006C4C77" w:rsidRDefault="006C4C77" w:rsidP="006C4C77">
            <w:pPr>
              <w:pStyle w:val="StandaardSV"/>
              <w:rPr>
                <w:lang w:val="nl-BE" w:eastAsia="nl-BE"/>
              </w:rPr>
            </w:pPr>
            <w:r w:rsidRPr="006C4C77">
              <w:rPr>
                <w:lang w:val="nl-BE" w:eastAsia="nl-BE"/>
              </w:rPr>
              <w:t>6</w:t>
            </w:r>
          </w:p>
        </w:tc>
        <w:tc>
          <w:tcPr>
            <w:tcW w:w="1208" w:type="pct"/>
            <w:shd w:val="clear" w:color="auto" w:fill="auto"/>
          </w:tcPr>
          <w:p w:rsidR="006C4C77" w:rsidRPr="006C4C77" w:rsidRDefault="006C4C77" w:rsidP="006C4C77">
            <w:pPr>
              <w:pStyle w:val="StandaardSV"/>
              <w:rPr>
                <w:lang w:val="nl-BE" w:eastAsia="nl-BE"/>
              </w:rPr>
            </w:pPr>
            <w:r w:rsidRPr="006C4C77">
              <w:rPr>
                <w:lang w:val="nl-BE" w:eastAsia="nl-BE"/>
              </w:rPr>
              <w:t>5</w:t>
            </w:r>
          </w:p>
        </w:tc>
        <w:tc>
          <w:tcPr>
            <w:tcW w:w="1007" w:type="pct"/>
            <w:shd w:val="clear" w:color="auto" w:fill="auto"/>
          </w:tcPr>
          <w:p w:rsidR="006C4C77" w:rsidRPr="006C4C77" w:rsidRDefault="006C4C77" w:rsidP="006C4C77">
            <w:pPr>
              <w:pStyle w:val="StandaardSV"/>
              <w:rPr>
                <w:lang w:val="nl-BE" w:eastAsia="nl-BE"/>
              </w:rPr>
            </w:pPr>
            <w:r w:rsidRPr="006C4C77">
              <w:rPr>
                <w:lang w:val="nl-BE" w:eastAsia="nl-BE"/>
              </w:rPr>
              <w:t>26</w:t>
            </w:r>
          </w:p>
        </w:tc>
      </w:tr>
    </w:tbl>
    <w:p w:rsidR="00325FC9" w:rsidRPr="00931CB2" w:rsidRDefault="00325FC9" w:rsidP="00325FC9">
      <w:pPr>
        <w:pStyle w:val="StandaardSV"/>
        <w:rPr>
          <w:lang w:val="nl-BE" w:eastAsia="nl-BE"/>
        </w:rPr>
      </w:pPr>
    </w:p>
    <w:p w:rsidR="001E36A3" w:rsidRPr="00D60545" w:rsidRDefault="001E36A3" w:rsidP="00443061">
      <w:pPr>
        <w:ind w:left="360"/>
        <w:jc w:val="both"/>
        <w:rPr>
          <w:sz w:val="22"/>
          <w:szCs w:val="22"/>
          <w:lang w:val="nl-BE"/>
        </w:rPr>
      </w:pPr>
      <w:r w:rsidRPr="00D60545">
        <w:rPr>
          <w:sz w:val="22"/>
          <w:szCs w:val="22"/>
          <w:lang w:val="nl-BE"/>
        </w:rPr>
        <w:t xml:space="preserve">De verdeling van </w:t>
      </w:r>
      <w:r w:rsidR="00EA05C7">
        <w:rPr>
          <w:sz w:val="22"/>
          <w:szCs w:val="22"/>
          <w:lang w:val="nl-BE"/>
        </w:rPr>
        <w:t>de</w:t>
      </w:r>
      <w:r w:rsidR="003551F3" w:rsidRPr="00D60545">
        <w:rPr>
          <w:sz w:val="22"/>
          <w:szCs w:val="22"/>
          <w:lang w:val="nl-BE"/>
        </w:rPr>
        <w:t xml:space="preserve"> beschikba</w:t>
      </w:r>
      <w:r w:rsidR="00EA05C7">
        <w:rPr>
          <w:sz w:val="22"/>
          <w:szCs w:val="22"/>
          <w:lang w:val="nl-BE"/>
        </w:rPr>
        <w:t>re</w:t>
      </w:r>
      <w:r w:rsidR="003551F3" w:rsidRPr="00D60545">
        <w:rPr>
          <w:sz w:val="22"/>
          <w:szCs w:val="22"/>
          <w:lang w:val="nl-BE"/>
        </w:rPr>
        <w:t xml:space="preserve"> VTE</w:t>
      </w:r>
      <w:r w:rsidRPr="00D60545">
        <w:rPr>
          <w:sz w:val="22"/>
          <w:szCs w:val="22"/>
          <w:lang w:val="nl-BE"/>
        </w:rPr>
        <w:t xml:space="preserve"> </w:t>
      </w:r>
      <w:r w:rsidR="003551F3" w:rsidRPr="00D60545">
        <w:rPr>
          <w:sz w:val="22"/>
          <w:szCs w:val="22"/>
          <w:lang w:val="nl-BE"/>
        </w:rPr>
        <w:t>inspecteur</w:t>
      </w:r>
      <w:r w:rsidRPr="00D60545">
        <w:rPr>
          <w:sz w:val="22"/>
          <w:szCs w:val="22"/>
          <w:lang w:val="nl-BE"/>
        </w:rPr>
        <w:t xml:space="preserve"> over de verschillende provinciale teams </w:t>
      </w:r>
      <w:r w:rsidR="003551F3" w:rsidRPr="00D60545">
        <w:rPr>
          <w:sz w:val="22"/>
          <w:szCs w:val="22"/>
          <w:lang w:val="nl-BE"/>
        </w:rPr>
        <w:t>zag er op 31.12.2011</w:t>
      </w:r>
      <w:r w:rsidRPr="00D60545">
        <w:rPr>
          <w:sz w:val="22"/>
          <w:szCs w:val="22"/>
          <w:lang w:val="nl-BE"/>
        </w:rPr>
        <w:t xml:space="preserve"> als volgt uit:</w:t>
      </w:r>
    </w:p>
    <w:p w:rsidR="001E36A3" w:rsidRPr="00D60545" w:rsidRDefault="001E36A3" w:rsidP="001E36A3">
      <w:pPr>
        <w:rPr>
          <w:sz w:val="22"/>
          <w:szCs w:val="22"/>
          <w:lang w:val="nl-BE"/>
        </w:rPr>
      </w:pPr>
    </w:p>
    <w:p w:rsidR="001E36A3" w:rsidRPr="00D60545" w:rsidRDefault="001E36A3" w:rsidP="001E36A3">
      <w:pPr>
        <w:pStyle w:val="Lijstalinea"/>
        <w:numPr>
          <w:ilvl w:val="0"/>
          <w:numId w:val="3"/>
        </w:numPr>
        <w:rPr>
          <w:sz w:val="22"/>
          <w:szCs w:val="22"/>
          <w:lang w:val="nl-BE"/>
        </w:rPr>
      </w:pPr>
      <w:r w:rsidRPr="00D60545">
        <w:rPr>
          <w:sz w:val="22"/>
          <w:szCs w:val="22"/>
          <w:lang w:val="nl-BE"/>
        </w:rPr>
        <w:t xml:space="preserve">Leuven (Vlaams-Brabant): </w:t>
      </w:r>
      <w:r w:rsidR="003551F3" w:rsidRPr="00D60545">
        <w:rPr>
          <w:sz w:val="22"/>
          <w:szCs w:val="22"/>
          <w:lang w:val="nl-BE"/>
        </w:rPr>
        <w:t>3,63</w:t>
      </w:r>
      <w:r w:rsidRPr="00D60545">
        <w:rPr>
          <w:sz w:val="22"/>
          <w:szCs w:val="22"/>
          <w:lang w:val="nl-BE"/>
        </w:rPr>
        <w:t xml:space="preserve"> VTE</w:t>
      </w:r>
    </w:p>
    <w:p w:rsidR="001E36A3" w:rsidRPr="00D60545" w:rsidRDefault="001E36A3" w:rsidP="001E36A3">
      <w:pPr>
        <w:pStyle w:val="Lijstalinea"/>
        <w:numPr>
          <w:ilvl w:val="0"/>
          <w:numId w:val="3"/>
        </w:numPr>
        <w:rPr>
          <w:sz w:val="22"/>
          <w:szCs w:val="22"/>
          <w:lang w:val="nl-BE"/>
        </w:rPr>
      </w:pPr>
      <w:r w:rsidRPr="00D60545">
        <w:rPr>
          <w:sz w:val="22"/>
          <w:szCs w:val="22"/>
          <w:lang w:val="nl-BE"/>
        </w:rPr>
        <w:t xml:space="preserve">Gent (Oost- Vlaanderen): </w:t>
      </w:r>
      <w:r w:rsidR="003551F3" w:rsidRPr="00D60545">
        <w:rPr>
          <w:sz w:val="22"/>
          <w:szCs w:val="22"/>
          <w:lang w:val="nl-BE"/>
        </w:rPr>
        <w:t>6,18</w:t>
      </w:r>
      <w:r w:rsidRPr="00D60545">
        <w:rPr>
          <w:sz w:val="22"/>
          <w:szCs w:val="22"/>
          <w:lang w:val="nl-BE"/>
        </w:rPr>
        <w:t xml:space="preserve"> VTE</w:t>
      </w:r>
    </w:p>
    <w:p w:rsidR="001E36A3" w:rsidRPr="00D60545" w:rsidRDefault="001E36A3" w:rsidP="001E36A3">
      <w:pPr>
        <w:pStyle w:val="Lijstalinea"/>
        <w:numPr>
          <w:ilvl w:val="0"/>
          <w:numId w:val="3"/>
        </w:numPr>
        <w:rPr>
          <w:sz w:val="22"/>
          <w:szCs w:val="22"/>
          <w:lang w:val="nl-BE"/>
        </w:rPr>
      </w:pPr>
      <w:r w:rsidRPr="00D60545">
        <w:rPr>
          <w:sz w:val="22"/>
          <w:szCs w:val="22"/>
          <w:lang w:val="nl-BE"/>
        </w:rPr>
        <w:t xml:space="preserve">Brugge (West-Vlaanderen): </w:t>
      </w:r>
      <w:r w:rsidR="003551F3" w:rsidRPr="00D60545">
        <w:rPr>
          <w:sz w:val="22"/>
          <w:szCs w:val="22"/>
          <w:lang w:val="nl-BE"/>
        </w:rPr>
        <w:t>3,89</w:t>
      </w:r>
      <w:r w:rsidRPr="00D60545">
        <w:rPr>
          <w:sz w:val="22"/>
          <w:szCs w:val="22"/>
          <w:lang w:val="nl-BE"/>
        </w:rPr>
        <w:t xml:space="preserve"> VTE</w:t>
      </w:r>
    </w:p>
    <w:p w:rsidR="001E36A3" w:rsidRPr="00D60545" w:rsidRDefault="001E36A3" w:rsidP="001E36A3">
      <w:pPr>
        <w:pStyle w:val="Lijstalinea"/>
        <w:numPr>
          <w:ilvl w:val="0"/>
          <w:numId w:val="3"/>
        </w:numPr>
        <w:rPr>
          <w:sz w:val="22"/>
          <w:szCs w:val="22"/>
          <w:lang w:val="nl-BE"/>
        </w:rPr>
      </w:pPr>
      <w:r w:rsidRPr="00D60545">
        <w:rPr>
          <w:sz w:val="22"/>
          <w:szCs w:val="22"/>
          <w:lang w:val="nl-BE"/>
        </w:rPr>
        <w:t>Antwerpen (Antwerpen): 6,</w:t>
      </w:r>
      <w:r w:rsidR="003551F3" w:rsidRPr="00D60545">
        <w:rPr>
          <w:sz w:val="22"/>
          <w:szCs w:val="22"/>
          <w:lang w:val="nl-BE"/>
        </w:rPr>
        <w:t>25</w:t>
      </w:r>
      <w:r w:rsidRPr="00D60545">
        <w:rPr>
          <w:sz w:val="22"/>
          <w:szCs w:val="22"/>
          <w:lang w:val="nl-BE"/>
        </w:rPr>
        <w:t xml:space="preserve"> VTE</w:t>
      </w:r>
    </w:p>
    <w:p w:rsidR="001E36A3" w:rsidRPr="00D60545" w:rsidRDefault="001E36A3" w:rsidP="001E36A3">
      <w:pPr>
        <w:pStyle w:val="Lijstalinea"/>
        <w:numPr>
          <w:ilvl w:val="0"/>
          <w:numId w:val="3"/>
        </w:numPr>
        <w:rPr>
          <w:sz w:val="22"/>
          <w:szCs w:val="22"/>
          <w:lang w:val="nl-BE"/>
        </w:rPr>
      </w:pPr>
      <w:r w:rsidRPr="00D60545">
        <w:rPr>
          <w:sz w:val="22"/>
          <w:szCs w:val="22"/>
          <w:lang w:val="nl-BE"/>
        </w:rPr>
        <w:t>Hasselt (Limburg): 6,</w:t>
      </w:r>
      <w:r w:rsidR="003551F3" w:rsidRPr="00D60545">
        <w:rPr>
          <w:sz w:val="22"/>
          <w:szCs w:val="22"/>
          <w:lang w:val="nl-BE"/>
        </w:rPr>
        <w:t>05</w:t>
      </w:r>
      <w:r w:rsidRPr="00D60545">
        <w:rPr>
          <w:sz w:val="22"/>
          <w:szCs w:val="22"/>
          <w:lang w:val="nl-BE"/>
        </w:rPr>
        <w:t xml:space="preserve"> VTE</w:t>
      </w:r>
    </w:p>
    <w:p w:rsidR="004F52BF" w:rsidRPr="00D60545" w:rsidRDefault="004F52BF">
      <w:pPr>
        <w:rPr>
          <w:sz w:val="22"/>
          <w:szCs w:val="22"/>
          <w:lang w:val="nl-BE"/>
        </w:rPr>
      </w:pPr>
    </w:p>
    <w:p w:rsidR="00164AC4" w:rsidRPr="00D60545" w:rsidRDefault="00164AC4" w:rsidP="00443061">
      <w:pPr>
        <w:ind w:left="360"/>
        <w:jc w:val="both"/>
        <w:rPr>
          <w:sz w:val="22"/>
          <w:szCs w:val="22"/>
          <w:lang w:val="nl-BE"/>
        </w:rPr>
      </w:pPr>
      <w:r w:rsidRPr="00D60545">
        <w:rPr>
          <w:sz w:val="22"/>
          <w:szCs w:val="22"/>
          <w:lang w:val="nl-BE"/>
        </w:rPr>
        <w:t>Ten opzichte van begin 2</w:t>
      </w:r>
      <w:bookmarkStart w:id="2" w:name="_GoBack"/>
      <w:bookmarkEnd w:id="2"/>
      <w:r w:rsidRPr="00D60545">
        <w:rPr>
          <w:sz w:val="22"/>
          <w:szCs w:val="22"/>
          <w:lang w:val="nl-BE"/>
        </w:rPr>
        <w:t xml:space="preserve">006 is het aantal </w:t>
      </w:r>
      <w:r w:rsidR="00D60545">
        <w:rPr>
          <w:sz w:val="22"/>
          <w:szCs w:val="22"/>
          <w:lang w:val="nl-BE"/>
        </w:rPr>
        <w:t>VTE inspecteurs quasi verdubbeld</w:t>
      </w:r>
      <w:r w:rsidRPr="00D60545">
        <w:rPr>
          <w:sz w:val="22"/>
          <w:szCs w:val="22"/>
          <w:lang w:val="nl-BE"/>
        </w:rPr>
        <w:t xml:space="preserve">, </w:t>
      </w:r>
      <w:r w:rsidR="00EA05C7">
        <w:rPr>
          <w:sz w:val="22"/>
          <w:szCs w:val="22"/>
          <w:lang w:val="nl-BE"/>
        </w:rPr>
        <w:t>maar</w:t>
      </w:r>
      <w:r w:rsidRPr="00D60545">
        <w:rPr>
          <w:sz w:val="22"/>
          <w:szCs w:val="22"/>
          <w:lang w:val="nl-BE"/>
        </w:rPr>
        <w:t xml:space="preserve"> gezien de budgettaire context is een verdere stijging van het aantal VTE op heden niet mogelijk.</w:t>
      </w:r>
    </w:p>
    <w:sectPr w:rsidR="00164AC4" w:rsidRPr="00D60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1879"/>
    <w:multiLevelType w:val="hybridMultilevel"/>
    <w:tmpl w:val="B52A8B1C"/>
    <w:lvl w:ilvl="0" w:tplc="DE142E0C">
      <w:numFmt w:val="bullet"/>
      <w:lvlText w:val="-"/>
      <w:lvlJc w:val="left"/>
      <w:pPr>
        <w:tabs>
          <w:tab w:val="num" w:pos="720"/>
        </w:tabs>
        <w:ind w:left="720" w:hanging="360"/>
      </w:pPr>
      <w:rPr>
        <w:rFonts w:ascii="Garamond" w:eastAsia="Times New Roman" w:hAnsi="Garamond" w:cs="TrebuchetMS"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
    <w:nsid w:val="21C40C00"/>
    <w:multiLevelType w:val="hybridMultilevel"/>
    <w:tmpl w:val="7E667B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D112BCC"/>
    <w:multiLevelType w:val="hybridMultilevel"/>
    <w:tmpl w:val="E6501F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1607206"/>
    <w:multiLevelType w:val="hybridMultilevel"/>
    <w:tmpl w:val="9DE622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01"/>
    <w:rsid w:val="00066694"/>
    <w:rsid w:val="00164AC4"/>
    <w:rsid w:val="001E36A3"/>
    <w:rsid w:val="00246501"/>
    <w:rsid w:val="00312941"/>
    <w:rsid w:val="00325FC9"/>
    <w:rsid w:val="003551F3"/>
    <w:rsid w:val="003618D9"/>
    <w:rsid w:val="00396929"/>
    <w:rsid w:val="00443061"/>
    <w:rsid w:val="004F52BF"/>
    <w:rsid w:val="00653357"/>
    <w:rsid w:val="00680DB7"/>
    <w:rsid w:val="006C4C77"/>
    <w:rsid w:val="0081701C"/>
    <w:rsid w:val="00A576C8"/>
    <w:rsid w:val="00B65390"/>
    <w:rsid w:val="00B70029"/>
    <w:rsid w:val="00C937ED"/>
    <w:rsid w:val="00D60545"/>
    <w:rsid w:val="00EA05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650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46501"/>
    <w:pPr>
      <w:jc w:val="both"/>
    </w:pPr>
    <w:rPr>
      <w:b/>
      <w:smallCaps/>
      <w:sz w:val="22"/>
    </w:rPr>
  </w:style>
  <w:style w:type="paragraph" w:customStyle="1" w:styleId="StandaardSV">
    <w:name w:val="Standaard SV"/>
    <w:basedOn w:val="Standaard"/>
    <w:rsid w:val="00246501"/>
    <w:pPr>
      <w:jc w:val="both"/>
    </w:pPr>
    <w:rPr>
      <w:sz w:val="22"/>
    </w:rPr>
  </w:style>
  <w:style w:type="table" w:styleId="Tabelraster">
    <w:name w:val="Table Grid"/>
    <w:basedOn w:val="Standaardtabel"/>
    <w:rsid w:val="00312941"/>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E36A3"/>
    <w:pPr>
      <w:ind w:left="720"/>
      <w:contextualSpacing/>
    </w:pPr>
  </w:style>
  <w:style w:type="paragraph" w:styleId="Ballontekst">
    <w:name w:val="Balloon Text"/>
    <w:basedOn w:val="Standaard"/>
    <w:link w:val="BallontekstChar"/>
    <w:uiPriority w:val="99"/>
    <w:semiHidden/>
    <w:unhideWhenUsed/>
    <w:rsid w:val="00164AC4"/>
    <w:rPr>
      <w:rFonts w:ascii="Tahoma" w:hAnsi="Tahoma" w:cs="Tahoma"/>
      <w:sz w:val="16"/>
      <w:szCs w:val="16"/>
    </w:rPr>
  </w:style>
  <w:style w:type="character" w:customStyle="1" w:styleId="BallontekstChar">
    <w:name w:val="Ballontekst Char"/>
    <w:basedOn w:val="Standaardalinea-lettertype"/>
    <w:link w:val="Ballontekst"/>
    <w:uiPriority w:val="99"/>
    <w:semiHidden/>
    <w:rsid w:val="00164AC4"/>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650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46501"/>
    <w:pPr>
      <w:jc w:val="both"/>
    </w:pPr>
    <w:rPr>
      <w:b/>
      <w:smallCaps/>
      <w:sz w:val="22"/>
    </w:rPr>
  </w:style>
  <w:style w:type="paragraph" w:customStyle="1" w:styleId="StandaardSV">
    <w:name w:val="Standaard SV"/>
    <w:basedOn w:val="Standaard"/>
    <w:rsid w:val="00246501"/>
    <w:pPr>
      <w:jc w:val="both"/>
    </w:pPr>
    <w:rPr>
      <w:sz w:val="22"/>
    </w:rPr>
  </w:style>
  <w:style w:type="table" w:styleId="Tabelraster">
    <w:name w:val="Table Grid"/>
    <w:basedOn w:val="Standaardtabel"/>
    <w:rsid w:val="00312941"/>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E36A3"/>
    <w:pPr>
      <w:ind w:left="720"/>
      <w:contextualSpacing/>
    </w:pPr>
  </w:style>
  <w:style w:type="paragraph" w:styleId="Ballontekst">
    <w:name w:val="Balloon Text"/>
    <w:basedOn w:val="Standaard"/>
    <w:link w:val="BallontekstChar"/>
    <w:uiPriority w:val="99"/>
    <w:semiHidden/>
    <w:unhideWhenUsed/>
    <w:rsid w:val="00164AC4"/>
    <w:rPr>
      <w:rFonts w:ascii="Tahoma" w:hAnsi="Tahoma" w:cs="Tahoma"/>
      <w:sz w:val="16"/>
      <w:szCs w:val="16"/>
    </w:rPr>
  </w:style>
  <w:style w:type="character" w:customStyle="1" w:styleId="BallontekstChar">
    <w:name w:val="Ballontekst Char"/>
    <w:basedOn w:val="Standaardalinea-lettertype"/>
    <w:link w:val="Ballontekst"/>
    <w:uiPriority w:val="99"/>
    <w:semiHidden/>
    <w:rsid w:val="00164AC4"/>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4</cp:revision>
  <cp:lastPrinted>2012-06-27T09:40:00Z</cp:lastPrinted>
  <dcterms:created xsi:type="dcterms:W3CDTF">2012-06-27T12:30:00Z</dcterms:created>
  <dcterms:modified xsi:type="dcterms:W3CDTF">2012-06-29T09:02:00Z</dcterms:modified>
</cp:coreProperties>
</file>